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0E3E" w14:textId="1B8FEA6B" w:rsidR="004707A6" w:rsidRDefault="004707A6" w:rsidP="004707A6">
      <w:pPr>
        <w:rPr>
          <w:b/>
          <w:sz w:val="32"/>
          <w:szCs w:val="32"/>
        </w:rPr>
      </w:pPr>
      <w:r>
        <w:rPr>
          <w:b/>
          <w:sz w:val="32"/>
          <w:szCs w:val="32"/>
        </w:rPr>
        <w:t>RECOMMENDATION 19</w:t>
      </w:r>
      <w:r w:rsidR="000A58F6">
        <w:rPr>
          <w:b/>
          <w:sz w:val="32"/>
          <w:szCs w:val="32"/>
        </w:rPr>
        <w:t xml:space="preserve"> - </w:t>
      </w:r>
      <w:r w:rsidR="000A58F6" w:rsidRPr="008E0291">
        <w:rPr>
          <w:sz w:val="32"/>
          <w:szCs w:val="32"/>
        </w:rPr>
        <w:t>(Small Team B output – 8 January 2019)</w:t>
      </w:r>
    </w:p>
    <w:p w14:paraId="64FD0802" w14:textId="77777777" w:rsidR="004707A6" w:rsidRDefault="004707A6" w:rsidP="004707A6">
      <w:pPr>
        <w:rPr>
          <w:b/>
          <w:sz w:val="32"/>
          <w:szCs w:val="32"/>
        </w:rPr>
      </w:pPr>
    </w:p>
    <w:p w14:paraId="784B125D" w14:textId="096715DC" w:rsidR="004707A6" w:rsidRPr="004707A6" w:rsidRDefault="004707A6" w:rsidP="004707A6">
      <w:pPr>
        <w:pBdr>
          <w:top w:val="single" w:sz="4" w:space="1" w:color="auto"/>
          <w:left w:val="single" w:sz="4" w:space="4" w:color="auto"/>
          <w:bottom w:val="single" w:sz="4" w:space="1" w:color="auto"/>
          <w:right w:val="single" w:sz="4" w:space="4" w:color="auto"/>
        </w:pBdr>
        <w:rPr>
          <w:sz w:val="28"/>
          <w:szCs w:val="28"/>
        </w:rPr>
      </w:pPr>
      <w:r w:rsidRPr="004707A6">
        <w:rPr>
          <w:sz w:val="28"/>
          <w:szCs w:val="28"/>
        </w:rPr>
        <w:t>The EPDP Team recommends that for the new policy on gTLD registration data, the</w:t>
      </w:r>
      <w:r>
        <w:rPr>
          <w:sz w:val="28"/>
          <w:szCs w:val="28"/>
        </w:rPr>
        <w:t xml:space="preserve"> </w:t>
      </w:r>
      <w:r w:rsidRPr="004707A6">
        <w:rPr>
          <w:sz w:val="28"/>
          <w:szCs w:val="28"/>
        </w:rPr>
        <w:t>requirements of the Temporary Specification are maintained in relation to the Transfer</w:t>
      </w:r>
      <w:r>
        <w:rPr>
          <w:sz w:val="28"/>
          <w:szCs w:val="28"/>
        </w:rPr>
        <w:t xml:space="preserve"> </w:t>
      </w:r>
      <w:r w:rsidRPr="004707A6">
        <w:rPr>
          <w:sz w:val="28"/>
          <w:szCs w:val="28"/>
        </w:rPr>
        <w:t>Policy until such time these are superseded by recommendations that may come out of</w:t>
      </w:r>
      <w:r>
        <w:rPr>
          <w:sz w:val="28"/>
          <w:szCs w:val="28"/>
        </w:rPr>
        <w:t xml:space="preserve"> </w:t>
      </w:r>
      <w:r w:rsidRPr="004707A6">
        <w:rPr>
          <w:sz w:val="28"/>
          <w:szCs w:val="28"/>
        </w:rPr>
        <w:t>the Transfer Policy review that is being undertaken by the GNSO Council.</w:t>
      </w:r>
    </w:p>
    <w:p w14:paraId="6857E44E" w14:textId="6609E954" w:rsidR="004707A6" w:rsidRDefault="004707A6" w:rsidP="004707A6">
      <w:pPr>
        <w:rPr>
          <w:b/>
          <w:sz w:val="28"/>
          <w:szCs w:val="28"/>
        </w:rPr>
      </w:pPr>
    </w:p>
    <w:p w14:paraId="19A8F71E" w14:textId="77777777" w:rsidR="00497824" w:rsidRPr="00560E67" w:rsidRDefault="00497824" w:rsidP="00497824">
      <w:pPr>
        <w:rPr>
          <w:b/>
          <w:i/>
          <w:sz w:val="28"/>
          <w:szCs w:val="28"/>
        </w:rPr>
      </w:pPr>
      <w:r>
        <w:rPr>
          <w:b/>
          <w:i/>
          <w:sz w:val="28"/>
          <w:szCs w:val="28"/>
        </w:rPr>
        <w:t xml:space="preserve">Disclaimer: </w:t>
      </w:r>
      <w:r w:rsidRPr="00A40CD0">
        <w:rPr>
          <w:i/>
          <w:sz w:val="28"/>
          <w:szCs w:val="28"/>
        </w:rPr>
        <w:t xml:space="preserve">This overview has been developed to facilitate the EPDP Team’s consideration of the concerns expressed and possible updates to the recommendations. However, this does not replace the EPDP Team’s obligation to review all input received in full </w:t>
      </w:r>
      <w:r>
        <w:rPr>
          <w:i/>
          <w:sz w:val="28"/>
          <w:szCs w:val="28"/>
        </w:rPr>
        <w:t>and</w:t>
      </w:r>
      <w:r w:rsidRPr="00A40CD0">
        <w:rPr>
          <w:i/>
          <w:sz w:val="28"/>
          <w:szCs w:val="28"/>
        </w:rPr>
        <w:t xml:space="preserve"> to </w:t>
      </w:r>
      <w:r>
        <w:rPr>
          <w:i/>
          <w:sz w:val="28"/>
          <w:szCs w:val="28"/>
        </w:rPr>
        <w:t>indicate</w:t>
      </w:r>
      <w:r w:rsidRPr="00A40CD0">
        <w:rPr>
          <w:i/>
          <w:sz w:val="28"/>
          <w:szCs w:val="28"/>
        </w:rPr>
        <w:t xml:space="preserve"> if any concerns</w:t>
      </w:r>
      <w:r>
        <w:rPr>
          <w:i/>
          <w:sz w:val="28"/>
          <w:szCs w:val="28"/>
        </w:rPr>
        <w:t xml:space="preserve"> in this overview</w:t>
      </w:r>
      <w:r w:rsidRPr="00A40CD0">
        <w:rPr>
          <w:i/>
          <w:sz w:val="28"/>
          <w:szCs w:val="28"/>
        </w:rPr>
        <w:t xml:space="preserve"> </w:t>
      </w:r>
      <w:r>
        <w:rPr>
          <w:i/>
          <w:sz w:val="28"/>
          <w:szCs w:val="28"/>
        </w:rPr>
        <w:t xml:space="preserve">have </w:t>
      </w:r>
      <w:r w:rsidRPr="00A40CD0">
        <w:rPr>
          <w:i/>
          <w:sz w:val="28"/>
          <w:szCs w:val="28"/>
        </w:rPr>
        <w:t>inadvertently been mischaracterized.</w:t>
      </w:r>
      <w:r>
        <w:rPr>
          <w:b/>
          <w:i/>
          <w:sz w:val="28"/>
          <w:szCs w:val="28"/>
        </w:rPr>
        <w:t xml:space="preserve"> </w:t>
      </w:r>
    </w:p>
    <w:p w14:paraId="546DF6FC" w14:textId="77777777" w:rsidR="00497824" w:rsidRDefault="00497824" w:rsidP="004707A6">
      <w:pPr>
        <w:rPr>
          <w:b/>
          <w:sz w:val="28"/>
          <w:szCs w:val="28"/>
        </w:rPr>
      </w:pPr>
    </w:p>
    <w:p w14:paraId="730C7F28" w14:textId="52BE4488" w:rsidR="004707A6" w:rsidRDefault="004707A6" w:rsidP="004707A6">
      <w:pPr>
        <w:rPr>
          <w:b/>
          <w:sz w:val="28"/>
          <w:szCs w:val="28"/>
        </w:rPr>
      </w:pPr>
      <w:r>
        <w:rPr>
          <w:b/>
          <w:sz w:val="28"/>
          <w:szCs w:val="28"/>
        </w:rPr>
        <w:t>Noted Concerns</w:t>
      </w:r>
    </w:p>
    <w:p w14:paraId="417707A9" w14:textId="77777777" w:rsidR="004707A6" w:rsidRDefault="004707A6" w:rsidP="004707A6">
      <w:pPr>
        <w:rPr>
          <w:b/>
          <w:sz w:val="28"/>
          <w:szCs w:val="28"/>
        </w:rPr>
      </w:pPr>
    </w:p>
    <w:tbl>
      <w:tblPr>
        <w:tblStyle w:val="TableGrid"/>
        <w:tblW w:w="0" w:type="auto"/>
        <w:tblLayout w:type="fixed"/>
        <w:tblLook w:val="04A0" w:firstRow="1" w:lastRow="0" w:firstColumn="1" w:lastColumn="0" w:noHBand="0" w:noVBand="1"/>
      </w:tblPr>
      <w:tblGrid>
        <w:gridCol w:w="3597"/>
        <w:gridCol w:w="3598"/>
        <w:gridCol w:w="3597"/>
        <w:gridCol w:w="3598"/>
      </w:tblGrid>
      <w:tr w:rsidR="000A58F6" w14:paraId="375108FA" w14:textId="1D6E6846" w:rsidTr="000A58F6">
        <w:tc>
          <w:tcPr>
            <w:tcW w:w="3597" w:type="dxa"/>
            <w:shd w:val="clear" w:color="auto" w:fill="F7CAAC" w:themeFill="accent2" w:themeFillTint="66"/>
          </w:tcPr>
          <w:p w14:paraId="0E6DA80D" w14:textId="77777777" w:rsidR="000A58F6" w:rsidRDefault="000A58F6" w:rsidP="00FF746D">
            <w:pPr>
              <w:rPr>
                <w:b/>
                <w:sz w:val="28"/>
                <w:szCs w:val="28"/>
              </w:rPr>
            </w:pPr>
            <w:r>
              <w:rPr>
                <w:b/>
                <w:sz w:val="28"/>
                <w:szCs w:val="28"/>
              </w:rPr>
              <w:t>Concern</w:t>
            </w:r>
          </w:p>
        </w:tc>
        <w:tc>
          <w:tcPr>
            <w:tcW w:w="3598" w:type="dxa"/>
            <w:shd w:val="clear" w:color="auto" w:fill="F7CAAC" w:themeFill="accent2" w:themeFillTint="66"/>
          </w:tcPr>
          <w:p w14:paraId="1FD4C368" w14:textId="77777777" w:rsidR="000A58F6" w:rsidRDefault="000A58F6" w:rsidP="00FF746D">
            <w:pPr>
              <w:rPr>
                <w:b/>
                <w:sz w:val="28"/>
                <w:szCs w:val="28"/>
              </w:rPr>
            </w:pPr>
            <w:r>
              <w:rPr>
                <w:b/>
                <w:sz w:val="28"/>
                <w:szCs w:val="28"/>
              </w:rPr>
              <w:t>Corresponding PCRT Comment #</w:t>
            </w:r>
          </w:p>
        </w:tc>
        <w:tc>
          <w:tcPr>
            <w:tcW w:w="3597" w:type="dxa"/>
            <w:shd w:val="clear" w:color="auto" w:fill="F7CAAC" w:themeFill="accent2" w:themeFillTint="66"/>
          </w:tcPr>
          <w:p w14:paraId="4059279A" w14:textId="1A0F16D6" w:rsidR="000A58F6" w:rsidRDefault="000A58F6" w:rsidP="00FF746D">
            <w:pPr>
              <w:rPr>
                <w:b/>
                <w:sz w:val="28"/>
                <w:szCs w:val="28"/>
              </w:rPr>
            </w:pPr>
            <w:r>
              <w:rPr>
                <w:b/>
                <w:sz w:val="28"/>
                <w:szCs w:val="28"/>
              </w:rPr>
              <w:t>Proposed EPDP Team Response to concerns</w:t>
            </w:r>
          </w:p>
        </w:tc>
        <w:tc>
          <w:tcPr>
            <w:tcW w:w="3598" w:type="dxa"/>
            <w:shd w:val="clear" w:color="auto" w:fill="F7CAAC" w:themeFill="accent2" w:themeFillTint="66"/>
          </w:tcPr>
          <w:p w14:paraId="2FA315AE" w14:textId="551B1FDC" w:rsidR="000A58F6" w:rsidRDefault="000A58F6" w:rsidP="00FF746D">
            <w:pPr>
              <w:rPr>
                <w:b/>
                <w:sz w:val="28"/>
                <w:szCs w:val="28"/>
              </w:rPr>
            </w:pPr>
            <w:r>
              <w:rPr>
                <w:b/>
                <w:sz w:val="28"/>
                <w:szCs w:val="28"/>
              </w:rPr>
              <w:t>Proposed modification / rewording for EPDP Team Consideration</w:t>
            </w:r>
          </w:p>
        </w:tc>
      </w:tr>
      <w:tr w:rsidR="000A58F6" w14:paraId="4990E6F0" w14:textId="1E837C4B" w:rsidTr="000A58F6">
        <w:tc>
          <w:tcPr>
            <w:tcW w:w="3597" w:type="dxa"/>
          </w:tcPr>
          <w:p w14:paraId="3AD223FB" w14:textId="6064F600" w:rsidR="000A58F6" w:rsidRPr="007950A5" w:rsidRDefault="000A58F6" w:rsidP="00FF746D">
            <w:pPr>
              <w:rPr>
                <w:sz w:val="28"/>
                <w:szCs w:val="28"/>
              </w:rPr>
            </w:pPr>
            <w:r w:rsidRPr="004707A6">
              <w:rPr>
                <w:sz w:val="28"/>
                <w:szCs w:val="28"/>
              </w:rPr>
              <w:t xml:space="preserve">Under the Temp Spec, if the Gaining Registrar is unable to gain access to then-current Registration Data for a domain name subject of a transfer, the Gaining Registrar is no longer required to obtain a Form of Authorization from the Transfer Contact. This weakened protections against hijackings.  Instead: any registrar with an auth_info code MUST be able to obtain the registrant contact data via EPP from the </w:t>
            </w:r>
            <w:r w:rsidRPr="004707A6">
              <w:rPr>
                <w:sz w:val="28"/>
                <w:szCs w:val="28"/>
              </w:rPr>
              <w:lastRenderedPageBreak/>
              <w:t>registry.  That is GDPR-compliant, because the registrant has given the gaining registrar permission</w:t>
            </w:r>
            <w:r>
              <w:rPr>
                <w:sz w:val="28"/>
                <w:szCs w:val="28"/>
              </w:rPr>
              <w:t xml:space="preserve"> </w:t>
            </w:r>
            <w:r w:rsidRPr="004707A6">
              <w:rPr>
                <w:sz w:val="28"/>
                <w:szCs w:val="28"/>
              </w:rPr>
              <w:t>to access the data.  The GNSO Council needs to move this along, and the GDPR is a good spur</w:t>
            </w:r>
            <w:r>
              <w:rPr>
                <w:sz w:val="28"/>
                <w:szCs w:val="28"/>
              </w:rPr>
              <w:t>.</w:t>
            </w:r>
          </w:p>
        </w:tc>
        <w:tc>
          <w:tcPr>
            <w:tcW w:w="3598" w:type="dxa"/>
          </w:tcPr>
          <w:p w14:paraId="2ABB20C3" w14:textId="726F022E" w:rsidR="000A58F6" w:rsidRPr="00497824" w:rsidRDefault="000A58F6" w:rsidP="00497824">
            <w:r>
              <w:rPr>
                <w:sz w:val="28"/>
                <w:szCs w:val="28"/>
              </w:rPr>
              <w:lastRenderedPageBreak/>
              <w:t>4 (</w:t>
            </w:r>
            <w:proofErr w:type="spellStart"/>
            <w:r w:rsidRPr="00497824">
              <w:rPr>
                <w:sz w:val="28"/>
                <w:szCs w:val="28"/>
              </w:rPr>
              <w:t>iThreat</w:t>
            </w:r>
            <w:proofErr w:type="spellEnd"/>
            <w:r w:rsidRPr="00497824">
              <w:rPr>
                <w:sz w:val="28"/>
                <w:szCs w:val="28"/>
              </w:rPr>
              <w:t xml:space="preserve"> Cyber Group)</w:t>
            </w:r>
          </w:p>
        </w:tc>
        <w:tc>
          <w:tcPr>
            <w:tcW w:w="3597" w:type="dxa"/>
          </w:tcPr>
          <w:p w14:paraId="7307B3F6" w14:textId="23731B1A" w:rsidR="000A58F6" w:rsidRPr="000A58F6" w:rsidRDefault="000A58F6" w:rsidP="000A58F6">
            <w:pPr>
              <w:rPr>
                <w:sz w:val="28"/>
                <w:szCs w:val="28"/>
              </w:rPr>
            </w:pPr>
            <w:r w:rsidRPr="000A58F6">
              <w:rPr>
                <w:sz w:val="28"/>
                <w:szCs w:val="28"/>
              </w:rPr>
              <w:t xml:space="preserve">This concern is </w:t>
            </w:r>
            <w:r w:rsidRPr="000A58F6">
              <w:rPr>
                <w:sz w:val="28"/>
                <w:szCs w:val="28"/>
              </w:rPr>
              <w:t xml:space="preserve">already </w:t>
            </w:r>
            <w:r w:rsidRPr="000A58F6">
              <w:rPr>
                <w:sz w:val="28"/>
                <w:szCs w:val="28"/>
              </w:rPr>
              <w:t>being addressed by the Tech Ops group</w:t>
            </w:r>
            <w:r w:rsidRPr="000A58F6">
              <w:rPr>
                <w:sz w:val="28"/>
                <w:szCs w:val="28"/>
              </w:rPr>
              <w:t xml:space="preserve"> (see</w:t>
            </w:r>
            <w:r w:rsidRPr="000A58F6">
              <w:rPr>
                <w:rStyle w:val="apple-converted-space"/>
                <w:rFonts w:ascii="Calibri" w:hAnsi="Calibri" w:cs="Calibri"/>
                <w:color w:val="000000"/>
                <w:sz w:val="28"/>
                <w:szCs w:val="28"/>
              </w:rPr>
              <w:t> </w:t>
            </w:r>
            <w:hyperlink r:id="rId4" w:history="1">
              <w:r w:rsidRPr="000A58F6">
                <w:rPr>
                  <w:rStyle w:val="Hyperlink"/>
                  <w:rFonts w:ascii="Calibri" w:hAnsi="Calibri" w:cs="Calibri"/>
                  <w:color w:val="954F72"/>
                  <w:sz w:val="28"/>
                  <w:szCs w:val="28"/>
                </w:rPr>
                <w:t>https</w:t>
              </w:r>
              <w:r w:rsidRPr="000A58F6">
                <w:rPr>
                  <w:rStyle w:val="Hyperlink"/>
                  <w:rFonts w:ascii="Calibri" w:hAnsi="Calibri" w:cs="Calibri"/>
                  <w:color w:val="954F72"/>
                  <w:sz w:val="28"/>
                  <w:szCs w:val="28"/>
                </w:rPr>
                <w:t>:</w:t>
              </w:r>
              <w:r w:rsidRPr="000A58F6">
                <w:rPr>
                  <w:rStyle w:val="Hyperlink"/>
                  <w:rFonts w:ascii="Calibri" w:hAnsi="Calibri" w:cs="Calibri"/>
                  <w:color w:val="954F72"/>
                  <w:sz w:val="28"/>
                  <w:szCs w:val="28"/>
                </w:rPr>
                <w:t>//bestpractice.domains/</w:t>
              </w:r>
            </w:hyperlink>
            <w:r w:rsidRPr="000A58F6">
              <w:rPr>
                <w:rStyle w:val="apple-converted-space"/>
                <w:rFonts w:ascii="Calibri" w:hAnsi="Calibri" w:cs="Calibri"/>
                <w:color w:val="000000"/>
                <w:sz w:val="28"/>
                <w:szCs w:val="28"/>
              </w:rPr>
              <w:t> </w:t>
            </w:r>
            <w:r w:rsidRPr="000A58F6">
              <w:rPr>
                <w:rFonts w:ascii="Calibri" w:hAnsi="Calibri" w:cs="Calibri"/>
                <w:color w:val="000000"/>
                <w:sz w:val="28"/>
                <w:szCs w:val="28"/>
              </w:rPr>
              <w:t>and</w:t>
            </w:r>
            <w:r w:rsidRPr="000A58F6">
              <w:rPr>
                <w:rStyle w:val="apple-converted-space"/>
                <w:rFonts w:ascii="Calibri" w:hAnsi="Calibri" w:cs="Calibri"/>
                <w:color w:val="000000"/>
                <w:sz w:val="28"/>
                <w:szCs w:val="28"/>
              </w:rPr>
              <w:t> </w:t>
            </w:r>
            <w:hyperlink r:id="rId5" w:history="1">
              <w:r w:rsidRPr="000A58F6">
                <w:rPr>
                  <w:rStyle w:val="Hyperlink"/>
                  <w:rFonts w:ascii="Calibri" w:hAnsi="Calibri" w:cs="Calibri"/>
                  <w:color w:val="954F72"/>
                  <w:sz w:val="28"/>
                  <w:szCs w:val="28"/>
                </w:rPr>
                <w:t>https://docs.google.com/document/d/1MfbvbhXnT1aA4iQfx</w:t>
              </w:r>
              <w:r w:rsidRPr="000A58F6">
                <w:rPr>
                  <w:rStyle w:val="Hyperlink"/>
                  <w:rFonts w:ascii="Calibri" w:hAnsi="Calibri" w:cs="Calibri"/>
                  <w:color w:val="954F72"/>
                  <w:sz w:val="28"/>
                  <w:szCs w:val="28"/>
                </w:rPr>
                <w:t>c</w:t>
              </w:r>
              <w:r w:rsidRPr="000A58F6">
                <w:rPr>
                  <w:rStyle w:val="Hyperlink"/>
                  <w:rFonts w:ascii="Calibri" w:hAnsi="Calibri" w:cs="Calibri"/>
                  <w:color w:val="954F72"/>
                  <w:sz w:val="28"/>
                  <w:szCs w:val="28"/>
                </w:rPr>
                <w:t>VoNyLKJb3trMAwJdBKK2reyfs/edit</w:t>
              </w:r>
            </w:hyperlink>
            <w:r>
              <w:rPr>
                <w:sz w:val="28"/>
                <w:szCs w:val="28"/>
              </w:rPr>
              <w:t>) and as such does not require further consideration by the EPDP Team at this stage</w:t>
            </w:r>
            <w:r w:rsidRPr="000A58F6">
              <w:rPr>
                <w:rFonts w:ascii="Calibri" w:hAnsi="Calibri" w:cs="Calibri"/>
                <w:color w:val="000000"/>
                <w:sz w:val="28"/>
                <w:szCs w:val="28"/>
              </w:rPr>
              <w:t>.</w:t>
            </w:r>
            <w:bookmarkStart w:id="0" w:name="_GoBack"/>
            <w:bookmarkEnd w:id="0"/>
          </w:p>
          <w:p w14:paraId="67E4A4BD" w14:textId="1C61E7D6" w:rsidR="000A58F6" w:rsidRPr="00362929" w:rsidRDefault="000A58F6" w:rsidP="00FF746D">
            <w:pPr>
              <w:rPr>
                <w:sz w:val="28"/>
                <w:szCs w:val="28"/>
              </w:rPr>
            </w:pPr>
          </w:p>
        </w:tc>
        <w:tc>
          <w:tcPr>
            <w:tcW w:w="3598" w:type="dxa"/>
          </w:tcPr>
          <w:p w14:paraId="3544190C" w14:textId="33F5928A" w:rsidR="000A58F6" w:rsidRDefault="000A58F6" w:rsidP="000A58F6">
            <w:pPr>
              <w:rPr>
                <w:rFonts w:eastAsia="Times New Roman"/>
                <w:color w:val="000000"/>
                <w:sz w:val="20"/>
                <w:szCs w:val="20"/>
              </w:rPr>
            </w:pPr>
            <w:r w:rsidRPr="000A58F6">
              <w:rPr>
                <w:sz w:val="28"/>
                <w:szCs w:val="28"/>
              </w:rPr>
              <w:t>None – no change needed</w:t>
            </w:r>
          </w:p>
        </w:tc>
      </w:tr>
    </w:tbl>
    <w:p w14:paraId="7C3F31ED" w14:textId="77777777" w:rsidR="004707A6" w:rsidRDefault="004707A6" w:rsidP="004707A6"/>
    <w:p w14:paraId="1F6B41F1" w14:textId="77777777" w:rsidR="004707A6" w:rsidRDefault="004707A6" w:rsidP="004707A6"/>
    <w:p w14:paraId="70CD834E" w14:textId="77777777" w:rsidR="004707A6" w:rsidRDefault="004707A6" w:rsidP="004707A6"/>
    <w:p w14:paraId="17332F7D" w14:textId="77777777" w:rsidR="004707A6" w:rsidRDefault="004707A6" w:rsidP="004707A6"/>
    <w:p w14:paraId="21B19478" w14:textId="77777777" w:rsidR="00404709" w:rsidRDefault="00404709"/>
    <w:sectPr w:rsidR="00404709" w:rsidSect="007B7D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A6"/>
    <w:rsid w:val="000A58F6"/>
    <w:rsid w:val="00404709"/>
    <w:rsid w:val="004076B0"/>
    <w:rsid w:val="00440B65"/>
    <w:rsid w:val="004707A6"/>
    <w:rsid w:val="00497824"/>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408F"/>
  <w15:chartTrackingRefBased/>
  <w15:docId w15:val="{EF35FF49-5005-0048-9049-0F65D881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7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58F6"/>
  </w:style>
  <w:style w:type="character" w:styleId="Hyperlink">
    <w:name w:val="Hyperlink"/>
    <w:basedOn w:val="DefaultParagraphFont"/>
    <w:uiPriority w:val="99"/>
    <w:semiHidden/>
    <w:unhideWhenUsed/>
    <w:rsid w:val="000A58F6"/>
    <w:rPr>
      <w:color w:val="0000FF"/>
      <w:u w:val="single"/>
    </w:rPr>
  </w:style>
  <w:style w:type="character" w:styleId="FollowedHyperlink">
    <w:name w:val="FollowedHyperlink"/>
    <w:basedOn w:val="DefaultParagraphFont"/>
    <w:uiPriority w:val="99"/>
    <w:semiHidden/>
    <w:unhideWhenUsed/>
    <w:rsid w:val="000A58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88723">
      <w:bodyDiv w:val="1"/>
      <w:marLeft w:val="0"/>
      <w:marRight w:val="0"/>
      <w:marTop w:val="0"/>
      <w:marBottom w:val="0"/>
      <w:divBdr>
        <w:top w:val="none" w:sz="0" w:space="0" w:color="auto"/>
        <w:left w:val="none" w:sz="0" w:space="0" w:color="auto"/>
        <w:bottom w:val="none" w:sz="0" w:space="0" w:color="auto"/>
        <w:right w:val="none" w:sz="0" w:space="0" w:color="auto"/>
      </w:divBdr>
    </w:div>
    <w:div w:id="230774862">
      <w:bodyDiv w:val="1"/>
      <w:marLeft w:val="0"/>
      <w:marRight w:val="0"/>
      <w:marTop w:val="0"/>
      <w:marBottom w:val="0"/>
      <w:divBdr>
        <w:top w:val="none" w:sz="0" w:space="0" w:color="auto"/>
        <w:left w:val="none" w:sz="0" w:space="0" w:color="auto"/>
        <w:bottom w:val="none" w:sz="0" w:space="0" w:color="auto"/>
        <w:right w:val="none" w:sz="0" w:space="0" w:color="auto"/>
      </w:divBdr>
    </w:div>
    <w:div w:id="1082215323">
      <w:bodyDiv w:val="1"/>
      <w:marLeft w:val="0"/>
      <w:marRight w:val="0"/>
      <w:marTop w:val="0"/>
      <w:marBottom w:val="0"/>
      <w:divBdr>
        <w:top w:val="none" w:sz="0" w:space="0" w:color="auto"/>
        <w:left w:val="none" w:sz="0" w:space="0" w:color="auto"/>
        <w:bottom w:val="none" w:sz="0" w:space="0" w:color="auto"/>
        <w:right w:val="none" w:sz="0" w:space="0" w:color="auto"/>
      </w:divBdr>
    </w:div>
    <w:div w:id="1396928496">
      <w:bodyDiv w:val="1"/>
      <w:marLeft w:val="0"/>
      <w:marRight w:val="0"/>
      <w:marTop w:val="0"/>
      <w:marBottom w:val="0"/>
      <w:divBdr>
        <w:top w:val="none" w:sz="0" w:space="0" w:color="auto"/>
        <w:left w:val="none" w:sz="0" w:space="0" w:color="auto"/>
        <w:bottom w:val="none" w:sz="0" w:space="0" w:color="auto"/>
        <w:right w:val="none" w:sz="0" w:space="0" w:color="auto"/>
      </w:divBdr>
    </w:div>
    <w:div w:id="15427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document/d/1MfbvbhXnT1aA4iQfxcVoNyLKJb3trMAwJdBKK2reyfs/edit" TargetMode="External"/><Relationship Id="rId4" Type="http://schemas.openxmlformats.org/officeDocument/2006/relationships/hyperlink" Target="https://bestpractice.do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dcterms:created xsi:type="dcterms:W3CDTF">2019-01-09T08:25:00Z</dcterms:created>
  <dcterms:modified xsi:type="dcterms:W3CDTF">2019-01-09T08:25:00Z</dcterms:modified>
</cp:coreProperties>
</file>