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E4E43" w14:textId="794E4ECC" w:rsidR="003C2147" w:rsidRDefault="00C43F60">
      <w:r>
        <w:t xml:space="preserve">Updated: </w:t>
      </w:r>
      <w:r w:rsidR="001936C5">
        <w:t>10</w:t>
      </w:r>
      <w:r w:rsidR="006556FB">
        <w:t xml:space="preserve"> Feb 2020</w:t>
      </w:r>
    </w:p>
    <w:p w14:paraId="09B469BF" w14:textId="77777777" w:rsidR="00C43F60" w:rsidRDefault="00C43F60"/>
    <w:tbl>
      <w:tblPr>
        <w:tblStyle w:val="TableGrid"/>
        <w:tblW w:w="12685" w:type="dxa"/>
        <w:tblLook w:val="04A0" w:firstRow="1" w:lastRow="0" w:firstColumn="1" w:lastColumn="0" w:noHBand="0" w:noVBand="1"/>
      </w:tblPr>
      <w:tblGrid>
        <w:gridCol w:w="5603"/>
        <w:gridCol w:w="7082"/>
      </w:tblGrid>
      <w:tr w:rsidR="00DA3EE8" w:rsidRPr="000F2132" w14:paraId="7EA8692B" w14:textId="10F9740F" w:rsidTr="000F2132">
        <w:trPr>
          <w:trHeight w:val="596"/>
        </w:trPr>
        <w:tc>
          <w:tcPr>
            <w:tcW w:w="6115" w:type="dxa"/>
            <w:shd w:val="clear" w:color="auto" w:fill="4472C4" w:themeFill="accent1"/>
          </w:tcPr>
          <w:p w14:paraId="6469CCA1" w14:textId="77777777" w:rsidR="00DA3EE8" w:rsidRPr="000F2132" w:rsidRDefault="00DA3EE8" w:rsidP="00750A80">
            <w:pPr>
              <w:rPr>
                <w:rFonts w:cstheme="minorHAnsi"/>
                <w:b/>
                <w:bCs/>
                <w:sz w:val="22"/>
                <w:szCs w:val="22"/>
              </w:rPr>
            </w:pPr>
          </w:p>
          <w:p w14:paraId="5D3175BE" w14:textId="5BFED6B7" w:rsidR="00DA3EE8" w:rsidRPr="000F2132" w:rsidRDefault="00DA3EE8" w:rsidP="00B626A8">
            <w:pPr>
              <w:rPr>
                <w:rFonts w:cstheme="minorHAnsi"/>
                <w:b/>
                <w:bCs/>
                <w:sz w:val="22"/>
                <w:szCs w:val="22"/>
              </w:rPr>
            </w:pPr>
            <w:r w:rsidRPr="000F2132">
              <w:rPr>
                <w:rFonts w:cstheme="minorHAnsi"/>
                <w:b/>
                <w:bCs/>
                <w:sz w:val="22"/>
                <w:szCs w:val="22"/>
              </w:rPr>
              <w:t>Priority 2 Topics</w:t>
            </w:r>
          </w:p>
        </w:tc>
        <w:tc>
          <w:tcPr>
            <w:tcW w:w="6570" w:type="dxa"/>
            <w:shd w:val="clear" w:color="auto" w:fill="4472C4" w:themeFill="accent1"/>
          </w:tcPr>
          <w:p w14:paraId="03BF9A57" w14:textId="77777777" w:rsidR="00DA3EE8" w:rsidRPr="000F2132" w:rsidRDefault="00DA3EE8">
            <w:pPr>
              <w:rPr>
                <w:rFonts w:cstheme="minorHAnsi"/>
                <w:b/>
                <w:bCs/>
                <w:sz w:val="22"/>
                <w:szCs w:val="22"/>
              </w:rPr>
            </w:pPr>
          </w:p>
          <w:p w14:paraId="45B21CD5" w14:textId="27DAC6DC" w:rsidR="00DA3EE8" w:rsidRPr="000F2132" w:rsidRDefault="00DA3EE8">
            <w:pPr>
              <w:rPr>
                <w:rFonts w:cstheme="minorHAnsi"/>
                <w:b/>
                <w:bCs/>
                <w:sz w:val="22"/>
                <w:szCs w:val="22"/>
              </w:rPr>
            </w:pPr>
            <w:r w:rsidRPr="000F2132">
              <w:rPr>
                <w:rFonts w:cstheme="minorHAnsi"/>
                <w:b/>
                <w:bCs/>
                <w:sz w:val="22"/>
                <w:szCs w:val="22"/>
              </w:rPr>
              <w:t xml:space="preserve">Next Steps </w:t>
            </w:r>
            <w:proofErr w:type="gramStart"/>
            <w:r w:rsidRPr="000F2132">
              <w:rPr>
                <w:rFonts w:cstheme="minorHAnsi"/>
                <w:b/>
                <w:bCs/>
                <w:sz w:val="22"/>
                <w:szCs w:val="22"/>
              </w:rPr>
              <w:t>&amp;  proposed</w:t>
            </w:r>
            <w:proofErr w:type="gramEnd"/>
            <w:r w:rsidRPr="000F2132">
              <w:rPr>
                <w:rFonts w:cstheme="minorHAnsi"/>
                <w:b/>
                <w:bCs/>
                <w:sz w:val="22"/>
                <w:szCs w:val="22"/>
              </w:rPr>
              <w:t xml:space="preserve"> timing by EPDP Leadership</w:t>
            </w:r>
          </w:p>
          <w:p w14:paraId="4CE618B9" w14:textId="253D8F60" w:rsidR="00DA3EE8" w:rsidRPr="000F2132" w:rsidRDefault="00DA3EE8">
            <w:pPr>
              <w:rPr>
                <w:rFonts w:cstheme="minorHAnsi"/>
                <w:b/>
                <w:bCs/>
                <w:sz w:val="22"/>
                <w:szCs w:val="22"/>
              </w:rPr>
            </w:pPr>
          </w:p>
        </w:tc>
      </w:tr>
      <w:tr w:rsidR="00DA3EE8" w:rsidRPr="000F2132" w14:paraId="1281F7D3" w14:textId="324F50AB" w:rsidTr="000F2132">
        <w:tc>
          <w:tcPr>
            <w:tcW w:w="6115" w:type="dxa"/>
            <w:shd w:val="clear" w:color="auto" w:fill="auto"/>
          </w:tcPr>
          <w:p w14:paraId="73490865" w14:textId="658B89DD" w:rsidR="00DA3EE8" w:rsidRPr="000F2132" w:rsidRDefault="001936C5">
            <w:pPr>
              <w:rPr>
                <w:rFonts w:cstheme="minorHAnsi"/>
                <w:b/>
                <w:bCs/>
                <w:sz w:val="22"/>
                <w:szCs w:val="22"/>
              </w:rPr>
            </w:pPr>
            <w:hyperlink r:id="rId5" w:history="1">
              <w:r w:rsidR="00DA3EE8" w:rsidRPr="000F2132">
                <w:rPr>
                  <w:rStyle w:val="Hyperlink"/>
                  <w:rFonts w:cstheme="minorHAnsi"/>
                  <w:b/>
                  <w:bCs/>
                  <w:sz w:val="22"/>
                  <w:szCs w:val="22"/>
                </w:rPr>
                <w:t>Display of information of affiliated vs. accredited privacy / proxy providers</w:t>
              </w:r>
            </w:hyperlink>
          </w:p>
          <w:p w14:paraId="7DF01B69" w14:textId="77777777" w:rsidR="00DA3EE8" w:rsidRPr="000F2132" w:rsidRDefault="00DA3EE8">
            <w:pPr>
              <w:rPr>
                <w:rFonts w:cstheme="minorHAnsi"/>
                <w:sz w:val="22"/>
                <w:szCs w:val="22"/>
              </w:rPr>
            </w:pPr>
          </w:p>
          <w:p w14:paraId="1C1247A8" w14:textId="43DFB4FB" w:rsidR="00DA3EE8" w:rsidRPr="000F2132" w:rsidRDefault="00DA3EE8" w:rsidP="00CC6E78">
            <w:pPr>
              <w:pStyle w:val="NormalWeb"/>
              <w:spacing w:before="0" w:beforeAutospacing="0" w:after="0" w:afterAutospacing="0"/>
              <w:rPr>
                <w:rFonts w:asciiTheme="minorHAnsi" w:hAnsiTheme="minorHAnsi" w:cstheme="minorHAnsi"/>
                <w:sz w:val="22"/>
                <w:szCs w:val="22"/>
              </w:rPr>
            </w:pPr>
            <w:r w:rsidRPr="000F2132">
              <w:rPr>
                <w:rFonts w:asciiTheme="minorHAnsi" w:hAnsiTheme="minorHAnsi" w:cstheme="minorHAnsi"/>
                <w:sz w:val="22"/>
                <w:szCs w:val="22"/>
              </w:rPr>
              <w:t xml:space="preserve">Phase 1 rec: </w:t>
            </w:r>
            <w:r w:rsidRPr="000F2132">
              <w:rPr>
                <w:rFonts w:asciiTheme="minorHAnsi" w:hAnsiTheme="minorHAnsi" w:cstheme="minorHAnsi"/>
                <w:color w:val="000000"/>
                <w:sz w:val="22"/>
                <w:szCs w:val="22"/>
              </w:rPr>
              <w:t>“In the case of a domain name registration where an "affiliated" privacy / proxy service used (e.g. where data associated with a natural person is masked), Registrar (and Registry where applicable) MUST include in the public RDDS and return in response to any query full non-personal RDDS data of the privacy / proxy service, which MAY also include the existing privacy/proxy pseudonymized email.</w:t>
            </w:r>
          </w:p>
          <w:p w14:paraId="0453AE0F" w14:textId="77777777" w:rsidR="00DA3EE8" w:rsidRPr="000F2132" w:rsidRDefault="00DA3EE8" w:rsidP="00CC6E78">
            <w:pPr>
              <w:rPr>
                <w:rFonts w:cstheme="minorHAnsi"/>
                <w:sz w:val="22"/>
                <w:szCs w:val="22"/>
              </w:rPr>
            </w:pPr>
          </w:p>
          <w:p w14:paraId="53D3F025" w14:textId="383F0ABB" w:rsidR="00DA3EE8" w:rsidRPr="000F2132" w:rsidRDefault="00DA3EE8" w:rsidP="00CC6E78">
            <w:pPr>
              <w:pStyle w:val="NormalWeb"/>
              <w:spacing w:before="0" w:beforeAutospacing="0" w:after="0" w:afterAutospacing="0"/>
              <w:rPr>
                <w:rFonts w:asciiTheme="minorHAnsi" w:hAnsiTheme="minorHAnsi" w:cstheme="minorHAnsi"/>
                <w:sz w:val="22"/>
                <w:szCs w:val="22"/>
              </w:rPr>
            </w:pPr>
            <w:r w:rsidRPr="000F2132">
              <w:rPr>
                <w:rFonts w:asciiTheme="minorHAnsi" w:hAnsiTheme="minorHAnsi" w:cstheme="minorHAnsi"/>
                <w:color w:val="000000"/>
                <w:sz w:val="22"/>
                <w:szCs w:val="22"/>
              </w:rPr>
              <w:t>Note, PPSAI is an approved policy that is currently going through implementation. It will be important to understand the interplay between the display of information of affiliated vs. accredited privacy / proxy providers. Based on feedback received on this topic from the PPSAI IRT, the EPDP Team may consider this further in phase 2”.</w:t>
            </w:r>
          </w:p>
        </w:tc>
        <w:tc>
          <w:tcPr>
            <w:tcW w:w="6570" w:type="dxa"/>
          </w:tcPr>
          <w:p w14:paraId="2B077B78" w14:textId="53C2D839" w:rsidR="000F2132" w:rsidRPr="009A6C92" w:rsidRDefault="00DA3EE8" w:rsidP="009A6C92">
            <w:pPr>
              <w:pStyle w:val="ListParagraph"/>
              <w:numPr>
                <w:ilvl w:val="0"/>
                <w:numId w:val="10"/>
              </w:numPr>
              <w:rPr>
                <w:rFonts w:cstheme="minorHAnsi"/>
                <w:b/>
                <w:bCs/>
                <w:sz w:val="22"/>
                <w:szCs w:val="22"/>
              </w:rPr>
            </w:pPr>
            <w:r w:rsidRPr="000F2132">
              <w:rPr>
                <w:rFonts w:cstheme="minorHAnsi"/>
                <w:sz w:val="22"/>
                <w:szCs w:val="22"/>
              </w:rPr>
              <w:t>EPDP Support Staff to reach out to GDD colleagues who support the PPSAI IRT (which is currently on hold) to obtain information on if/how the display of information of affiliated vs. accredited privacy / proxy providers is dealt with in the context of the implementation of the PPSAI recommendations (before ICANN66)</w:t>
            </w:r>
            <w:r w:rsidR="00C43F60" w:rsidRPr="000F2132">
              <w:rPr>
                <w:rFonts w:cstheme="minorHAnsi"/>
                <w:sz w:val="22"/>
                <w:szCs w:val="22"/>
              </w:rPr>
              <w:t xml:space="preserve"> </w:t>
            </w:r>
            <w:r w:rsidR="009A6C92" w:rsidRPr="009A6C92">
              <w:rPr>
                <w:rFonts w:cstheme="minorHAnsi"/>
                <w:b/>
                <w:bCs/>
                <w:sz w:val="22"/>
                <w:szCs w:val="22"/>
              </w:rPr>
              <w:t>COMPLETED</w:t>
            </w:r>
          </w:p>
          <w:p w14:paraId="321ED42A" w14:textId="0E79CDD9" w:rsidR="000F2132" w:rsidRPr="000F2132" w:rsidRDefault="000F2132" w:rsidP="009A6C92">
            <w:pPr>
              <w:pStyle w:val="ListParagraph"/>
              <w:numPr>
                <w:ilvl w:val="0"/>
                <w:numId w:val="10"/>
              </w:numPr>
              <w:rPr>
                <w:rFonts w:cstheme="minorHAnsi"/>
                <w:sz w:val="22"/>
                <w:szCs w:val="22"/>
              </w:rPr>
            </w:pPr>
            <w:r w:rsidRPr="000F2132">
              <w:rPr>
                <w:rFonts w:cstheme="minorHAnsi"/>
                <w:sz w:val="22"/>
                <w:szCs w:val="22"/>
              </w:rPr>
              <w:t xml:space="preserve">Response received on 3 December (see </w:t>
            </w:r>
            <w:hyperlink r:id="rId6" w:history="1">
              <w:r w:rsidRPr="000F2132">
                <w:rPr>
                  <w:rStyle w:val="Hyperlink"/>
                  <w:rFonts w:cstheme="minorHAnsi"/>
                  <w:sz w:val="22"/>
                  <w:szCs w:val="22"/>
                </w:rPr>
                <w:t>https://mm.icann.org/pipermail/gnso-epdp-team/2019-December/002868.html</w:t>
              </w:r>
            </w:hyperlink>
            <w:r w:rsidRPr="000F2132">
              <w:rPr>
                <w:rFonts w:cstheme="minorHAnsi"/>
                <w:sz w:val="22"/>
                <w:szCs w:val="22"/>
              </w:rPr>
              <w:t>) confirming that “</w:t>
            </w:r>
            <w:r w:rsidRPr="000F2132">
              <w:rPr>
                <w:rStyle w:val="apple-converted-space"/>
                <w:rFonts w:cstheme="minorHAnsi"/>
                <w:color w:val="000000"/>
                <w:sz w:val="22"/>
                <w:szCs w:val="22"/>
              </w:rPr>
              <w:t> </w:t>
            </w:r>
            <w:r w:rsidRPr="000F2132">
              <w:rPr>
                <w:rFonts w:cstheme="minorHAnsi"/>
                <w:color w:val="000000"/>
                <w:sz w:val="22"/>
                <w:szCs w:val="22"/>
              </w:rPr>
              <w:t>the PP IRT was considering a proposed requirement that</w:t>
            </w:r>
            <w:r>
              <w:rPr>
                <w:rFonts w:cstheme="minorHAnsi"/>
                <w:color w:val="000000"/>
                <w:sz w:val="22"/>
                <w:szCs w:val="22"/>
              </w:rPr>
              <w:t xml:space="preserve"> all privacy and proxy </w:t>
            </w:r>
            <w:r w:rsidRPr="000F2132">
              <w:rPr>
                <w:rFonts w:cstheme="minorHAnsi"/>
                <w:color w:val="000000"/>
                <w:sz w:val="22"/>
                <w:szCs w:val="22"/>
              </w:rPr>
              <w:t>service providers include a label, which would flag each registration as a</w:t>
            </w:r>
            <w:r w:rsidRPr="000F2132">
              <w:rPr>
                <w:rStyle w:val="apple-converted-space"/>
                <w:rFonts w:cstheme="minorHAnsi"/>
                <w:color w:val="000000"/>
                <w:sz w:val="22"/>
                <w:szCs w:val="22"/>
              </w:rPr>
              <w:t> </w:t>
            </w:r>
            <w:r w:rsidRPr="000F2132">
              <w:rPr>
                <w:rFonts w:cstheme="minorHAnsi"/>
                <w:color w:val="000000"/>
                <w:sz w:val="22"/>
                <w:szCs w:val="22"/>
              </w:rPr>
              <w:t>privacy/proxy</w:t>
            </w:r>
            <w:r>
              <w:rPr>
                <w:rFonts w:cstheme="minorHAnsi"/>
                <w:color w:val="000000"/>
                <w:sz w:val="22"/>
                <w:szCs w:val="22"/>
              </w:rPr>
              <w:t xml:space="preserve"> </w:t>
            </w:r>
            <w:r w:rsidRPr="000F2132">
              <w:rPr>
                <w:rFonts w:cstheme="minorHAnsi"/>
                <w:color w:val="000000"/>
                <w:sz w:val="22"/>
                <w:szCs w:val="22"/>
              </w:rPr>
              <w:t xml:space="preserve">registration and identify which provider is associated with that registration, in the existing WHOIS output “registrant organization” field. (See </w:t>
            </w:r>
            <w:hyperlink r:id="rId7" w:history="1">
              <w:r w:rsidRPr="000F2132">
                <w:rPr>
                  <w:rStyle w:val="Hyperlink"/>
                  <w:rFonts w:cstheme="minorHAnsi"/>
                  <w:sz w:val="22"/>
                  <w:szCs w:val="22"/>
                </w:rPr>
                <w:t>Draft PPAA</w:t>
              </w:r>
            </w:hyperlink>
            <w:r w:rsidRPr="000F2132">
              <w:rPr>
                <w:rFonts w:cstheme="minorHAnsi"/>
                <w:color w:val="000000"/>
                <w:sz w:val="22"/>
                <w:szCs w:val="22"/>
              </w:rPr>
              <w:t>, distributed to PP IRT 12 Sept 2018, at</w:t>
            </w:r>
            <w:r w:rsidRPr="000F2132">
              <w:rPr>
                <w:rStyle w:val="apple-converted-space"/>
                <w:rFonts w:cstheme="minorHAnsi"/>
                <w:color w:val="000000"/>
                <w:sz w:val="22"/>
                <w:szCs w:val="22"/>
              </w:rPr>
              <w:t> </w:t>
            </w:r>
            <w:r w:rsidRPr="000F2132">
              <w:rPr>
                <w:rFonts w:cstheme="minorHAnsi"/>
                <w:color w:val="000000"/>
                <w:sz w:val="22"/>
                <w:szCs w:val="22"/>
              </w:rPr>
              <w:t xml:space="preserve"> Section 3.15).</w:t>
            </w:r>
          </w:p>
          <w:p w14:paraId="3DDD92DB" w14:textId="13B8936F" w:rsidR="000F2132" w:rsidRDefault="000F2132" w:rsidP="009A6C92">
            <w:pPr>
              <w:pStyle w:val="ListParagraph"/>
              <w:ind w:left="360"/>
              <w:rPr>
                <w:rFonts w:cstheme="minorHAnsi"/>
                <w:color w:val="000000"/>
                <w:sz w:val="22"/>
                <w:szCs w:val="22"/>
              </w:rPr>
            </w:pPr>
            <w:r w:rsidRPr="000F2132">
              <w:rPr>
                <w:rFonts w:cstheme="minorHAnsi"/>
                <w:color w:val="000000"/>
                <w:sz w:val="22"/>
                <w:szCs w:val="22"/>
              </w:rPr>
              <w:t>This requirement would apply to all</w:t>
            </w:r>
            <w:r w:rsidRPr="000F2132">
              <w:rPr>
                <w:rStyle w:val="apple-converted-space"/>
                <w:rFonts w:cstheme="minorHAnsi"/>
                <w:color w:val="000000"/>
                <w:sz w:val="22"/>
                <w:szCs w:val="22"/>
              </w:rPr>
              <w:t> </w:t>
            </w:r>
            <w:r w:rsidRPr="000F2132">
              <w:rPr>
                <w:rFonts w:cstheme="minorHAnsi"/>
                <w:color w:val="000000"/>
                <w:sz w:val="22"/>
                <w:szCs w:val="22"/>
              </w:rPr>
              <w:t>privacy</w:t>
            </w:r>
            <w:r w:rsidRPr="000F2132">
              <w:rPr>
                <w:rStyle w:val="apple-converted-space"/>
                <w:rFonts w:cstheme="minorHAnsi"/>
                <w:color w:val="000000"/>
                <w:sz w:val="22"/>
                <w:szCs w:val="22"/>
              </w:rPr>
              <w:t> </w:t>
            </w:r>
            <w:r w:rsidRPr="000F2132">
              <w:rPr>
                <w:rFonts w:cstheme="minorHAnsi"/>
                <w:color w:val="000000"/>
                <w:sz w:val="22"/>
                <w:szCs w:val="22"/>
              </w:rPr>
              <w:t>and</w:t>
            </w:r>
            <w:r w:rsidRPr="000F2132">
              <w:rPr>
                <w:rStyle w:val="apple-converted-space"/>
                <w:rFonts w:cstheme="minorHAnsi"/>
                <w:color w:val="000000"/>
                <w:sz w:val="22"/>
                <w:szCs w:val="22"/>
              </w:rPr>
              <w:t> </w:t>
            </w:r>
            <w:r w:rsidRPr="000F2132">
              <w:rPr>
                <w:rFonts w:cstheme="minorHAnsi"/>
                <w:color w:val="000000"/>
                <w:sz w:val="22"/>
                <w:szCs w:val="22"/>
              </w:rPr>
              <w:t>proxy</w:t>
            </w:r>
            <w:r w:rsidRPr="000F2132">
              <w:rPr>
                <w:rStyle w:val="apple-converted-space"/>
                <w:rFonts w:cstheme="minorHAnsi"/>
                <w:color w:val="000000"/>
                <w:sz w:val="22"/>
                <w:szCs w:val="22"/>
              </w:rPr>
              <w:t> </w:t>
            </w:r>
            <w:r w:rsidRPr="000F2132">
              <w:rPr>
                <w:rFonts w:cstheme="minorHAnsi"/>
                <w:color w:val="000000"/>
                <w:sz w:val="22"/>
                <w:szCs w:val="22"/>
              </w:rPr>
              <w:t>service providers, regardless of whether the provider is affiliated with a registrar or registry operator or operating independently of any other contracted party. The draft</w:t>
            </w:r>
            <w:r w:rsidRPr="000F2132">
              <w:rPr>
                <w:rStyle w:val="apple-converted-space"/>
                <w:rFonts w:cstheme="minorHAnsi"/>
                <w:color w:val="000000"/>
                <w:sz w:val="22"/>
                <w:szCs w:val="22"/>
              </w:rPr>
              <w:t> </w:t>
            </w:r>
            <w:r w:rsidRPr="000F2132">
              <w:rPr>
                <w:rFonts w:cstheme="minorHAnsi"/>
                <w:color w:val="000000"/>
                <w:sz w:val="22"/>
                <w:szCs w:val="22"/>
              </w:rPr>
              <w:t>privacy</w:t>
            </w:r>
            <w:r w:rsidRPr="000F2132">
              <w:rPr>
                <w:rStyle w:val="apple-converted-space"/>
                <w:rFonts w:cstheme="minorHAnsi"/>
                <w:color w:val="000000"/>
                <w:sz w:val="22"/>
                <w:szCs w:val="22"/>
              </w:rPr>
              <w:t> </w:t>
            </w:r>
            <w:r w:rsidRPr="000F2132">
              <w:rPr>
                <w:rFonts w:cstheme="minorHAnsi"/>
                <w:color w:val="000000"/>
                <w:sz w:val="22"/>
                <w:szCs w:val="22"/>
              </w:rPr>
              <w:t>and</w:t>
            </w:r>
            <w:r w:rsidRPr="000F2132">
              <w:rPr>
                <w:rStyle w:val="apple-converted-space"/>
                <w:rFonts w:cstheme="minorHAnsi"/>
                <w:color w:val="000000"/>
                <w:sz w:val="22"/>
                <w:szCs w:val="22"/>
              </w:rPr>
              <w:t> </w:t>
            </w:r>
            <w:r w:rsidRPr="000F2132">
              <w:rPr>
                <w:rFonts w:cstheme="minorHAnsi"/>
                <w:color w:val="000000"/>
                <w:sz w:val="22"/>
                <w:szCs w:val="22"/>
              </w:rPr>
              <w:t>proxy</w:t>
            </w:r>
            <w:r w:rsidRPr="000F2132">
              <w:rPr>
                <w:rStyle w:val="apple-converted-space"/>
                <w:rFonts w:cstheme="minorHAnsi"/>
                <w:color w:val="000000"/>
                <w:sz w:val="22"/>
                <w:szCs w:val="22"/>
              </w:rPr>
              <w:t> </w:t>
            </w:r>
            <w:r w:rsidRPr="000F2132">
              <w:rPr>
                <w:rFonts w:cstheme="minorHAnsi"/>
                <w:color w:val="000000"/>
                <w:sz w:val="22"/>
                <w:szCs w:val="22"/>
              </w:rPr>
              <w:t>service provider accreditation agreement does not distinguish between requirements for registrar-affiliated and non</w:t>
            </w:r>
            <w:r>
              <w:rPr>
                <w:rFonts w:cstheme="minorHAnsi"/>
                <w:color w:val="000000"/>
                <w:sz w:val="22"/>
                <w:szCs w:val="22"/>
              </w:rPr>
              <w:t xml:space="preserve">-affiliated privacy </w:t>
            </w:r>
            <w:proofErr w:type="gramStart"/>
            <w:r>
              <w:rPr>
                <w:rFonts w:cstheme="minorHAnsi"/>
                <w:color w:val="000000"/>
                <w:sz w:val="22"/>
                <w:szCs w:val="22"/>
              </w:rPr>
              <w:t xml:space="preserve">and  </w:t>
            </w:r>
            <w:r w:rsidRPr="000F2132">
              <w:rPr>
                <w:rFonts w:cstheme="minorHAnsi"/>
                <w:color w:val="000000"/>
                <w:sz w:val="22"/>
                <w:szCs w:val="22"/>
              </w:rPr>
              <w:t>proxy</w:t>
            </w:r>
            <w:proofErr w:type="gramEnd"/>
            <w:r w:rsidRPr="000F2132">
              <w:rPr>
                <w:rStyle w:val="apple-converted-space"/>
                <w:rFonts w:cstheme="minorHAnsi"/>
                <w:color w:val="000000"/>
                <w:sz w:val="22"/>
                <w:szCs w:val="22"/>
              </w:rPr>
              <w:t> </w:t>
            </w:r>
            <w:r w:rsidRPr="000F2132">
              <w:rPr>
                <w:rFonts w:cstheme="minorHAnsi"/>
                <w:color w:val="000000"/>
                <w:sz w:val="22"/>
                <w:szCs w:val="22"/>
              </w:rPr>
              <w:t>service providers, at the direction of the PPSAI IRT. The draft requirements would require all</w:t>
            </w:r>
            <w:r w:rsidRPr="000F2132">
              <w:rPr>
                <w:rStyle w:val="apple-converted-space"/>
                <w:rFonts w:cstheme="minorHAnsi"/>
                <w:color w:val="000000"/>
                <w:sz w:val="22"/>
                <w:szCs w:val="22"/>
              </w:rPr>
              <w:t> </w:t>
            </w:r>
            <w:r w:rsidRPr="000F2132">
              <w:rPr>
                <w:rFonts w:cstheme="minorHAnsi"/>
                <w:color w:val="000000"/>
                <w:sz w:val="22"/>
                <w:szCs w:val="22"/>
              </w:rPr>
              <w:t>privacy</w:t>
            </w:r>
            <w:r w:rsidRPr="000F2132">
              <w:rPr>
                <w:rStyle w:val="apple-converted-space"/>
                <w:rFonts w:cstheme="minorHAnsi"/>
                <w:color w:val="000000"/>
                <w:sz w:val="22"/>
                <w:szCs w:val="22"/>
              </w:rPr>
              <w:t> </w:t>
            </w:r>
            <w:r w:rsidRPr="000F2132">
              <w:rPr>
                <w:rFonts w:cstheme="minorHAnsi"/>
                <w:color w:val="000000"/>
                <w:sz w:val="22"/>
                <w:szCs w:val="22"/>
              </w:rPr>
              <w:t>and</w:t>
            </w:r>
            <w:r w:rsidRPr="000F2132">
              <w:rPr>
                <w:rStyle w:val="apple-converted-space"/>
                <w:rFonts w:cstheme="minorHAnsi"/>
                <w:color w:val="000000"/>
                <w:sz w:val="22"/>
                <w:szCs w:val="22"/>
              </w:rPr>
              <w:t> </w:t>
            </w:r>
            <w:r w:rsidRPr="000F2132">
              <w:rPr>
                <w:rFonts w:cstheme="minorHAnsi"/>
                <w:color w:val="000000"/>
                <w:sz w:val="22"/>
                <w:szCs w:val="22"/>
              </w:rPr>
              <w:t>proxy</w:t>
            </w:r>
            <w:r w:rsidRPr="000F2132">
              <w:rPr>
                <w:rStyle w:val="apple-converted-space"/>
                <w:rFonts w:cstheme="minorHAnsi"/>
                <w:color w:val="000000"/>
                <w:sz w:val="22"/>
                <w:szCs w:val="22"/>
              </w:rPr>
              <w:t> </w:t>
            </w:r>
            <w:r w:rsidRPr="000F2132">
              <w:rPr>
                <w:rFonts w:cstheme="minorHAnsi"/>
                <w:color w:val="000000"/>
                <w:sz w:val="22"/>
                <w:szCs w:val="22"/>
              </w:rPr>
              <w:t>service providers to become accredited to continue offering those services. This requirement for accreditation would be enforced through the registrar, on the grounds that accredited registrars could not knowingly accept registrations involving a</w:t>
            </w:r>
            <w:r w:rsidRPr="000F2132">
              <w:rPr>
                <w:rStyle w:val="apple-converted-space"/>
                <w:rFonts w:cstheme="minorHAnsi"/>
                <w:color w:val="000000"/>
                <w:sz w:val="22"/>
                <w:szCs w:val="22"/>
              </w:rPr>
              <w:t> </w:t>
            </w:r>
            <w:r w:rsidRPr="000F2132">
              <w:rPr>
                <w:rFonts w:cstheme="minorHAnsi"/>
                <w:color w:val="000000"/>
                <w:sz w:val="22"/>
                <w:szCs w:val="22"/>
              </w:rPr>
              <w:t>privacy</w:t>
            </w:r>
            <w:r w:rsidRPr="000F2132">
              <w:rPr>
                <w:rStyle w:val="apple-converted-space"/>
                <w:rFonts w:cstheme="minorHAnsi"/>
                <w:color w:val="000000"/>
                <w:sz w:val="22"/>
                <w:szCs w:val="22"/>
              </w:rPr>
              <w:t> </w:t>
            </w:r>
            <w:r w:rsidRPr="000F2132">
              <w:rPr>
                <w:rFonts w:cstheme="minorHAnsi"/>
                <w:color w:val="000000"/>
                <w:sz w:val="22"/>
                <w:szCs w:val="22"/>
              </w:rPr>
              <w:t>or</w:t>
            </w:r>
            <w:r w:rsidRPr="000F2132">
              <w:rPr>
                <w:rStyle w:val="apple-converted-space"/>
                <w:rFonts w:cstheme="minorHAnsi"/>
                <w:color w:val="000000"/>
                <w:sz w:val="22"/>
                <w:szCs w:val="22"/>
              </w:rPr>
              <w:t> </w:t>
            </w:r>
            <w:r w:rsidRPr="000F2132">
              <w:rPr>
                <w:rFonts w:cstheme="minorHAnsi"/>
                <w:color w:val="000000"/>
                <w:sz w:val="22"/>
                <w:szCs w:val="22"/>
              </w:rPr>
              <w:t>proxy</w:t>
            </w:r>
            <w:r w:rsidRPr="000F2132">
              <w:rPr>
                <w:rStyle w:val="apple-converted-space"/>
                <w:rFonts w:cstheme="minorHAnsi"/>
                <w:color w:val="000000"/>
                <w:sz w:val="22"/>
                <w:szCs w:val="22"/>
              </w:rPr>
              <w:t> </w:t>
            </w:r>
            <w:r w:rsidRPr="000F2132">
              <w:rPr>
                <w:rFonts w:cstheme="minorHAnsi"/>
                <w:color w:val="000000"/>
                <w:sz w:val="22"/>
                <w:szCs w:val="22"/>
              </w:rPr>
              <w:t>service from an unaccredited provider (See PPSAI recommendation 1, note, p. 7,</w:t>
            </w:r>
            <w:r w:rsidRPr="000F2132">
              <w:rPr>
                <w:rStyle w:val="apple-converted-space"/>
                <w:rFonts w:cstheme="minorHAnsi"/>
                <w:color w:val="000000"/>
                <w:sz w:val="22"/>
                <w:szCs w:val="22"/>
              </w:rPr>
              <w:t> </w:t>
            </w:r>
            <w:hyperlink r:id="rId8" w:history="1">
              <w:r w:rsidRPr="00277442">
                <w:rPr>
                  <w:rStyle w:val="Hyperlink"/>
                  <w:rFonts w:cstheme="minorHAnsi"/>
                  <w:sz w:val="22"/>
                  <w:szCs w:val="22"/>
                </w:rPr>
                <w:t>https://gnso.icann.org/sites/default/files/filefield_48305/ppsai-final-07dec15-en.pdf</w:t>
              </w:r>
            </w:hyperlink>
            <w:r w:rsidRPr="000F2132">
              <w:rPr>
                <w:rFonts w:cstheme="minorHAnsi"/>
                <w:color w:val="000000"/>
                <w:sz w:val="22"/>
                <w:szCs w:val="22"/>
              </w:rPr>
              <w:t>).</w:t>
            </w:r>
          </w:p>
          <w:p w14:paraId="5F40A811" w14:textId="17CD3F98" w:rsidR="00DA3EE8" w:rsidRPr="000F2132" w:rsidRDefault="000F2132" w:rsidP="009A6C92">
            <w:pPr>
              <w:pStyle w:val="ListParagraph"/>
              <w:ind w:left="360"/>
              <w:rPr>
                <w:rFonts w:cstheme="minorHAnsi"/>
                <w:sz w:val="22"/>
                <w:szCs w:val="22"/>
              </w:rPr>
            </w:pPr>
            <w:r w:rsidRPr="000F2132">
              <w:rPr>
                <w:rFonts w:cstheme="minorHAnsi"/>
                <w:color w:val="000000"/>
                <w:sz w:val="22"/>
                <w:szCs w:val="22"/>
              </w:rPr>
              <w:lastRenderedPageBreak/>
              <w:t>Following the completion of the</w:t>
            </w:r>
            <w:r w:rsidRPr="000F2132">
              <w:rPr>
                <w:rStyle w:val="apple-converted-space"/>
                <w:rFonts w:cstheme="minorHAnsi"/>
                <w:color w:val="000000"/>
                <w:sz w:val="22"/>
                <w:szCs w:val="22"/>
              </w:rPr>
              <w:t> </w:t>
            </w:r>
            <w:r w:rsidRPr="000F2132">
              <w:rPr>
                <w:rFonts w:cstheme="minorHAnsi"/>
                <w:color w:val="000000"/>
                <w:sz w:val="22"/>
                <w:szCs w:val="22"/>
              </w:rPr>
              <w:t>EPDP</w:t>
            </w:r>
            <w:r w:rsidRPr="000F2132">
              <w:rPr>
                <w:rStyle w:val="apple-converted-space"/>
                <w:rFonts w:cstheme="minorHAnsi"/>
                <w:color w:val="000000"/>
                <w:sz w:val="22"/>
                <w:szCs w:val="22"/>
              </w:rPr>
              <w:t> </w:t>
            </w:r>
            <w:r w:rsidRPr="000F2132">
              <w:rPr>
                <w:rFonts w:cstheme="minorHAnsi"/>
                <w:color w:val="000000"/>
                <w:sz w:val="22"/>
                <w:szCs w:val="22"/>
              </w:rPr>
              <w:t>Phase 2 work and the Rec 27 analysis, the existing draft PPSAI materials will need to be revisited to ensure consistency with the</w:t>
            </w:r>
            <w:r w:rsidRPr="000F2132">
              <w:rPr>
                <w:rStyle w:val="apple-converted-space"/>
                <w:rFonts w:cstheme="minorHAnsi"/>
                <w:color w:val="000000"/>
                <w:sz w:val="22"/>
                <w:szCs w:val="22"/>
              </w:rPr>
              <w:t> </w:t>
            </w:r>
            <w:r w:rsidRPr="000F2132">
              <w:rPr>
                <w:rFonts w:cstheme="minorHAnsi"/>
                <w:color w:val="000000"/>
                <w:sz w:val="22"/>
                <w:szCs w:val="22"/>
              </w:rPr>
              <w:t>EPDP-recommended requirements, and to ensure the requirements and processes fit together in a manner that will create a transparent, predictable, and reasonable process for all parties involved.</w:t>
            </w:r>
          </w:p>
          <w:p w14:paraId="3697B463" w14:textId="43650AB0" w:rsidR="00DA3EE8" w:rsidRPr="005A6D8E" w:rsidRDefault="00DA3EE8" w:rsidP="00CC6E78">
            <w:pPr>
              <w:pStyle w:val="ListParagraph"/>
              <w:numPr>
                <w:ilvl w:val="0"/>
                <w:numId w:val="10"/>
              </w:numPr>
              <w:rPr>
                <w:rFonts w:cstheme="minorHAnsi"/>
                <w:sz w:val="22"/>
                <w:szCs w:val="22"/>
                <w:highlight w:val="yellow"/>
              </w:rPr>
            </w:pPr>
            <w:r w:rsidRPr="005A6D8E">
              <w:rPr>
                <w:rFonts w:cstheme="minorHAnsi"/>
                <w:b/>
                <w:bCs/>
                <w:sz w:val="22"/>
                <w:szCs w:val="22"/>
                <w:highlight w:val="yellow"/>
              </w:rPr>
              <w:t>Based on input received, EPDP Support Staf</w:t>
            </w:r>
            <w:r w:rsidR="000F2132" w:rsidRPr="005A6D8E">
              <w:rPr>
                <w:rFonts w:cstheme="minorHAnsi"/>
                <w:b/>
                <w:bCs/>
                <w:sz w:val="22"/>
                <w:szCs w:val="22"/>
                <w:highlight w:val="yellow"/>
              </w:rPr>
              <w:t xml:space="preserve">f recommends the </w:t>
            </w:r>
            <w:r w:rsidR="009833D7" w:rsidRPr="005A6D8E">
              <w:rPr>
                <w:rFonts w:cstheme="minorHAnsi"/>
                <w:b/>
                <w:bCs/>
                <w:sz w:val="22"/>
                <w:szCs w:val="22"/>
                <w:highlight w:val="yellow"/>
              </w:rPr>
              <w:t>EPDP Team</w:t>
            </w:r>
            <w:r w:rsidR="000F2132" w:rsidRPr="005A6D8E">
              <w:rPr>
                <w:rFonts w:cstheme="minorHAnsi"/>
                <w:b/>
                <w:bCs/>
                <w:sz w:val="22"/>
                <w:szCs w:val="22"/>
                <w:highlight w:val="yellow"/>
              </w:rPr>
              <w:t xml:space="preserve"> to consider the following recommendation</w:t>
            </w:r>
            <w:r w:rsidR="000F2132" w:rsidRPr="005A6D8E">
              <w:rPr>
                <w:rFonts w:cstheme="minorHAnsi"/>
                <w:sz w:val="22"/>
                <w:szCs w:val="22"/>
                <w:highlight w:val="yellow"/>
              </w:rPr>
              <w:t>:</w:t>
            </w:r>
          </w:p>
          <w:p w14:paraId="27D67355" w14:textId="17492731" w:rsidR="000F2132" w:rsidRPr="000F2132" w:rsidRDefault="000F2132" w:rsidP="009A6C92">
            <w:pPr>
              <w:pStyle w:val="ListParagraph"/>
              <w:ind w:left="360"/>
              <w:rPr>
                <w:rFonts w:cstheme="minorHAnsi"/>
                <w:sz w:val="22"/>
                <w:szCs w:val="22"/>
              </w:rPr>
            </w:pPr>
            <w:r w:rsidRPr="005A6D8E">
              <w:rPr>
                <w:rFonts w:cstheme="minorHAnsi"/>
                <w:sz w:val="22"/>
                <w:szCs w:val="22"/>
                <w:highlight w:val="yellow"/>
              </w:rPr>
              <w:t xml:space="preserve">Following the implementation of the PPSAI recommendations, the EPDP Team </w:t>
            </w:r>
            <w:r w:rsidR="009A6C92" w:rsidRPr="005A6D8E">
              <w:rPr>
                <w:rFonts w:cstheme="minorHAnsi"/>
                <w:sz w:val="22"/>
                <w:szCs w:val="22"/>
                <w:highlight w:val="yellow"/>
              </w:rPr>
              <w:t>recommends that EPDP Phase 1 recommendation #14 (“</w:t>
            </w:r>
            <w:r w:rsidR="009A6C92" w:rsidRPr="005A6D8E">
              <w:rPr>
                <w:sz w:val="22"/>
                <w:szCs w:val="22"/>
                <w:highlight w:val="yellow"/>
              </w:rPr>
              <w:t>In the case of a domain name registration where an "affiliated" privacy/proxy service used (e.g. where data associated with a natural person is masked), Registrar (and Registry where applicable) MUST include in the public RDDS and return in response to any query full non-personal RDDS data of the privacy/proxy service, which MAY also include the existing privacy/proxy pseudonymized email.) applies to all accredited privacy and proxy services.</w:t>
            </w:r>
            <w:r w:rsidR="009A6C92" w:rsidRPr="009A6C92">
              <w:rPr>
                <w:sz w:val="22"/>
                <w:szCs w:val="22"/>
              </w:rPr>
              <w:t xml:space="preserve"> </w:t>
            </w:r>
            <w:r w:rsidR="009A6C92" w:rsidRPr="009A6C92">
              <w:rPr>
                <w:rFonts w:cstheme="minorHAnsi"/>
                <w:sz w:val="22"/>
                <w:szCs w:val="22"/>
              </w:rPr>
              <w:t xml:space="preserve"> </w:t>
            </w:r>
          </w:p>
        </w:tc>
      </w:tr>
      <w:tr w:rsidR="00DA3EE8" w:rsidRPr="000F2132" w14:paraId="1D4C9739" w14:textId="69135B18" w:rsidTr="000F2132">
        <w:tc>
          <w:tcPr>
            <w:tcW w:w="6115" w:type="dxa"/>
          </w:tcPr>
          <w:p w14:paraId="56389491" w14:textId="25A90388" w:rsidR="00DA3EE8" w:rsidRPr="000F2132" w:rsidRDefault="001936C5">
            <w:pPr>
              <w:rPr>
                <w:rFonts w:cstheme="minorHAnsi"/>
                <w:b/>
                <w:bCs/>
                <w:sz w:val="22"/>
                <w:szCs w:val="22"/>
              </w:rPr>
            </w:pPr>
            <w:hyperlink r:id="rId9" w:history="1">
              <w:r w:rsidR="00DA3EE8" w:rsidRPr="000F2132">
                <w:rPr>
                  <w:rStyle w:val="Hyperlink"/>
                  <w:rFonts w:cstheme="minorHAnsi"/>
                  <w:b/>
                  <w:bCs/>
                  <w:sz w:val="22"/>
                  <w:szCs w:val="22"/>
                </w:rPr>
                <w:t>Legal vs. natural persons</w:t>
              </w:r>
            </w:hyperlink>
          </w:p>
          <w:p w14:paraId="70C1BDA2" w14:textId="77777777" w:rsidR="00DA3EE8" w:rsidRPr="000F2132" w:rsidRDefault="00DA3EE8">
            <w:pPr>
              <w:rPr>
                <w:rFonts w:cstheme="minorHAnsi"/>
                <w:sz w:val="22"/>
                <w:szCs w:val="22"/>
              </w:rPr>
            </w:pPr>
          </w:p>
          <w:p w14:paraId="0E0CEB05" w14:textId="0821D947" w:rsidR="00DA3EE8" w:rsidRPr="000F2132" w:rsidRDefault="00DA3EE8" w:rsidP="00882208">
            <w:pPr>
              <w:pStyle w:val="NormalWeb"/>
              <w:spacing w:before="0" w:beforeAutospacing="0" w:after="0" w:afterAutospacing="0"/>
              <w:rPr>
                <w:rFonts w:asciiTheme="minorHAnsi" w:hAnsiTheme="minorHAnsi" w:cstheme="minorHAnsi"/>
                <w:sz w:val="22"/>
                <w:szCs w:val="22"/>
              </w:rPr>
            </w:pPr>
            <w:r w:rsidRPr="000F2132">
              <w:rPr>
                <w:rFonts w:asciiTheme="minorHAnsi" w:hAnsiTheme="minorHAnsi" w:cstheme="minorHAnsi"/>
                <w:color w:val="000000"/>
                <w:sz w:val="22"/>
                <w:szCs w:val="22"/>
              </w:rPr>
              <w:t>Phase 1 rec: 2) The EPDP Team recommends that as soon as possible ICANN Org undertakes a study, for which the terms of reference are developed in consultation with the community, that considers:</w:t>
            </w:r>
          </w:p>
          <w:p w14:paraId="610D8B4C" w14:textId="77777777" w:rsidR="00DA3EE8" w:rsidRPr="000F2132" w:rsidRDefault="00DA3EE8" w:rsidP="00882208">
            <w:pPr>
              <w:pStyle w:val="NormalWeb"/>
              <w:numPr>
                <w:ilvl w:val="0"/>
                <w:numId w:val="11"/>
              </w:numPr>
              <w:spacing w:before="0" w:beforeAutospacing="0" w:after="0" w:afterAutospacing="0"/>
              <w:ind w:left="338" w:hanging="270"/>
              <w:textAlignment w:val="baseline"/>
              <w:rPr>
                <w:rFonts w:asciiTheme="minorHAnsi" w:hAnsiTheme="minorHAnsi" w:cstheme="minorHAnsi"/>
                <w:color w:val="000000"/>
                <w:sz w:val="22"/>
                <w:szCs w:val="22"/>
              </w:rPr>
            </w:pPr>
            <w:r w:rsidRPr="000F2132">
              <w:rPr>
                <w:rFonts w:asciiTheme="minorHAnsi" w:hAnsiTheme="minorHAnsi" w:cstheme="minorHAnsi"/>
                <w:color w:val="000000"/>
                <w:sz w:val="22"/>
                <w:szCs w:val="22"/>
              </w:rPr>
              <w:t>The feasibility and costs including both implementation and potential liability costs of differentiating between legal and natural persons; </w:t>
            </w:r>
          </w:p>
          <w:p w14:paraId="7473810F" w14:textId="77777777" w:rsidR="00DA3EE8" w:rsidRPr="000F2132" w:rsidRDefault="00DA3EE8" w:rsidP="00882208">
            <w:pPr>
              <w:pStyle w:val="NormalWeb"/>
              <w:numPr>
                <w:ilvl w:val="0"/>
                <w:numId w:val="11"/>
              </w:numPr>
              <w:spacing w:before="0" w:beforeAutospacing="0" w:after="0" w:afterAutospacing="0"/>
              <w:ind w:left="338" w:hanging="270"/>
              <w:textAlignment w:val="baseline"/>
              <w:rPr>
                <w:rFonts w:asciiTheme="minorHAnsi" w:hAnsiTheme="minorHAnsi" w:cstheme="minorHAnsi"/>
                <w:color w:val="000000"/>
                <w:sz w:val="22"/>
                <w:szCs w:val="22"/>
              </w:rPr>
            </w:pPr>
            <w:r w:rsidRPr="000F2132">
              <w:rPr>
                <w:rFonts w:asciiTheme="minorHAnsi" w:hAnsiTheme="minorHAnsi" w:cstheme="minorHAnsi"/>
                <w:color w:val="000000"/>
                <w:sz w:val="22"/>
                <w:szCs w:val="22"/>
              </w:rPr>
              <w:t>Examples of industries or other organizations that have successfully differentiated between legal and natural persons; </w:t>
            </w:r>
          </w:p>
          <w:p w14:paraId="4831E448" w14:textId="77777777" w:rsidR="00DA3EE8" w:rsidRPr="000F2132" w:rsidRDefault="00DA3EE8" w:rsidP="00882208">
            <w:pPr>
              <w:pStyle w:val="NormalWeb"/>
              <w:numPr>
                <w:ilvl w:val="0"/>
                <w:numId w:val="11"/>
              </w:numPr>
              <w:spacing w:before="0" w:beforeAutospacing="0" w:after="0" w:afterAutospacing="0"/>
              <w:ind w:left="338" w:hanging="270"/>
              <w:textAlignment w:val="baseline"/>
              <w:rPr>
                <w:rFonts w:asciiTheme="minorHAnsi" w:hAnsiTheme="minorHAnsi" w:cstheme="minorHAnsi"/>
                <w:color w:val="000000"/>
                <w:sz w:val="22"/>
                <w:szCs w:val="22"/>
              </w:rPr>
            </w:pPr>
            <w:r w:rsidRPr="000F2132">
              <w:rPr>
                <w:rFonts w:asciiTheme="minorHAnsi" w:hAnsiTheme="minorHAnsi" w:cstheme="minorHAnsi"/>
                <w:color w:val="000000"/>
                <w:sz w:val="22"/>
                <w:szCs w:val="22"/>
              </w:rPr>
              <w:t>Privacy risks to registered name holders of differentiating between legal and natural persons; and </w:t>
            </w:r>
          </w:p>
          <w:p w14:paraId="0FFAA95B" w14:textId="5F973DFC" w:rsidR="00DA3EE8" w:rsidRPr="000F2132" w:rsidRDefault="00DA3EE8" w:rsidP="00882208">
            <w:pPr>
              <w:pStyle w:val="NormalWeb"/>
              <w:numPr>
                <w:ilvl w:val="0"/>
                <w:numId w:val="11"/>
              </w:numPr>
              <w:spacing w:before="0" w:beforeAutospacing="0" w:after="0" w:afterAutospacing="0"/>
              <w:ind w:left="338" w:hanging="270"/>
              <w:textAlignment w:val="baseline"/>
              <w:rPr>
                <w:rFonts w:asciiTheme="minorHAnsi" w:hAnsiTheme="minorHAnsi" w:cstheme="minorHAnsi"/>
                <w:color w:val="000000"/>
                <w:sz w:val="22"/>
                <w:szCs w:val="22"/>
              </w:rPr>
            </w:pPr>
            <w:r w:rsidRPr="000F2132">
              <w:rPr>
                <w:rFonts w:asciiTheme="minorHAnsi" w:hAnsiTheme="minorHAnsi" w:cstheme="minorHAnsi"/>
                <w:color w:val="000000"/>
                <w:sz w:val="22"/>
                <w:szCs w:val="22"/>
              </w:rPr>
              <w:t>Other potential risks (if any) to registrars and registries of not differentiating. </w:t>
            </w:r>
          </w:p>
          <w:p w14:paraId="1E3FB073" w14:textId="77777777" w:rsidR="00DA3EE8" w:rsidRPr="000F2132" w:rsidRDefault="00DA3EE8" w:rsidP="00882208">
            <w:pPr>
              <w:rPr>
                <w:rFonts w:cstheme="minorHAnsi"/>
                <w:sz w:val="22"/>
                <w:szCs w:val="22"/>
              </w:rPr>
            </w:pPr>
          </w:p>
          <w:p w14:paraId="53A872E4" w14:textId="3D0F8209" w:rsidR="00DA3EE8" w:rsidRPr="000F2132" w:rsidRDefault="00DA3EE8" w:rsidP="00882208">
            <w:pPr>
              <w:pStyle w:val="NormalWeb"/>
              <w:spacing w:before="0" w:beforeAutospacing="0" w:after="0" w:afterAutospacing="0"/>
              <w:rPr>
                <w:rFonts w:asciiTheme="minorHAnsi" w:hAnsiTheme="minorHAnsi" w:cstheme="minorHAnsi"/>
                <w:sz w:val="22"/>
                <w:szCs w:val="22"/>
              </w:rPr>
            </w:pPr>
            <w:r w:rsidRPr="000F2132">
              <w:rPr>
                <w:rFonts w:asciiTheme="minorHAnsi" w:hAnsiTheme="minorHAnsi" w:cstheme="minorHAnsi"/>
                <w:color w:val="000000"/>
                <w:sz w:val="22"/>
                <w:szCs w:val="22"/>
              </w:rPr>
              <w:lastRenderedPageBreak/>
              <w:t>3) The EPDP Team will determine and resolve the Legal vs. Natural issue in Phase 2.</w:t>
            </w:r>
          </w:p>
        </w:tc>
        <w:tc>
          <w:tcPr>
            <w:tcW w:w="6570" w:type="dxa"/>
          </w:tcPr>
          <w:p w14:paraId="783FF881" w14:textId="77777777" w:rsidR="009833D7" w:rsidRDefault="00DA3EE8" w:rsidP="009833D7">
            <w:pPr>
              <w:pStyle w:val="ListParagraph"/>
              <w:numPr>
                <w:ilvl w:val="0"/>
                <w:numId w:val="10"/>
              </w:numPr>
              <w:rPr>
                <w:sz w:val="22"/>
                <w:szCs w:val="22"/>
              </w:rPr>
            </w:pPr>
            <w:r w:rsidRPr="00367F9E">
              <w:rPr>
                <w:sz w:val="22"/>
                <w:szCs w:val="22"/>
              </w:rPr>
              <w:lastRenderedPageBreak/>
              <w:t xml:space="preserve">EPDP Support staff to confirm expected next steps and timing to conduct and publish study results (before ICANN66). </w:t>
            </w:r>
            <w:r w:rsidR="0002496C" w:rsidRPr="00367F9E">
              <w:rPr>
                <w:sz w:val="22"/>
                <w:szCs w:val="22"/>
              </w:rPr>
              <w:t>(</w:t>
            </w:r>
            <w:r w:rsidR="00367F9E">
              <w:rPr>
                <w:sz w:val="22"/>
                <w:szCs w:val="22"/>
              </w:rPr>
              <w:t>COMPLETED)</w:t>
            </w:r>
          </w:p>
          <w:p w14:paraId="36B3C049" w14:textId="3D80C67B" w:rsidR="00DA3EE8" w:rsidRDefault="0002496C" w:rsidP="009833D7">
            <w:pPr>
              <w:pStyle w:val="ListParagraph"/>
              <w:numPr>
                <w:ilvl w:val="0"/>
                <w:numId w:val="10"/>
              </w:numPr>
              <w:rPr>
                <w:sz w:val="22"/>
                <w:szCs w:val="22"/>
              </w:rPr>
            </w:pPr>
            <w:r w:rsidRPr="009833D7">
              <w:rPr>
                <w:sz w:val="22"/>
                <w:szCs w:val="22"/>
              </w:rPr>
              <w:t>Session scheduled at ICANN66 to review draft Terms of Reference</w:t>
            </w:r>
            <w:r w:rsidR="009833D7">
              <w:rPr>
                <w:sz w:val="22"/>
                <w:szCs w:val="22"/>
              </w:rPr>
              <w:t xml:space="preserve"> – see </w:t>
            </w:r>
            <w:hyperlink r:id="rId10" w:history="1">
              <w:r w:rsidR="00CD1164" w:rsidRPr="00CD1164">
                <w:rPr>
                  <w:rStyle w:val="Hyperlink"/>
                  <w:sz w:val="22"/>
                  <w:szCs w:val="22"/>
                </w:rPr>
                <w:t>slides</w:t>
              </w:r>
            </w:hyperlink>
            <w:r w:rsidR="00CD1164">
              <w:rPr>
                <w:sz w:val="22"/>
                <w:szCs w:val="22"/>
              </w:rPr>
              <w:t xml:space="preserve"> presented</w:t>
            </w:r>
            <w:r w:rsidR="005A6D8E">
              <w:rPr>
                <w:sz w:val="22"/>
                <w:szCs w:val="22"/>
              </w:rPr>
              <w:t>.</w:t>
            </w:r>
          </w:p>
          <w:p w14:paraId="104B225F" w14:textId="4B501CFE" w:rsidR="005A6D8E" w:rsidRPr="009833D7" w:rsidRDefault="001936C5" w:rsidP="009833D7">
            <w:pPr>
              <w:pStyle w:val="ListParagraph"/>
              <w:numPr>
                <w:ilvl w:val="0"/>
                <w:numId w:val="10"/>
              </w:numPr>
              <w:rPr>
                <w:sz w:val="22"/>
                <w:szCs w:val="22"/>
              </w:rPr>
            </w:pPr>
            <w:r>
              <w:rPr>
                <w:sz w:val="22"/>
                <w:szCs w:val="22"/>
              </w:rPr>
              <w:t>See update provided by Karen Lentz during Jan LA F2F meeting (</w:t>
            </w:r>
            <w:hyperlink r:id="rId11" w:history="1">
              <w:r w:rsidRPr="00C40B80">
                <w:rPr>
                  <w:rStyle w:val="Hyperlink"/>
                  <w:sz w:val="22"/>
                  <w:szCs w:val="22"/>
                </w:rPr>
                <w:t>https://community.icann.org/x/WgVxBw</w:t>
              </w:r>
            </w:hyperlink>
            <w:r>
              <w:rPr>
                <w:sz w:val="22"/>
                <w:szCs w:val="22"/>
              </w:rPr>
              <w:t xml:space="preserve">) </w:t>
            </w:r>
          </w:p>
          <w:p w14:paraId="7DBA4D0E" w14:textId="4EB4E38C" w:rsidR="005A6D8E" w:rsidRDefault="005A6D8E" w:rsidP="005A6D8E">
            <w:pPr>
              <w:pStyle w:val="ListParagraph"/>
              <w:numPr>
                <w:ilvl w:val="0"/>
                <w:numId w:val="10"/>
              </w:numPr>
              <w:rPr>
                <w:rFonts w:cstheme="minorHAnsi"/>
                <w:sz w:val="22"/>
                <w:szCs w:val="22"/>
              </w:rPr>
            </w:pPr>
            <w:r>
              <w:rPr>
                <w:rFonts w:cstheme="minorHAnsi"/>
                <w:sz w:val="22"/>
                <w:szCs w:val="22"/>
              </w:rPr>
              <w:t xml:space="preserve">The following questions </w:t>
            </w:r>
            <w:r w:rsidR="00DE3B28">
              <w:rPr>
                <w:rFonts w:cstheme="minorHAnsi"/>
                <w:sz w:val="22"/>
                <w:szCs w:val="22"/>
              </w:rPr>
              <w:t>are under review by the legal committee</w:t>
            </w:r>
            <w:r>
              <w:rPr>
                <w:rFonts w:cstheme="minorHAnsi"/>
                <w:sz w:val="22"/>
                <w:szCs w:val="22"/>
              </w:rPr>
              <w:t>:</w:t>
            </w:r>
          </w:p>
          <w:p w14:paraId="09249D54" w14:textId="3BD8A5BA" w:rsidR="005A6D8E" w:rsidRPr="005A6D8E" w:rsidRDefault="005A6D8E" w:rsidP="005A6D8E">
            <w:pPr>
              <w:pStyle w:val="ListParagraph"/>
              <w:numPr>
                <w:ilvl w:val="1"/>
                <w:numId w:val="11"/>
              </w:numPr>
              <w:rPr>
                <w:rFonts w:cstheme="minorHAnsi"/>
                <w:color w:val="000000"/>
                <w:sz w:val="22"/>
                <w:szCs w:val="22"/>
              </w:rPr>
            </w:pPr>
            <w:r w:rsidRPr="005A6D8E">
              <w:rPr>
                <w:rFonts w:cstheme="minorHAnsi"/>
                <w:color w:val="000000"/>
                <w:sz w:val="22"/>
                <w:szCs w:val="22"/>
              </w:rPr>
              <w:t>The Legal vs. Natural person memo discusses a “risk of liability” if additional steps are not taken to ensure the accuracy of data. How do you characterize the level of risk of liability - low, medium, or high?  What is the threshold for “reason to doubt” registrant self-identification that triggers this risk of liability?  Is the risk in Paragraph 17 the same or different than the risk discussed in Paragraph 23? Would detailed notice at the time of registration and ongoing renewals reduce the risk that data subjects will wrongly self-identify to a negligible level?</w:t>
            </w:r>
          </w:p>
          <w:p w14:paraId="5CB44C79" w14:textId="77777777" w:rsidR="005A6D8E" w:rsidRPr="005A6D8E" w:rsidRDefault="005A6D8E" w:rsidP="005A6D8E">
            <w:pPr>
              <w:pStyle w:val="NormalWeb"/>
              <w:spacing w:before="200" w:beforeAutospacing="0" w:after="240" w:afterAutospacing="0"/>
              <w:ind w:left="72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lastRenderedPageBreak/>
              <w:t xml:space="preserve">“If the relevant parties had no reason to doubt the reliability of a registrant's self-identification, then they likely would be able to rely on the self-identification alone, without independent confirmation. However, we understand that the parties are concerned that some registrants will not understand the question and will wrongly self-identify. Therefore, there would be a </w:t>
            </w:r>
            <w:r w:rsidRPr="005A6D8E">
              <w:rPr>
                <w:rFonts w:asciiTheme="minorHAnsi" w:hAnsiTheme="minorHAnsi" w:cstheme="minorHAnsi"/>
                <w:b/>
                <w:bCs/>
                <w:color w:val="000000"/>
                <w:sz w:val="22"/>
                <w:szCs w:val="22"/>
              </w:rPr>
              <w:t>risk of liability</w:t>
            </w:r>
            <w:r w:rsidRPr="005A6D8E">
              <w:rPr>
                <w:rFonts w:asciiTheme="minorHAnsi" w:hAnsiTheme="minorHAnsi" w:cstheme="minorHAnsi"/>
                <w:color w:val="000000"/>
                <w:sz w:val="22"/>
                <w:szCs w:val="22"/>
              </w:rPr>
              <w:t xml:space="preserve"> if the relevant parties did not take further steps to ensure the accuracy of the registrant's designation.” (emphasis added) (Paragraph 17 – Legal vs. Natural)</w:t>
            </w:r>
          </w:p>
          <w:p w14:paraId="28433FD1" w14:textId="75726280" w:rsidR="005A6D8E" w:rsidRPr="005A6D8E" w:rsidRDefault="005A6D8E" w:rsidP="005A6D8E">
            <w:pPr>
              <w:pStyle w:val="NormalWeb"/>
              <w:spacing w:before="200" w:beforeAutospacing="0" w:after="240" w:afterAutospacing="0"/>
              <w:ind w:left="72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t xml:space="preserve">“When a registrant identifies as either a natural or a legal person, this self-identification will determine whether the data provided is made publicly available by default. If there is a </w:t>
            </w:r>
            <w:r w:rsidRPr="005A6D8E">
              <w:rPr>
                <w:rFonts w:asciiTheme="minorHAnsi" w:hAnsiTheme="minorHAnsi" w:cstheme="minorHAnsi"/>
                <w:b/>
                <w:bCs/>
                <w:color w:val="000000"/>
                <w:sz w:val="22"/>
                <w:szCs w:val="22"/>
              </w:rPr>
              <w:t>reasonable risk</w:t>
            </w:r>
            <w:r w:rsidRPr="005A6D8E">
              <w:rPr>
                <w:rFonts w:asciiTheme="minorHAnsi" w:hAnsiTheme="minorHAnsi" w:cstheme="minorHAnsi"/>
                <w:color w:val="000000"/>
                <w:sz w:val="22"/>
                <w:szCs w:val="22"/>
              </w:rPr>
              <w:t xml:space="preserve"> that data subjects will wrongly self-identify, then failing to make the consequences of the self-identification known to data subjects could </w:t>
            </w:r>
            <w:r w:rsidRPr="005A6D8E">
              <w:rPr>
                <w:rFonts w:asciiTheme="minorHAnsi" w:hAnsiTheme="minorHAnsi" w:cstheme="minorHAnsi"/>
                <w:b/>
                <w:bCs/>
                <w:color w:val="000000"/>
                <w:sz w:val="22"/>
                <w:szCs w:val="22"/>
              </w:rPr>
              <w:t>result in liability</w:t>
            </w:r>
            <w:r w:rsidRPr="005A6D8E">
              <w:rPr>
                <w:rFonts w:asciiTheme="minorHAnsi" w:hAnsiTheme="minorHAnsi" w:cstheme="minorHAnsi"/>
                <w:color w:val="000000"/>
                <w:sz w:val="22"/>
                <w:szCs w:val="22"/>
              </w:rPr>
              <w:t xml:space="preserve"> for failing to meet the Lawfulness, Fairness and Transparency Principle.” (emphasis added) (Paragraph 23 – Legal vs. Natural)</w:t>
            </w:r>
          </w:p>
          <w:p w14:paraId="4C5FE63A" w14:textId="77777777" w:rsidR="005A6D8E" w:rsidRDefault="005A6D8E" w:rsidP="005A6D8E">
            <w:pPr>
              <w:pStyle w:val="ListParagraph"/>
              <w:numPr>
                <w:ilvl w:val="1"/>
                <w:numId w:val="11"/>
              </w:numPr>
              <w:spacing w:before="100" w:beforeAutospacing="1" w:after="100" w:afterAutospacing="1"/>
              <w:rPr>
                <w:rFonts w:cstheme="minorHAnsi"/>
                <w:color w:val="000000"/>
                <w:sz w:val="22"/>
                <w:szCs w:val="22"/>
              </w:rPr>
            </w:pPr>
            <w:r w:rsidRPr="005A6D8E">
              <w:rPr>
                <w:rFonts w:cstheme="minorHAnsi"/>
                <w:color w:val="000000"/>
                <w:sz w:val="22"/>
                <w:szCs w:val="22"/>
              </w:rPr>
              <w:t>Registration data submitted by legal person registrants may contain the data of natural persons.  A Phase 1 memo stated that registrars can rely on a registrant's self-identification as legal or natural person if risk is mitigated by taking further steps to ensure the accuracy of the registrant's designation. </w:t>
            </w:r>
          </w:p>
          <w:p w14:paraId="024DB7AF" w14:textId="77777777" w:rsidR="005A6D8E" w:rsidRDefault="005A6D8E" w:rsidP="005A6D8E">
            <w:pPr>
              <w:pStyle w:val="ListParagraph"/>
              <w:spacing w:before="100" w:beforeAutospacing="1" w:after="100" w:afterAutospacing="1"/>
              <w:rPr>
                <w:rFonts w:cstheme="minorHAnsi"/>
                <w:color w:val="000000"/>
                <w:sz w:val="22"/>
                <w:szCs w:val="22"/>
              </w:rPr>
            </w:pPr>
          </w:p>
          <w:p w14:paraId="4B0710F6" w14:textId="161016F7" w:rsidR="005A6D8E" w:rsidRPr="005A6D8E" w:rsidRDefault="005A6D8E" w:rsidP="005A6D8E">
            <w:pPr>
              <w:pStyle w:val="ListParagraph"/>
              <w:spacing w:before="100" w:beforeAutospacing="1" w:after="100" w:afterAutospacing="1"/>
              <w:rPr>
                <w:rFonts w:cstheme="minorHAnsi"/>
                <w:color w:val="000000"/>
                <w:sz w:val="22"/>
                <w:szCs w:val="22"/>
              </w:rPr>
            </w:pPr>
            <w:r w:rsidRPr="005A6D8E">
              <w:rPr>
                <w:rFonts w:cstheme="minorHAnsi"/>
                <w:color w:val="000000"/>
                <w:sz w:val="22"/>
                <w:szCs w:val="22"/>
              </w:rPr>
              <w:t xml:space="preserve">As a follow-up to that memo: what are the consent options and requirements related to such designations?  Specifically: are data controllers entitled to rely on a statement obligating legal person registrants to obtain consent from a natural person who would act as a contact and whose information may be publicly displayed in RDS? If so, </w:t>
            </w:r>
            <w:r w:rsidRPr="005A6D8E">
              <w:rPr>
                <w:rFonts w:cstheme="minorHAnsi"/>
                <w:sz w:val="22"/>
                <w:szCs w:val="22"/>
              </w:rPr>
              <w:t>what representations, if any, would be helpful for the controller to obtain from the legal person registrant in this case?</w:t>
            </w:r>
          </w:p>
          <w:p w14:paraId="6922954A" w14:textId="77777777" w:rsidR="005A6D8E" w:rsidRPr="005A6D8E" w:rsidRDefault="005A6D8E" w:rsidP="005A6D8E">
            <w:pPr>
              <w:spacing w:before="100" w:beforeAutospacing="1" w:after="100" w:afterAutospacing="1"/>
              <w:ind w:left="360"/>
              <w:rPr>
                <w:rFonts w:cstheme="minorHAnsi"/>
                <w:color w:val="000000"/>
                <w:sz w:val="22"/>
                <w:szCs w:val="22"/>
              </w:rPr>
            </w:pPr>
            <w:r w:rsidRPr="005A6D8E">
              <w:rPr>
                <w:rFonts w:cstheme="minorHAnsi"/>
                <w:color w:val="000000"/>
                <w:sz w:val="22"/>
                <w:szCs w:val="22"/>
              </w:rPr>
              <w:lastRenderedPageBreak/>
              <w:t xml:space="preserve">As part of your analysis, please consult the GDPR policies and practices of the Internet protocol (IP address) registry RIPE-NCC (the registry for Europe, based in the Netherlands).  RIPE-NCC’s customers (registrants) are legal persons, usually corporations.  Natural persons can serve as their contacts, resulting in the data of natural persons being displayed publicly in WHOIS.  RIPE-NCC places the responsibility on its legal-person registrants to obtain permission from those natural </w:t>
            </w:r>
            <w:proofErr w:type="gramStart"/>
            <w:r w:rsidRPr="005A6D8E">
              <w:rPr>
                <w:rFonts w:cstheme="minorHAnsi"/>
                <w:color w:val="000000"/>
                <w:sz w:val="22"/>
                <w:szCs w:val="22"/>
              </w:rPr>
              <w:t>persons, and</w:t>
            </w:r>
            <w:proofErr w:type="gramEnd"/>
            <w:r w:rsidRPr="005A6D8E">
              <w:rPr>
                <w:rFonts w:cstheme="minorHAnsi"/>
                <w:color w:val="000000"/>
                <w:sz w:val="22"/>
                <w:szCs w:val="22"/>
              </w:rPr>
              <w:t xml:space="preserve"> provides procedures and safeguards for that.  RIPE-NCC states mission justifications and data collection purposes similar to those in ICANN's Temporary Specification.  Could similar policies and procedures be used at ICANN? </w:t>
            </w:r>
          </w:p>
          <w:p w14:paraId="269A920B" w14:textId="0C8A5DC2" w:rsidR="00DA3EE8" w:rsidRPr="005A6D8E" w:rsidRDefault="00DA3EE8" w:rsidP="00882208">
            <w:pPr>
              <w:pStyle w:val="ListParagraph"/>
              <w:numPr>
                <w:ilvl w:val="0"/>
                <w:numId w:val="10"/>
              </w:numPr>
              <w:rPr>
                <w:rFonts w:cstheme="minorHAnsi"/>
                <w:sz w:val="22"/>
                <w:szCs w:val="22"/>
                <w:highlight w:val="yellow"/>
              </w:rPr>
            </w:pPr>
            <w:r w:rsidRPr="005A6D8E">
              <w:rPr>
                <w:rFonts w:cstheme="minorHAnsi"/>
                <w:sz w:val="22"/>
                <w:szCs w:val="22"/>
                <w:highlight w:val="yellow"/>
              </w:rPr>
              <w:t>EPDP Team to</w:t>
            </w:r>
            <w:r w:rsidR="005A6D8E" w:rsidRPr="005A6D8E">
              <w:rPr>
                <w:rFonts w:cstheme="minorHAnsi"/>
                <w:sz w:val="22"/>
                <w:szCs w:val="22"/>
                <w:highlight w:val="yellow"/>
              </w:rPr>
              <w:t xml:space="preserve"> review results of study (when available) and responses to legal questions (</w:t>
            </w:r>
            <w:r w:rsidR="00DE3B28">
              <w:rPr>
                <w:rFonts w:cstheme="minorHAnsi"/>
                <w:sz w:val="22"/>
                <w:szCs w:val="22"/>
                <w:highlight w:val="yellow"/>
              </w:rPr>
              <w:t>if sent</w:t>
            </w:r>
            <w:r w:rsidR="005A6D8E" w:rsidRPr="005A6D8E">
              <w:rPr>
                <w:rFonts w:cstheme="minorHAnsi"/>
                <w:sz w:val="22"/>
                <w:szCs w:val="22"/>
                <w:highlight w:val="yellow"/>
              </w:rPr>
              <w:t>) and</w:t>
            </w:r>
            <w:r w:rsidRPr="005A6D8E">
              <w:rPr>
                <w:rFonts w:cstheme="minorHAnsi"/>
                <w:sz w:val="22"/>
                <w:szCs w:val="22"/>
                <w:highlight w:val="yellow"/>
              </w:rPr>
              <w:t xml:space="preserve"> reconsider whether Contracted Parties</w:t>
            </w:r>
            <w:r w:rsidR="00DE3B28">
              <w:rPr>
                <w:rFonts w:cstheme="minorHAnsi"/>
                <w:sz w:val="22"/>
                <w:szCs w:val="22"/>
                <w:highlight w:val="yellow"/>
              </w:rPr>
              <w:t xml:space="preserve"> should</w:t>
            </w:r>
            <w:r w:rsidRPr="005A6D8E">
              <w:rPr>
                <w:rFonts w:cstheme="minorHAnsi"/>
                <w:sz w:val="22"/>
                <w:szCs w:val="22"/>
                <w:highlight w:val="yellow"/>
              </w:rPr>
              <w:t xml:space="preserve"> be allowed or required to treat legal and natural persons differently, and what mechanism is needed to ensure reliable determination of status</w:t>
            </w:r>
            <w:r w:rsidR="005A6D8E" w:rsidRPr="005A6D8E">
              <w:rPr>
                <w:rFonts w:cstheme="minorHAnsi"/>
                <w:sz w:val="22"/>
                <w:szCs w:val="22"/>
                <w:highlight w:val="yellow"/>
              </w:rPr>
              <w:t>.</w:t>
            </w:r>
          </w:p>
        </w:tc>
      </w:tr>
      <w:tr w:rsidR="00DA3EE8" w:rsidRPr="000F2132" w14:paraId="23B4260A" w14:textId="12E1802C" w:rsidTr="00DA3EE8">
        <w:trPr>
          <w:cantSplit/>
        </w:trPr>
        <w:tc>
          <w:tcPr>
            <w:tcW w:w="6115" w:type="dxa"/>
          </w:tcPr>
          <w:p w14:paraId="53349CDA" w14:textId="5E49D698" w:rsidR="00DA3EE8" w:rsidRPr="000F2132" w:rsidRDefault="001936C5">
            <w:pPr>
              <w:rPr>
                <w:rStyle w:val="Hyperlink"/>
                <w:rFonts w:cstheme="minorHAnsi"/>
                <w:b/>
                <w:bCs/>
                <w:sz w:val="22"/>
                <w:szCs w:val="22"/>
              </w:rPr>
            </w:pPr>
            <w:hyperlink r:id="rId12" w:history="1">
              <w:r w:rsidR="00DA3EE8" w:rsidRPr="000F2132">
                <w:rPr>
                  <w:rStyle w:val="Hyperlink"/>
                  <w:rFonts w:cstheme="minorHAnsi"/>
                  <w:b/>
                  <w:bCs/>
                  <w:sz w:val="22"/>
                  <w:szCs w:val="22"/>
                </w:rPr>
                <w:t>City field redaction</w:t>
              </w:r>
            </w:hyperlink>
          </w:p>
          <w:p w14:paraId="51BA753C" w14:textId="79306DD6" w:rsidR="00DA3EE8" w:rsidRPr="000F2132" w:rsidRDefault="00DA3EE8">
            <w:pPr>
              <w:rPr>
                <w:rStyle w:val="Hyperlink"/>
                <w:rFonts w:cstheme="minorHAnsi"/>
                <w:b/>
                <w:bCs/>
                <w:sz w:val="22"/>
                <w:szCs w:val="22"/>
              </w:rPr>
            </w:pPr>
          </w:p>
          <w:p w14:paraId="5B29E013" w14:textId="413A0E61" w:rsidR="00DA3EE8" w:rsidRPr="000F2132" w:rsidRDefault="00DA3EE8" w:rsidP="00882208">
            <w:pPr>
              <w:pStyle w:val="NormalWeb"/>
              <w:spacing w:before="0" w:beforeAutospacing="0" w:after="0" w:afterAutospacing="0"/>
              <w:rPr>
                <w:rFonts w:asciiTheme="minorHAnsi" w:hAnsiTheme="minorHAnsi" w:cstheme="minorHAnsi"/>
                <w:color w:val="000000"/>
                <w:sz w:val="22"/>
                <w:szCs w:val="22"/>
              </w:rPr>
            </w:pPr>
            <w:r w:rsidRPr="000F2132">
              <w:rPr>
                <w:rFonts w:asciiTheme="minorHAnsi" w:hAnsiTheme="minorHAnsi" w:cstheme="minorHAnsi"/>
                <w:color w:val="000000"/>
                <w:sz w:val="22"/>
                <w:szCs w:val="22"/>
              </w:rPr>
              <w:t>From phase 1 rec: The EPDP Team expects to receive further legal advice on this topic, which it will analyze in phase 2 of its work to determine whether or not this recommendation should be</w:t>
            </w:r>
          </w:p>
          <w:p w14:paraId="7086161D" w14:textId="77777777" w:rsidR="00DA3EE8" w:rsidRPr="000F2132" w:rsidRDefault="00DA3EE8" w:rsidP="00882208">
            <w:pPr>
              <w:pStyle w:val="NormalWeb"/>
              <w:spacing w:before="0" w:beforeAutospacing="0" w:after="0" w:afterAutospacing="0"/>
              <w:rPr>
                <w:rFonts w:asciiTheme="minorHAnsi" w:hAnsiTheme="minorHAnsi" w:cstheme="minorHAnsi"/>
                <w:color w:val="000000"/>
                <w:sz w:val="22"/>
                <w:szCs w:val="22"/>
              </w:rPr>
            </w:pPr>
            <w:r w:rsidRPr="000F2132">
              <w:rPr>
                <w:rFonts w:asciiTheme="minorHAnsi" w:hAnsiTheme="minorHAnsi" w:cstheme="minorHAnsi"/>
                <w:color w:val="000000"/>
                <w:sz w:val="22"/>
                <w:szCs w:val="22"/>
              </w:rPr>
              <w:t>modified.</w:t>
            </w:r>
          </w:p>
          <w:p w14:paraId="51F2B249" w14:textId="24AFD13B" w:rsidR="00DA3EE8" w:rsidRPr="000F2132" w:rsidRDefault="00DA3EE8" w:rsidP="00882208">
            <w:pPr>
              <w:pStyle w:val="NormalWeb"/>
              <w:spacing w:before="0" w:beforeAutospacing="0" w:after="0" w:afterAutospacing="0"/>
              <w:rPr>
                <w:rFonts w:asciiTheme="minorHAnsi" w:hAnsiTheme="minorHAnsi" w:cstheme="minorHAnsi"/>
                <w:b/>
                <w:bCs/>
                <w:sz w:val="22"/>
                <w:szCs w:val="22"/>
              </w:rPr>
            </w:pPr>
          </w:p>
          <w:p w14:paraId="2472330F" w14:textId="77777777" w:rsidR="00DA3EE8" w:rsidRPr="000F2132" w:rsidRDefault="00DA3EE8">
            <w:pPr>
              <w:rPr>
                <w:rFonts w:cstheme="minorHAnsi"/>
                <w:sz w:val="22"/>
                <w:szCs w:val="22"/>
              </w:rPr>
            </w:pPr>
            <w:r w:rsidRPr="000F2132">
              <w:rPr>
                <w:rFonts w:cstheme="minorHAnsi"/>
                <w:sz w:val="22"/>
                <w:szCs w:val="22"/>
              </w:rPr>
              <w:tab/>
            </w:r>
          </w:p>
        </w:tc>
        <w:tc>
          <w:tcPr>
            <w:tcW w:w="6570" w:type="dxa"/>
          </w:tcPr>
          <w:p w14:paraId="6FFED918" w14:textId="06F76C09" w:rsidR="00DC0F28" w:rsidRPr="005A6D8E" w:rsidRDefault="00DA3EE8" w:rsidP="005A6D8E">
            <w:pPr>
              <w:pStyle w:val="ListParagraph"/>
              <w:numPr>
                <w:ilvl w:val="0"/>
                <w:numId w:val="10"/>
              </w:numPr>
              <w:rPr>
                <w:rFonts w:cstheme="minorHAnsi"/>
                <w:sz w:val="22"/>
                <w:szCs w:val="22"/>
              </w:rPr>
            </w:pPr>
            <w:r w:rsidRPr="006F0C1D">
              <w:rPr>
                <w:rFonts w:cstheme="minorHAnsi"/>
                <w:sz w:val="22"/>
                <w:szCs w:val="22"/>
                <w:highlight w:val="yellow"/>
              </w:rPr>
              <w:t>Legal committee to review and analyze legal advice received on this topic and recommend next steps to the EPDP Team, which could include modification of the phase 1 recommendation, maintaining phase 1 recommendation as is, and/or additional legal guidance to help inform a determination on whether or not the recommendation should be modified.</w:t>
            </w:r>
            <w:r w:rsidRPr="000F2132">
              <w:rPr>
                <w:rFonts w:cstheme="minorHAnsi"/>
                <w:sz w:val="22"/>
                <w:szCs w:val="22"/>
              </w:rPr>
              <w:t xml:space="preserve">  </w:t>
            </w:r>
          </w:p>
        </w:tc>
      </w:tr>
      <w:tr w:rsidR="00DA3EE8" w:rsidRPr="000F2132" w14:paraId="3E654A52" w14:textId="1EDB6801" w:rsidTr="00DA3EE8">
        <w:trPr>
          <w:cantSplit/>
        </w:trPr>
        <w:tc>
          <w:tcPr>
            <w:tcW w:w="6115" w:type="dxa"/>
          </w:tcPr>
          <w:p w14:paraId="6EC11007" w14:textId="2E5900BE" w:rsidR="00DA3EE8" w:rsidRPr="000F2132" w:rsidRDefault="001936C5">
            <w:pPr>
              <w:rPr>
                <w:rStyle w:val="Hyperlink"/>
                <w:rFonts w:cstheme="minorHAnsi"/>
                <w:b/>
                <w:bCs/>
                <w:sz w:val="22"/>
                <w:szCs w:val="22"/>
              </w:rPr>
            </w:pPr>
            <w:hyperlink r:id="rId13" w:history="1">
              <w:r w:rsidR="00DA3EE8" w:rsidRPr="000F2132">
                <w:rPr>
                  <w:rStyle w:val="Hyperlink"/>
                  <w:rFonts w:cstheme="minorHAnsi"/>
                  <w:b/>
                  <w:bCs/>
                  <w:sz w:val="22"/>
                  <w:szCs w:val="22"/>
                </w:rPr>
                <w:t>Data retention</w:t>
              </w:r>
            </w:hyperlink>
          </w:p>
          <w:p w14:paraId="387692F2" w14:textId="37F02F66" w:rsidR="00DA3EE8" w:rsidRPr="000F2132" w:rsidRDefault="00DA3EE8">
            <w:pPr>
              <w:rPr>
                <w:rStyle w:val="Hyperlink"/>
                <w:rFonts w:cstheme="minorHAnsi"/>
                <w:b/>
                <w:bCs/>
                <w:sz w:val="22"/>
                <w:szCs w:val="22"/>
              </w:rPr>
            </w:pPr>
          </w:p>
          <w:p w14:paraId="7F90DDA4" w14:textId="3423DB1F" w:rsidR="00DA3EE8" w:rsidRPr="000F2132" w:rsidRDefault="00DA3EE8" w:rsidP="00882208">
            <w:pPr>
              <w:pStyle w:val="NormalWeb"/>
              <w:spacing w:before="0" w:beforeAutospacing="0" w:after="0" w:afterAutospacing="0"/>
              <w:rPr>
                <w:rFonts w:asciiTheme="minorHAnsi" w:hAnsiTheme="minorHAnsi" w:cstheme="minorHAnsi"/>
                <w:sz w:val="22"/>
                <w:szCs w:val="22"/>
              </w:rPr>
            </w:pPr>
            <w:r w:rsidRPr="000F2132">
              <w:rPr>
                <w:rFonts w:asciiTheme="minorHAnsi" w:hAnsiTheme="minorHAnsi" w:cstheme="minorHAnsi"/>
                <w:color w:val="000000"/>
                <w:sz w:val="22"/>
                <w:szCs w:val="22"/>
              </w:rPr>
              <w:t>From phase 1 rec: In order to inform its Phase 2 deliberations, the EPDP team recommends that ICANN Org, as a matter of urgency, undertakes a review of all of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 and specific minimum data retention expectations for registrars. The EPDP Team recommends community members be invited to contribute to this data gathering exercise by providing input on other legitimate purposes for which different retention periods may be applicable.</w:t>
            </w:r>
          </w:p>
        </w:tc>
        <w:tc>
          <w:tcPr>
            <w:tcW w:w="6570" w:type="dxa"/>
          </w:tcPr>
          <w:p w14:paraId="76C877FA" w14:textId="2D0A54BF" w:rsidR="00DA3EE8" w:rsidRPr="000F2132" w:rsidRDefault="00DA3EE8" w:rsidP="006A45A1">
            <w:pPr>
              <w:pStyle w:val="ListParagraph"/>
              <w:numPr>
                <w:ilvl w:val="0"/>
                <w:numId w:val="9"/>
              </w:numPr>
              <w:rPr>
                <w:rFonts w:cstheme="minorHAnsi"/>
                <w:sz w:val="22"/>
                <w:szCs w:val="22"/>
              </w:rPr>
            </w:pPr>
            <w:r w:rsidRPr="000F2132">
              <w:rPr>
                <w:rFonts w:cstheme="minorHAnsi"/>
                <w:sz w:val="22"/>
                <w:szCs w:val="22"/>
              </w:rPr>
              <w:t>EPDP Support staff to confirm status of ICANN org’s process and procedures review (before ICANN66)</w:t>
            </w:r>
            <w:r w:rsidR="0002496C" w:rsidRPr="000F2132">
              <w:rPr>
                <w:rFonts w:cstheme="minorHAnsi"/>
                <w:sz w:val="22"/>
                <w:szCs w:val="22"/>
              </w:rPr>
              <w:t xml:space="preserve"> (Status: </w:t>
            </w:r>
            <w:r w:rsidR="006A55A6" w:rsidRPr="000F2132">
              <w:rPr>
                <w:rFonts w:cstheme="minorHAnsi"/>
                <w:sz w:val="22"/>
                <w:szCs w:val="22"/>
              </w:rPr>
              <w:t>respons</w:t>
            </w:r>
            <w:r w:rsidR="002364E8" w:rsidRPr="000F2132">
              <w:rPr>
                <w:rFonts w:cstheme="minorHAnsi"/>
                <w:sz w:val="22"/>
                <w:szCs w:val="22"/>
              </w:rPr>
              <w:t>e</w:t>
            </w:r>
            <w:r w:rsidR="006A55A6" w:rsidRPr="000F2132">
              <w:rPr>
                <w:rFonts w:cstheme="minorHAnsi"/>
                <w:sz w:val="22"/>
                <w:szCs w:val="22"/>
              </w:rPr>
              <w:t xml:space="preserve"> received on 2 November:</w:t>
            </w:r>
            <w:r w:rsidR="002364E8" w:rsidRPr="000F2132">
              <w:rPr>
                <w:rFonts w:cstheme="minorHAnsi"/>
                <w:sz w:val="22"/>
                <w:szCs w:val="22"/>
              </w:rPr>
              <w:t xml:space="preserve"> see </w:t>
            </w:r>
            <w:hyperlink r:id="rId14" w:history="1">
              <w:r w:rsidR="002364E8" w:rsidRPr="000F2132">
                <w:rPr>
                  <w:rStyle w:val="Hyperlink"/>
                  <w:rFonts w:cstheme="minorHAnsi"/>
                  <w:sz w:val="22"/>
                  <w:szCs w:val="22"/>
                </w:rPr>
                <w:t>https://mm.icann.org/pipermail/gnso-epdp-team/2019-November/002747.html</w:t>
              </w:r>
            </w:hyperlink>
            <w:r w:rsidR="0002496C" w:rsidRPr="000F2132">
              <w:rPr>
                <w:rFonts w:cstheme="minorHAnsi"/>
                <w:sz w:val="22"/>
                <w:szCs w:val="22"/>
              </w:rPr>
              <w:t>)</w:t>
            </w:r>
            <w:r w:rsidR="006A45A1">
              <w:rPr>
                <w:rFonts w:cstheme="minorHAnsi"/>
                <w:sz w:val="22"/>
                <w:szCs w:val="22"/>
              </w:rPr>
              <w:t xml:space="preserve"> (COMPLETED)</w:t>
            </w:r>
          </w:p>
          <w:p w14:paraId="596F4A8F" w14:textId="5990D0D1" w:rsidR="00DA3EE8" w:rsidRPr="006F0C1D" w:rsidRDefault="00DA3EE8" w:rsidP="00405641">
            <w:pPr>
              <w:pStyle w:val="ListParagraph"/>
              <w:numPr>
                <w:ilvl w:val="0"/>
                <w:numId w:val="9"/>
              </w:numPr>
              <w:rPr>
                <w:rFonts w:cstheme="minorHAnsi"/>
                <w:sz w:val="22"/>
                <w:szCs w:val="22"/>
                <w:highlight w:val="yellow"/>
              </w:rPr>
            </w:pPr>
            <w:r w:rsidRPr="006F0C1D">
              <w:rPr>
                <w:rFonts w:cstheme="minorHAnsi"/>
                <w:sz w:val="22"/>
                <w:szCs w:val="22"/>
                <w:highlight w:val="yellow"/>
              </w:rPr>
              <w:t>EPDP Team to consider whether updates are needed to phase 1 data retention recommendation</w:t>
            </w:r>
            <w:r w:rsidR="00DC0F28" w:rsidRPr="006F0C1D">
              <w:rPr>
                <w:rFonts w:cstheme="minorHAnsi"/>
                <w:sz w:val="22"/>
                <w:szCs w:val="22"/>
                <w:highlight w:val="yellow"/>
              </w:rPr>
              <w:t xml:space="preserve">. </w:t>
            </w:r>
          </w:p>
          <w:p w14:paraId="6231B29F" w14:textId="77FEFFE0" w:rsidR="00DC0F28" w:rsidRPr="006A45A1" w:rsidRDefault="00DC0F28" w:rsidP="006A45A1">
            <w:pPr>
              <w:pStyle w:val="ListParagraph"/>
              <w:numPr>
                <w:ilvl w:val="0"/>
                <w:numId w:val="9"/>
              </w:numPr>
              <w:rPr>
                <w:rFonts w:cstheme="minorHAnsi"/>
                <w:sz w:val="22"/>
                <w:szCs w:val="22"/>
              </w:rPr>
            </w:pPr>
            <w:r w:rsidRPr="006F0C1D">
              <w:rPr>
                <w:rFonts w:cstheme="minorHAnsi"/>
                <w:sz w:val="22"/>
                <w:szCs w:val="22"/>
                <w:highlight w:val="yellow"/>
              </w:rPr>
              <w:t>At a minimum, the EPDP Team would need to reconfirm its original recommendation, which was adopted on an interim basis, that registration data must be retained for a period of fifteen months following the life of the registration plus three months to implement the deletion, i.e., 18 months.</w:t>
            </w:r>
            <w:r>
              <w:rPr>
                <w:rFonts w:cstheme="minorHAnsi"/>
                <w:sz w:val="22"/>
                <w:szCs w:val="22"/>
              </w:rPr>
              <w:t xml:space="preserve"> </w:t>
            </w:r>
            <w:r w:rsidRPr="00DC0F28">
              <w:rPr>
                <w:rFonts w:cstheme="minorHAnsi"/>
                <w:sz w:val="22"/>
                <w:szCs w:val="22"/>
              </w:rPr>
              <w:t xml:space="preserve"> </w:t>
            </w:r>
          </w:p>
        </w:tc>
      </w:tr>
      <w:tr w:rsidR="00DA3EE8" w:rsidRPr="000F2132" w14:paraId="2E905A43" w14:textId="279E69CF" w:rsidTr="00DA3EE8">
        <w:trPr>
          <w:cantSplit/>
        </w:trPr>
        <w:tc>
          <w:tcPr>
            <w:tcW w:w="6115" w:type="dxa"/>
          </w:tcPr>
          <w:p w14:paraId="26D6035D" w14:textId="76753313" w:rsidR="00DA3EE8" w:rsidRPr="000F2132" w:rsidRDefault="001936C5">
            <w:pPr>
              <w:rPr>
                <w:rStyle w:val="Hyperlink"/>
                <w:rFonts w:cstheme="minorHAnsi"/>
                <w:b/>
                <w:bCs/>
                <w:sz w:val="22"/>
                <w:szCs w:val="22"/>
              </w:rPr>
            </w:pPr>
            <w:hyperlink r:id="rId15" w:history="1">
              <w:r w:rsidR="00DA3EE8" w:rsidRPr="000F2132">
                <w:rPr>
                  <w:rStyle w:val="Hyperlink"/>
                  <w:rFonts w:cstheme="minorHAnsi"/>
                  <w:b/>
                  <w:bCs/>
                  <w:sz w:val="22"/>
                  <w:szCs w:val="22"/>
                </w:rPr>
                <w:t>Potential OCTO Purpose</w:t>
              </w:r>
            </w:hyperlink>
          </w:p>
          <w:p w14:paraId="09354B5A" w14:textId="5C988174" w:rsidR="00DA3EE8" w:rsidRPr="000F2132" w:rsidRDefault="00DA3EE8">
            <w:pPr>
              <w:rPr>
                <w:rStyle w:val="Hyperlink"/>
                <w:rFonts w:cstheme="minorHAnsi"/>
                <w:b/>
                <w:bCs/>
                <w:sz w:val="22"/>
                <w:szCs w:val="22"/>
              </w:rPr>
            </w:pPr>
          </w:p>
          <w:p w14:paraId="2AD0A24C" w14:textId="5044BAE2" w:rsidR="00DA3EE8" w:rsidRPr="000F2132" w:rsidRDefault="00DA3EE8" w:rsidP="00552CED">
            <w:pPr>
              <w:pStyle w:val="NormalWeb"/>
              <w:spacing w:before="0" w:beforeAutospacing="0" w:after="0" w:afterAutospacing="0"/>
              <w:rPr>
                <w:rFonts w:asciiTheme="minorHAnsi" w:hAnsiTheme="minorHAnsi" w:cstheme="minorHAnsi"/>
                <w:sz w:val="22"/>
                <w:szCs w:val="22"/>
              </w:rPr>
            </w:pPr>
            <w:r w:rsidRPr="000F2132">
              <w:rPr>
                <w:rFonts w:asciiTheme="minorHAnsi" w:hAnsiTheme="minorHAnsi" w:cstheme="minorHAnsi"/>
                <w:color w:val="000000"/>
                <w:sz w:val="22"/>
                <w:szCs w:val="22"/>
              </w:rPr>
              <w:t>From phase 1 rec: the EPDP Team commits to considering in Phase 2 of its work whether additional purposes should be considered to facilitate ICANN’s Office of the Chief Technology</w:t>
            </w:r>
            <w:r w:rsidR="006D6B43" w:rsidRPr="000F2132">
              <w:rPr>
                <w:rFonts w:asciiTheme="minorHAnsi" w:hAnsiTheme="minorHAnsi" w:cstheme="minorHAnsi"/>
                <w:color w:val="000000"/>
                <w:sz w:val="22"/>
                <w:szCs w:val="22"/>
              </w:rPr>
              <w:t xml:space="preserve"> </w:t>
            </w:r>
            <w:r w:rsidRPr="000F2132">
              <w:rPr>
                <w:rFonts w:asciiTheme="minorHAnsi" w:hAnsiTheme="minorHAnsi" w:cstheme="minorHAnsi"/>
                <w:color w:val="000000"/>
                <w:sz w:val="22"/>
                <w:szCs w:val="22"/>
              </w:rPr>
              <w:t xml:space="preserve">Officer (OCTO) to carry out its mission (see </w:t>
            </w:r>
            <w:r w:rsidRPr="000F2132">
              <w:rPr>
                <w:rFonts w:asciiTheme="minorHAnsi" w:hAnsiTheme="minorHAnsi" w:cstheme="minorHAnsi"/>
                <w:color w:val="0000FF"/>
                <w:sz w:val="22"/>
                <w:szCs w:val="22"/>
              </w:rPr>
              <w:t>https://www.icann.org/octo</w:t>
            </w:r>
            <w:r w:rsidRPr="000F2132">
              <w:rPr>
                <w:rFonts w:asciiTheme="minorHAnsi" w:hAnsiTheme="minorHAnsi" w:cstheme="minorHAnsi"/>
                <w:color w:val="000000"/>
                <w:sz w:val="22"/>
                <w:szCs w:val="22"/>
              </w:rPr>
              <w:t>). This consideration should be informed by legal guidance on if/how provisions in the</w:t>
            </w:r>
          </w:p>
          <w:p w14:paraId="7B4BD681" w14:textId="04ED1B31" w:rsidR="00DA3EE8" w:rsidRPr="000F2132" w:rsidRDefault="00DA3EE8" w:rsidP="00552CED">
            <w:pPr>
              <w:pStyle w:val="NormalWeb"/>
              <w:spacing w:before="0" w:beforeAutospacing="0" w:after="0" w:afterAutospacing="0"/>
              <w:rPr>
                <w:rFonts w:asciiTheme="minorHAnsi" w:hAnsiTheme="minorHAnsi" w:cstheme="minorHAnsi"/>
                <w:sz w:val="22"/>
                <w:szCs w:val="22"/>
              </w:rPr>
            </w:pPr>
            <w:r w:rsidRPr="000F2132">
              <w:rPr>
                <w:rFonts w:asciiTheme="minorHAnsi" w:hAnsiTheme="minorHAnsi" w:cstheme="minorHAnsi"/>
                <w:color w:val="000000"/>
                <w:sz w:val="22"/>
                <w:szCs w:val="22"/>
              </w:rPr>
              <w:t>GDPR concerning research apply to ICANN Org and the expression for the need of such pseudonymized data by ICANN.”</w:t>
            </w:r>
          </w:p>
        </w:tc>
        <w:tc>
          <w:tcPr>
            <w:tcW w:w="6570" w:type="dxa"/>
          </w:tcPr>
          <w:p w14:paraId="35A58686" w14:textId="1600A7A5" w:rsidR="00DA3EE8" w:rsidRPr="000F2132" w:rsidRDefault="00DA3EE8" w:rsidP="008D771A">
            <w:pPr>
              <w:pStyle w:val="ListParagraph"/>
              <w:numPr>
                <w:ilvl w:val="0"/>
                <w:numId w:val="9"/>
              </w:numPr>
              <w:rPr>
                <w:rFonts w:cstheme="minorHAnsi"/>
                <w:sz w:val="22"/>
                <w:szCs w:val="22"/>
              </w:rPr>
            </w:pPr>
            <w:r w:rsidRPr="006A45A1">
              <w:rPr>
                <w:rFonts w:cstheme="minorHAnsi"/>
                <w:sz w:val="22"/>
                <w:szCs w:val="22"/>
              </w:rPr>
              <w:t>EPDP Support Staff to follow up with ICANN org whether status of input provided during phase 1 has changed and/or whether any legal guidance has been obtained in relation to ICANN org having a qualified research position under GDPR (prior to ICANN66)</w:t>
            </w:r>
            <w:r w:rsidR="0002496C" w:rsidRPr="000F2132">
              <w:rPr>
                <w:rFonts w:cstheme="minorHAnsi"/>
                <w:sz w:val="22"/>
                <w:szCs w:val="22"/>
              </w:rPr>
              <w:t xml:space="preserve"> (</w:t>
            </w:r>
            <w:r w:rsidR="0002496C" w:rsidRPr="000F2132">
              <w:rPr>
                <w:rFonts w:cstheme="minorHAnsi"/>
                <w:b/>
                <w:bCs/>
                <w:sz w:val="22"/>
                <w:szCs w:val="22"/>
              </w:rPr>
              <w:t>Status: message sent – awaiting response</w:t>
            </w:r>
            <w:r w:rsidR="0002496C" w:rsidRPr="000F2132">
              <w:rPr>
                <w:rFonts w:cstheme="minorHAnsi"/>
                <w:sz w:val="22"/>
                <w:szCs w:val="22"/>
              </w:rPr>
              <w:t>)</w:t>
            </w:r>
          </w:p>
          <w:p w14:paraId="034E0132" w14:textId="0FBEF123" w:rsidR="00DA3EE8" w:rsidRPr="000F2132" w:rsidRDefault="00DA3EE8" w:rsidP="008D771A">
            <w:pPr>
              <w:pStyle w:val="ListParagraph"/>
              <w:numPr>
                <w:ilvl w:val="0"/>
                <w:numId w:val="9"/>
              </w:numPr>
              <w:rPr>
                <w:rFonts w:cstheme="minorHAnsi"/>
                <w:sz w:val="22"/>
                <w:szCs w:val="22"/>
              </w:rPr>
            </w:pPr>
            <w:r w:rsidRPr="005A6D8E">
              <w:rPr>
                <w:rFonts w:cstheme="minorHAnsi"/>
                <w:sz w:val="22"/>
                <w:szCs w:val="22"/>
                <w:highlight w:val="yellow"/>
              </w:rPr>
              <w:t>Based on feedback received</w:t>
            </w:r>
            <w:r w:rsidR="006F0C1D">
              <w:rPr>
                <w:rFonts w:cstheme="minorHAnsi"/>
                <w:sz w:val="22"/>
                <w:szCs w:val="22"/>
                <w:highlight w:val="yellow"/>
              </w:rPr>
              <w:t xml:space="preserve"> (once received)</w:t>
            </w:r>
            <w:r w:rsidRPr="005A6D8E">
              <w:rPr>
                <w:rFonts w:cstheme="minorHAnsi"/>
                <w:sz w:val="22"/>
                <w:szCs w:val="22"/>
                <w:highlight w:val="yellow"/>
              </w:rPr>
              <w:t>, EPDP Team to determine next steps</w:t>
            </w:r>
            <w:r w:rsidRPr="000F2132">
              <w:rPr>
                <w:rFonts w:cstheme="minorHAnsi"/>
                <w:sz w:val="22"/>
                <w:szCs w:val="22"/>
              </w:rPr>
              <w:t xml:space="preserve">. </w:t>
            </w:r>
          </w:p>
        </w:tc>
      </w:tr>
      <w:tr w:rsidR="00DA3EE8" w:rsidRPr="000F2132" w14:paraId="62088349" w14:textId="62908A38" w:rsidTr="00DA3EE8">
        <w:trPr>
          <w:cantSplit/>
        </w:trPr>
        <w:tc>
          <w:tcPr>
            <w:tcW w:w="6115" w:type="dxa"/>
          </w:tcPr>
          <w:p w14:paraId="1B4DEAB4" w14:textId="150C32DC" w:rsidR="00DA3EE8" w:rsidRPr="000F2132" w:rsidRDefault="001936C5">
            <w:pPr>
              <w:rPr>
                <w:rFonts w:cstheme="minorHAnsi"/>
                <w:b/>
                <w:bCs/>
                <w:sz w:val="22"/>
                <w:szCs w:val="22"/>
              </w:rPr>
            </w:pPr>
            <w:hyperlink r:id="rId16" w:history="1">
              <w:r w:rsidR="00DA3EE8" w:rsidRPr="000F2132">
                <w:rPr>
                  <w:rStyle w:val="Hyperlink"/>
                  <w:rFonts w:cstheme="minorHAnsi"/>
                  <w:b/>
                  <w:bCs/>
                  <w:sz w:val="22"/>
                  <w:szCs w:val="22"/>
                </w:rPr>
                <w:t>Feasibility of unique contacts to have a uniform anonymized email address</w:t>
              </w:r>
            </w:hyperlink>
          </w:p>
          <w:p w14:paraId="7CFAB1DD" w14:textId="77777777" w:rsidR="00DA3EE8" w:rsidRPr="000F2132" w:rsidRDefault="00DA3EE8">
            <w:pPr>
              <w:rPr>
                <w:rFonts w:cstheme="minorHAnsi"/>
                <w:sz w:val="22"/>
                <w:szCs w:val="22"/>
              </w:rPr>
            </w:pPr>
          </w:p>
          <w:p w14:paraId="1731B311" w14:textId="13EA1786" w:rsidR="00DA3EE8" w:rsidRPr="000F2132" w:rsidRDefault="00DA3EE8">
            <w:pPr>
              <w:rPr>
                <w:rFonts w:eastAsia="Times New Roman" w:cstheme="minorHAnsi"/>
                <w:sz w:val="22"/>
                <w:szCs w:val="22"/>
              </w:rPr>
            </w:pPr>
            <w:r w:rsidRPr="000F2132">
              <w:rPr>
                <w:rFonts w:cstheme="minorHAnsi"/>
                <w:sz w:val="22"/>
                <w:szCs w:val="22"/>
              </w:rPr>
              <w:t xml:space="preserve">From the Annex to the Temporary Specification: </w:t>
            </w:r>
            <w:r w:rsidRPr="000F2132">
              <w:rPr>
                <w:rFonts w:cstheme="minorHAnsi"/>
                <w:color w:val="000000"/>
                <w:sz w:val="22"/>
                <w:szCs w:val="22"/>
              </w:rPr>
              <w:t>Addressing the feasibility of requiring unique contacts to have a uniform anonymized email address across domain name registrations at a given Registrar, while ensuring security/stability and meeting the requirements of Section 2.5.1 of Appendix A.</w:t>
            </w:r>
          </w:p>
        </w:tc>
        <w:tc>
          <w:tcPr>
            <w:tcW w:w="6570" w:type="dxa"/>
          </w:tcPr>
          <w:p w14:paraId="16BF9416" w14:textId="77777777" w:rsidR="005A6D8E" w:rsidRDefault="005A6D8E" w:rsidP="005A6D8E">
            <w:pPr>
              <w:pStyle w:val="ListParagraph"/>
              <w:numPr>
                <w:ilvl w:val="0"/>
                <w:numId w:val="9"/>
              </w:numPr>
              <w:rPr>
                <w:rFonts w:cstheme="minorHAnsi"/>
                <w:sz w:val="22"/>
                <w:szCs w:val="22"/>
              </w:rPr>
            </w:pPr>
            <w:r w:rsidRPr="005A6D8E">
              <w:rPr>
                <w:rFonts w:cstheme="minorHAnsi"/>
                <w:sz w:val="22"/>
                <w:szCs w:val="22"/>
              </w:rPr>
              <w:t>The following question has been submitted to legal counsel:</w:t>
            </w:r>
          </w:p>
          <w:p w14:paraId="455B60C3" w14:textId="77777777" w:rsidR="005A6D8E" w:rsidRDefault="005A6D8E" w:rsidP="005A6D8E">
            <w:pPr>
              <w:ind w:left="360"/>
              <w:rPr>
                <w:b/>
                <w:bCs/>
                <w:sz w:val="22"/>
                <w:szCs w:val="22"/>
              </w:rPr>
            </w:pPr>
          </w:p>
          <w:p w14:paraId="20F2A689" w14:textId="17EB9FBA" w:rsidR="005A6D8E" w:rsidRDefault="005A6D8E" w:rsidP="005A6D8E">
            <w:pPr>
              <w:ind w:left="360"/>
              <w:rPr>
                <w:b/>
                <w:bCs/>
                <w:sz w:val="22"/>
                <w:szCs w:val="22"/>
              </w:rPr>
            </w:pPr>
            <w:r w:rsidRPr="005A6D8E">
              <w:rPr>
                <w:b/>
                <w:bCs/>
                <w:sz w:val="22"/>
                <w:szCs w:val="22"/>
              </w:rPr>
              <w:t>Privacy/Proxy and Pseudonymized Emails</w:t>
            </w:r>
          </w:p>
          <w:p w14:paraId="6CEE8BA0" w14:textId="7F34A032" w:rsidR="005A6D8E" w:rsidRPr="005A6D8E" w:rsidRDefault="005A6D8E" w:rsidP="005A6D8E">
            <w:pPr>
              <w:ind w:left="360"/>
              <w:rPr>
                <w:rFonts w:cstheme="minorHAnsi"/>
                <w:sz w:val="22"/>
                <w:szCs w:val="22"/>
              </w:rPr>
            </w:pPr>
            <w:r w:rsidRPr="005A6D8E">
              <w:rPr>
                <w:rFonts w:ascii="Calibri" w:hAnsi="Calibri" w:cs="Calibri"/>
                <w:color w:val="000000"/>
                <w:sz w:val="22"/>
                <w:szCs w:val="22"/>
              </w:rPr>
              <w:t>The group has discussed the option of replacing the email address provided by the data subject with an alternate email address that would in and of itself not identify the data subject (Example: '</w:t>
            </w:r>
            <w:proofErr w:type="spellStart"/>
            <w:r w:rsidRPr="005A6D8E">
              <w:rPr>
                <w:rFonts w:ascii="Calibri" w:hAnsi="Calibri" w:cs="Calibri"/>
                <w:color w:val="000000"/>
                <w:sz w:val="22"/>
                <w:szCs w:val="22"/>
              </w:rPr>
              <w:fldChar w:fldCharType="begin"/>
            </w:r>
            <w:r w:rsidRPr="005A6D8E">
              <w:rPr>
                <w:rFonts w:ascii="Calibri" w:hAnsi="Calibri" w:cs="Calibri"/>
                <w:color w:val="000000"/>
                <w:sz w:val="22"/>
                <w:szCs w:val="22"/>
              </w:rPr>
              <w:instrText xml:space="preserve"> HYPERLINK "mailto:sfjgsdfsafgkas@pseudo.nym" </w:instrText>
            </w:r>
            <w:r w:rsidRPr="005A6D8E">
              <w:rPr>
                <w:rFonts w:ascii="Calibri" w:hAnsi="Calibri" w:cs="Calibri"/>
                <w:color w:val="000000"/>
                <w:sz w:val="22"/>
                <w:szCs w:val="22"/>
              </w:rPr>
              <w:fldChar w:fldCharType="separate"/>
            </w:r>
            <w:r w:rsidRPr="005A6D8E">
              <w:rPr>
                <w:rStyle w:val="Hyperlink"/>
                <w:rFonts w:ascii="Calibri" w:hAnsi="Calibri" w:cs="Calibri"/>
                <w:color w:val="954F72"/>
                <w:sz w:val="22"/>
                <w:szCs w:val="22"/>
              </w:rPr>
              <w:t>sfjgsdfsafgkas@pseudo.nym</w:t>
            </w:r>
            <w:proofErr w:type="spellEnd"/>
            <w:r w:rsidRPr="005A6D8E">
              <w:rPr>
                <w:rFonts w:ascii="Calibri" w:hAnsi="Calibri" w:cs="Calibri"/>
                <w:color w:val="000000"/>
                <w:sz w:val="22"/>
                <w:szCs w:val="22"/>
              </w:rPr>
              <w:fldChar w:fldCharType="end"/>
            </w:r>
            <w:r w:rsidRPr="005A6D8E">
              <w:rPr>
                <w:rFonts w:ascii="Calibri" w:hAnsi="Calibri" w:cs="Calibri"/>
                <w:color w:val="000000"/>
                <w:sz w:val="22"/>
                <w:szCs w:val="22"/>
              </w:rPr>
              <w:t>'). With this approach, two options emerged in the discussion, where (a) the same unique string would be used for multiple registrations by the data subject ('</w:t>
            </w:r>
            <w:proofErr w:type="spellStart"/>
            <w:r w:rsidRPr="005A6D8E">
              <w:rPr>
                <w:rFonts w:ascii="Calibri" w:hAnsi="Calibri" w:cs="Calibri"/>
                <w:color w:val="000000"/>
                <w:sz w:val="22"/>
                <w:szCs w:val="22"/>
              </w:rPr>
              <w:t>pseudonymisation</w:t>
            </w:r>
            <w:proofErr w:type="spellEnd"/>
            <w:r w:rsidRPr="005A6D8E">
              <w:rPr>
                <w:rFonts w:ascii="Calibri" w:hAnsi="Calibri" w:cs="Calibri"/>
                <w:color w:val="000000"/>
                <w:sz w:val="22"/>
                <w:szCs w:val="22"/>
              </w:rPr>
              <w:t xml:space="preserve">'), or (b) the string would be unique for each registration ('anonymization'). Under option (a), the identity of the data subject might - but need not necessarily - become identifiable by cross-referencing the content of all domain name registrations the string is used for. </w:t>
            </w:r>
          </w:p>
          <w:p w14:paraId="166F5E35" w14:textId="77777777" w:rsidR="005A6D8E" w:rsidRPr="005A6D8E" w:rsidRDefault="005A6D8E" w:rsidP="005A6D8E">
            <w:pPr>
              <w:pStyle w:val="NormalWeb"/>
              <w:shd w:val="clear" w:color="auto" w:fill="FFFFFF"/>
              <w:ind w:firstLine="720"/>
              <w:rPr>
                <w:rFonts w:ascii="-webkit-standard" w:hAnsi="-webkit-standard"/>
                <w:color w:val="000000"/>
                <w:sz w:val="22"/>
                <w:szCs w:val="22"/>
              </w:rPr>
            </w:pPr>
            <w:r w:rsidRPr="005A6D8E">
              <w:rPr>
                <w:rFonts w:ascii="Calibri" w:hAnsi="Calibri" w:cs="Calibri"/>
                <w:color w:val="000000"/>
                <w:sz w:val="22"/>
                <w:szCs w:val="22"/>
              </w:rPr>
              <w:t>From these options, the following question arose:</w:t>
            </w:r>
          </w:p>
          <w:p w14:paraId="7DC122AB" w14:textId="5B7508A0" w:rsidR="00DA3EE8" w:rsidRDefault="005A6D8E" w:rsidP="005A6D8E">
            <w:pPr>
              <w:pStyle w:val="NormalWeb"/>
              <w:numPr>
                <w:ilvl w:val="0"/>
                <w:numId w:val="12"/>
              </w:numPr>
              <w:shd w:val="clear" w:color="auto" w:fill="FFFFFF"/>
              <w:rPr>
                <w:rFonts w:ascii="Calibri" w:hAnsi="Calibri" w:cs="Calibri"/>
                <w:color w:val="000000"/>
                <w:sz w:val="22"/>
                <w:szCs w:val="22"/>
              </w:rPr>
            </w:pPr>
            <w:r w:rsidRPr="005A6D8E">
              <w:rPr>
                <w:rFonts w:ascii="Calibri" w:hAnsi="Calibri" w:cs="Calibri"/>
                <w:color w:val="000000"/>
                <w:sz w:val="22"/>
                <w:szCs w:val="22"/>
              </w:rPr>
              <w:t>Under options (a) and/or (b), would the alternate address have to be considered as personal data of the data subject under the GDPR and what would be the legal consequences and risks of this determination with regard to the proposed publication of this string in the publicly accessible part of the registration data service (RDS)?</w:t>
            </w:r>
          </w:p>
          <w:p w14:paraId="33D8BF7D" w14:textId="5B544CCD" w:rsidR="001936C5" w:rsidRPr="005A6D8E" w:rsidRDefault="001936C5" w:rsidP="001936C5">
            <w:pPr>
              <w:pStyle w:val="NormalWeb"/>
              <w:numPr>
                <w:ilvl w:val="0"/>
                <w:numId w:val="9"/>
              </w:numPr>
              <w:shd w:val="clear" w:color="auto" w:fill="FFFFFF"/>
              <w:rPr>
                <w:rFonts w:ascii="Calibri" w:hAnsi="Calibri" w:cs="Calibri"/>
                <w:color w:val="000000"/>
                <w:sz w:val="22"/>
                <w:szCs w:val="22"/>
              </w:rPr>
            </w:pPr>
            <w:r>
              <w:rPr>
                <w:rFonts w:ascii="Calibri" w:hAnsi="Calibri" w:cs="Calibri"/>
                <w:color w:val="000000"/>
                <w:sz w:val="22"/>
                <w:szCs w:val="22"/>
              </w:rPr>
              <w:t xml:space="preserve">Legal guidance received on 8 February 2020 (see </w:t>
            </w:r>
            <w:hyperlink r:id="rId17" w:history="1">
              <w:r w:rsidRPr="00C40B80">
                <w:rPr>
                  <w:rStyle w:val="Hyperlink"/>
                  <w:rFonts w:ascii="Calibri" w:hAnsi="Calibri" w:cs="Calibri"/>
                  <w:sz w:val="22"/>
                  <w:szCs w:val="22"/>
                </w:rPr>
                <w:t>https://mm.icann.org/pipermail/gnso-epdp-team/2020-February/003065.html</w:t>
              </w:r>
            </w:hyperlink>
            <w:r>
              <w:rPr>
                <w:rFonts w:ascii="Calibri" w:hAnsi="Calibri" w:cs="Calibri"/>
                <w:color w:val="000000"/>
                <w:sz w:val="22"/>
                <w:szCs w:val="22"/>
              </w:rPr>
              <w:t xml:space="preserve">). </w:t>
            </w:r>
          </w:p>
          <w:p w14:paraId="5E1362E2" w14:textId="5ADFF903" w:rsidR="00DA3EE8" w:rsidRPr="005A6D8E" w:rsidRDefault="00DA3EE8" w:rsidP="008D771A">
            <w:pPr>
              <w:pStyle w:val="ListParagraph"/>
              <w:numPr>
                <w:ilvl w:val="0"/>
                <w:numId w:val="9"/>
              </w:numPr>
              <w:rPr>
                <w:rFonts w:cstheme="minorHAnsi"/>
                <w:sz w:val="22"/>
                <w:szCs w:val="22"/>
              </w:rPr>
            </w:pPr>
            <w:r w:rsidRPr="005A6D8E">
              <w:rPr>
                <w:rFonts w:cstheme="minorHAnsi"/>
                <w:sz w:val="22"/>
                <w:szCs w:val="22"/>
                <w:highlight w:val="yellow"/>
              </w:rPr>
              <w:t xml:space="preserve">EPDP </w:t>
            </w:r>
            <w:r w:rsidR="001936C5">
              <w:rPr>
                <w:rFonts w:cstheme="minorHAnsi"/>
                <w:sz w:val="22"/>
                <w:szCs w:val="22"/>
                <w:highlight w:val="yellow"/>
              </w:rPr>
              <w:t xml:space="preserve">Legal Committee to review legal guidance and make recommendation for next steps to EPDP </w:t>
            </w:r>
            <w:r w:rsidRPr="005A6D8E">
              <w:rPr>
                <w:rFonts w:cstheme="minorHAnsi"/>
                <w:sz w:val="22"/>
                <w:szCs w:val="22"/>
                <w:highlight w:val="yellow"/>
              </w:rPr>
              <w:t>Team.</w:t>
            </w:r>
            <w:r w:rsidRPr="005A6D8E">
              <w:rPr>
                <w:rFonts w:cstheme="minorHAnsi"/>
                <w:sz w:val="22"/>
                <w:szCs w:val="22"/>
              </w:rPr>
              <w:t xml:space="preserve"> </w:t>
            </w:r>
          </w:p>
        </w:tc>
      </w:tr>
      <w:tr w:rsidR="00DA3EE8" w:rsidRPr="000F2132" w14:paraId="58243C74" w14:textId="28C54F18" w:rsidTr="00DA3EE8">
        <w:trPr>
          <w:cantSplit/>
        </w:trPr>
        <w:tc>
          <w:tcPr>
            <w:tcW w:w="6115" w:type="dxa"/>
          </w:tcPr>
          <w:p w14:paraId="36A4D692" w14:textId="657A7EAC" w:rsidR="00DA3EE8" w:rsidRPr="000F2132" w:rsidRDefault="001936C5" w:rsidP="00750A80">
            <w:pPr>
              <w:rPr>
                <w:rFonts w:cstheme="minorHAnsi"/>
                <w:b/>
                <w:bCs/>
                <w:sz w:val="22"/>
                <w:szCs w:val="22"/>
              </w:rPr>
            </w:pPr>
            <w:hyperlink r:id="rId18" w:history="1">
              <w:r w:rsidR="00DA3EE8" w:rsidRPr="000F2132">
                <w:rPr>
                  <w:rStyle w:val="Hyperlink"/>
                  <w:rFonts w:cstheme="minorHAnsi"/>
                  <w:b/>
                  <w:bCs/>
                  <w:sz w:val="22"/>
                  <w:szCs w:val="22"/>
                </w:rPr>
                <w:t>Accuracy and WHOIS Accuracy Reporting System</w:t>
              </w:r>
            </w:hyperlink>
          </w:p>
          <w:p w14:paraId="0A70AB19" w14:textId="77777777" w:rsidR="00DA3EE8" w:rsidRPr="000F2132" w:rsidRDefault="00DA3EE8">
            <w:pPr>
              <w:rPr>
                <w:rFonts w:cstheme="minorHAnsi"/>
                <w:b/>
                <w:bCs/>
                <w:sz w:val="22"/>
                <w:szCs w:val="22"/>
              </w:rPr>
            </w:pPr>
          </w:p>
        </w:tc>
        <w:tc>
          <w:tcPr>
            <w:tcW w:w="6570" w:type="dxa"/>
          </w:tcPr>
          <w:p w14:paraId="692B0071" w14:textId="77777777" w:rsidR="008B7BAD" w:rsidRPr="005A6D8E" w:rsidRDefault="00371364" w:rsidP="005A6D8E">
            <w:pPr>
              <w:pStyle w:val="ListParagraph"/>
              <w:numPr>
                <w:ilvl w:val="0"/>
                <w:numId w:val="9"/>
              </w:numPr>
              <w:rPr>
                <w:rFonts w:cstheme="minorHAnsi"/>
                <w:sz w:val="22"/>
                <w:szCs w:val="22"/>
              </w:rPr>
            </w:pPr>
            <w:r w:rsidRPr="005A6D8E">
              <w:rPr>
                <w:rFonts w:cstheme="minorHAnsi"/>
                <w:sz w:val="22"/>
                <w:szCs w:val="22"/>
                <w:highlight w:val="yellow"/>
              </w:rPr>
              <w:t xml:space="preserve">EPDP Team to review correspondence on this topic </w:t>
            </w:r>
            <w:r w:rsidR="00DA3EE8" w:rsidRPr="005A6D8E">
              <w:rPr>
                <w:rFonts w:cstheme="minorHAnsi"/>
                <w:sz w:val="22"/>
                <w:szCs w:val="22"/>
                <w:highlight w:val="yellow"/>
              </w:rPr>
              <w:t>ICANN org and the GNSO Council</w:t>
            </w:r>
            <w:r w:rsidRPr="005A6D8E">
              <w:rPr>
                <w:rFonts w:cstheme="minorHAnsi"/>
                <w:sz w:val="22"/>
                <w:szCs w:val="22"/>
              </w:rPr>
              <w:t>:</w:t>
            </w:r>
            <w:r w:rsidR="0002496C" w:rsidRPr="005A6D8E">
              <w:rPr>
                <w:rFonts w:cstheme="minorHAnsi"/>
                <w:sz w:val="22"/>
                <w:szCs w:val="22"/>
              </w:rPr>
              <w:t xml:space="preserve"> </w:t>
            </w:r>
          </w:p>
          <w:p w14:paraId="31D22582" w14:textId="77777777" w:rsidR="008B7BAD" w:rsidRPr="005A6D8E" w:rsidRDefault="001936C5" w:rsidP="005A6D8E">
            <w:pPr>
              <w:pStyle w:val="ListParagraph"/>
              <w:numPr>
                <w:ilvl w:val="1"/>
                <w:numId w:val="9"/>
              </w:numPr>
              <w:rPr>
                <w:rFonts w:cstheme="minorHAnsi"/>
                <w:sz w:val="22"/>
                <w:szCs w:val="22"/>
              </w:rPr>
            </w:pPr>
            <w:hyperlink r:id="rId19" w:history="1">
              <w:r w:rsidR="008B7BAD" w:rsidRPr="005A6D8E">
                <w:rPr>
                  <w:rStyle w:val="Hyperlink"/>
                  <w:rFonts w:cstheme="minorHAnsi"/>
                  <w:sz w:val="22"/>
                  <w:szCs w:val="22"/>
                </w:rPr>
                <w:t>https://www.icann.org/en/system/files/correspondence/marby-to-drazek-05dec19-en.pdf</w:t>
              </w:r>
            </w:hyperlink>
            <w:r w:rsidR="008B7BAD" w:rsidRPr="005A6D8E">
              <w:rPr>
                <w:rFonts w:cstheme="minorHAnsi"/>
                <w:sz w:val="22"/>
                <w:szCs w:val="22"/>
              </w:rPr>
              <w:t xml:space="preserve"> </w:t>
            </w:r>
          </w:p>
          <w:p w14:paraId="292A4B41" w14:textId="77777777" w:rsidR="008B7BAD" w:rsidRPr="005A6D8E" w:rsidRDefault="001936C5" w:rsidP="005A6D8E">
            <w:pPr>
              <w:pStyle w:val="ListParagraph"/>
              <w:numPr>
                <w:ilvl w:val="1"/>
                <w:numId w:val="9"/>
              </w:numPr>
              <w:rPr>
                <w:rFonts w:cstheme="minorHAnsi"/>
                <w:sz w:val="22"/>
                <w:szCs w:val="22"/>
              </w:rPr>
            </w:pPr>
            <w:hyperlink r:id="rId20" w:history="1">
              <w:r w:rsidR="008B7BAD" w:rsidRPr="005A6D8E">
                <w:rPr>
                  <w:rStyle w:val="Hyperlink"/>
                  <w:rFonts w:cstheme="minorHAnsi"/>
                  <w:sz w:val="22"/>
                  <w:szCs w:val="22"/>
                </w:rPr>
                <w:t>https://gnso.icann.org/en/correspondence/drazek-to-marby-15oct19-en.pdf</w:t>
              </w:r>
            </w:hyperlink>
          </w:p>
          <w:p w14:paraId="51403593" w14:textId="3501D2BE" w:rsidR="00DA3EE8" w:rsidRDefault="001936C5" w:rsidP="005A6D8E">
            <w:pPr>
              <w:pStyle w:val="ListParagraph"/>
              <w:numPr>
                <w:ilvl w:val="1"/>
                <w:numId w:val="9"/>
              </w:numPr>
              <w:rPr>
                <w:rFonts w:cstheme="minorHAnsi"/>
                <w:sz w:val="22"/>
                <w:szCs w:val="22"/>
              </w:rPr>
            </w:pPr>
            <w:hyperlink r:id="rId21" w:history="1">
              <w:r w:rsidR="0002496C" w:rsidRPr="005A6D8E">
                <w:rPr>
                  <w:rStyle w:val="Hyperlink"/>
                  <w:rFonts w:cstheme="minorHAnsi"/>
                  <w:sz w:val="22"/>
                  <w:szCs w:val="22"/>
                </w:rPr>
                <w:t>https://gnso.icann.org/en/correspondence/marby-to-drazek-21jun19-en.pdf</w:t>
              </w:r>
            </w:hyperlink>
            <w:r w:rsidR="0002496C" w:rsidRPr="005A6D8E">
              <w:rPr>
                <w:rFonts w:cstheme="minorHAnsi"/>
                <w:sz w:val="22"/>
                <w:szCs w:val="22"/>
              </w:rPr>
              <w:t>)</w:t>
            </w:r>
          </w:p>
          <w:p w14:paraId="04B75B39" w14:textId="77777777" w:rsidR="005A6D8E" w:rsidRDefault="005A6D8E" w:rsidP="005A6D8E">
            <w:pPr>
              <w:pStyle w:val="ListParagraph"/>
              <w:numPr>
                <w:ilvl w:val="0"/>
                <w:numId w:val="9"/>
              </w:numPr>
              <w:rPr>
                <w:rFonts w:cstheme="minorHAnsi"/>
                <w:sz w:val="22"/>
                <w:szCs w:val="22"/>
              </w:rPr>
            </w:pPr>
            <w:r w:rsidRPr="005A6D8E">
              <w:rPr>
                <w:rFonts w:cstheme="minorHAnsi"/>
                <w:sz w:val="22"/>
                <w:szCs w:val="22"/>
              </w:rPr>
              <w:t>The following question has been submitted to legal counsel</w:t>
            </w:r>
            <w:r>
              <w:rPr>
                <w:rFonts w:cstheme="minorHAnsi"/>
                <w:sz w:val="22"/>
                <w:szCs w:val="22"/>
              </w:rPr>
              <w:t>:</w:t>
            </w:r>
          </w:p>
          <w:p w14:paraId="3EE8FCAF" w14:textId="77777777" w:rsidR="005A6D8E" w:rsidRDefault="005A6D8E" w:rsidP="005A6D8E">
            <w:pPr>
              <w:pStyle w:val="ListParagraph"/>
              <w:ind w:left="360"/>
              <w:rPr>
                <w:rFonts w:cstheme="minorHAnsi"/>
                <w:color w:val="000000"/>
                <w:sz w:val="22"/>
                <w:szCs w:val="22"/>
              </w:rPr>
            </w:pPr>
            <w:r w:rsidRPr="005A6D8E">
              <w:rPr>
                <w:rFonts w:cstheme="minorHAnsi"/>
                <w:color w:val="000000"/>
                <w:sz w:val="22"/>
                <w:szCs w:val="22"/>
              </w:rPr>
              <w:t>Does the accuracy principle only take into account the interests of the data subject and [a] controller (e.g., ICANN’s or the contracted parties’ interest in maintaining the security and stability of the Internet’s unique identifiers), or does the principle also consider the interests of third-parties (in this case law enforcement, IP rights holders, and others who would request the data from the controller for their own purposes)?</w:t>
            </w:r>
          </w:p>
          <w:p w14:paraId="2EECA4C3" w14:textId="77777777" w:rsidR="005A6D8E" w:rsidRDefault="005A6D8E" w:rsidP="005A6D8E">
            <w:pPr>
              <w:pStyle w:val="ListParagraph"/>
              <w:ind w:left="360"/>
              <w:rPr>
                <w:rFonts w:cstheme="minorHAnsi"/>
                <w:color w:val="000000"/>
                <w:sz w:val="22"/>
                <w:szCs w:val="22"/>
              </w:rPr>
            </w:pPr>
          </w:p>
          <w:p w14:paraId="7C8D6328" w14:textId="0B32978D" w:rsidR="005A6D8E" w:rsidRPr="005A6D8E" w:rsidRDefault="005A6D8E" w:rsidP="005A6D8E">
            <w:pPr>
              <w:pStyle w:val="ListParagraph"/>
              <w:ind w:left="360"/>
              <w:rPr>
                <w:rFonts w:cstheme="minorHAnsi"/>
                <w:sz w:val="22"/>
                <w:szCs w:val="22"/>
              </w:rPr>
            </w:pPr>
            <w:r w:rsidRPr="005A6D8E">
              <w:rPr>
                <w:rFonts w:cstheme="minorHAnsi"/>
                <w:color w:val="000000"/>
                <w:sz w:val="22"/>
                <w:szCs w:val="22"/>
              </w:rPr>
              <w:t>In responding to this question, can you please clarify the parties/interests that we should consider in general, and specifically when interpreting the following passages from the prior memos:</w:t>
            </w:r>
          </w:p>
          <w:p w14:paraId="5721F9EE" w14:textId="77777777" w:rsidR="005A6D8E" w:rsidRPr="005A6D8E" w:rsidRDefault="005A6D8E" w:rsidP="005A6D8E">
            <w:pPr>
              <w:pStyle w:val="NormalWeb"/>
              <w:spacing w:before="200" w:beforeAutospacing="0" w:after="240" w:afterAutospacing="0"/>
              <w:ind w:left="36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t>Both memos reference “relevant parties” in several sections.  Are the “relevant parties” limited to the controller(s) or should we account for third-party interests as well?</w:t>
            </w:r>
          </w:p>
          <w:p w14:paraId="4D7DF7CD" w14:textId="77777777" w:rsidR="005A6D8E" w:rsidRPr="005A6D8E" w:rsidRDefault="005A6D8E" w:rsidP="005A6D8E">
            <w:pPr>
              <w:pStyle w:val="NormalWeb"/>
              <w:numPr>
                <w:ilvl w:val="1"/>
                <w:numId w:val="9"/>
              </w:numPr>
              <w:spacing w:before="200" w:beforeAutospacing="0" w:after="0" w:afterAutospacing="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t xml:space="preserve">“There may be questions as to whether it is sufficient for the RNH or Account Holder to confirm the accuracy of information relating to technical and administrative contacts, instead of asking information of such contacts directly. GDPR does not necessarily require that, in cases where the personal data must be validated, that it be validated by the data subject herself. ICANN and the </w:t>
            </w:r>
            <w:r w:rsidRPr="005A6D8E">
              <w:rPr>
                <w:rFonts w:asciiTheme="minorHAnsi" w:hAnsiTheme="minorHAnsi" w:cstheme="minorHAnsi"/>
                <w:b/>
                <w:bCs/>
                <w:color w:val="000000"/>
                <w:sz w:val="22"/>
                <w:szCs w:val="22"/>
              </w:rPr>
              <w:t xml:space="preserve">relevant parties </w:t>
            </w:r>
            <w:r w:rsidRPr="005A6D8E">
              <w:rPr>
                <w:rFonts w:asciiTheme="minorHAnsi" w:hAnsiTheme="minorHAnsi" w:cstheme="minorHAnsi"/>
                <w:color w:val="000000"/>
                <w:sz w:val="22"/>
                <w:szCs w:val="22"/>
              </w:rPr>
              <w:t>may rely on third-parties to confirm the accuracy of personal data if it is reasonable to do so. Therefore, we see no immediate reason to find that the current procedures are insufficient.” (emphasis added) (Paragraph 19 – Accuracy)</w:t>
            </w:r>
          </w:p>
          <w:p w14:paraId="7498533A" w14:textId="77777777" w:rsidR="005A6D8E" w:rsidRPr="005A6D8E" w:rsidRDefault="005A6D8E" w:rsidP="005A6D8E">
            <w:pPr>
              <w:pStyle w:val="NormalWeb"/>
              <w:numPr>
                <w:ilvl w:val="1"/>
                <w:numId w:val="9"/>
              </w:numPr>
              <w:spacing w:before="200" w:beforeAutospacing="0" w:after="0" w:afterAutospacing="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lastRenderedPageBreak/>
              <w:t xml:space="preserve">“In sum, because compliance with the Accuracy Principle is based on a reasonableness standard, ICANN and the </w:t>
            </w:r>
            <w:r w:rsidRPr="005A6D8E">
              <w:rPr>
                <w:rFonts w:asciiTheme="minorHAnsi" w:hAnsiTheme="minorHAnsi" w:cstheme="minorHAnsi"/>
                <w:b/>
                <w:bCs/>
                <w:color w:val="000000"/>
                <w:sz w:val="22"/>
                <w:szCs w:val="22"/>
              </w:rPr>
              <w:t xml:space="preserve">relevant parties </w:t>
            </w:r>
            <w:r w:rsidRPr="005A6D8E">
              <w:rPr>
                <w:rFonts w:asciiTheme="minorHAnsi" w:hAnsiTheme="minorHAnsi" w:cstheme="minorHAnsi"/>
                <w:color w:val="000000"/>
                <w:sz w:val="22"/>
                <w:szCs w:val="22"/>
              </w:rPr>
              <w:t>will be better placed to evaluate whether these procedures are sufficient. From our vantage point, as the procedures do require affirmative steps that will help confirm accuracy, unless there is reason to believe these are insufficient, we see no clear requirement to review them.” (emphasis added) (Paragraph 21 - Accuracy)</w:t>
            </w:r>
          </w:p>
          <w:p w14:paraId="12BDDD85" w14:textId="77777777" w:rsidR="005A6D8E" w:rsidRPr="005A6D8E" w:rsidRDefault="005A6D8E" w:rsidP="005A6D8E">
            <w:pPr>
              <w:pStyle w:val="NormalWeb"/>
              <w:numPr>
                <w:ilvl w:val="1"/>
                <w:numId w:val="9"/>
              </w:numPr>
              <w:spacing w:before="200" w:beforeAutospacing="0" w:after="0" w:afterAutospacing="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t xml:space="preserve">“If the </w:t>
            </w:r>
            <w:r w:rsidRPr="005A6D8E">
              <w:rPr>
                <w:rFonts w:asciiTheme="minorHAnsi" w:hAnsiTheme="minorHAnsi" w:cstheme="minorHAnsi"/>
                <w:b/>
                <w:bCs/>
                <w:color w:val="000000"/>
                <w:sz w:val="22"/>
                <w:szCs w:val="22"/>
              </w:rPr>
              <w:t>relevant parties</w:t>
            </w:r>
            <w:r w:rsidRPr="005A6D8E">
              <w:rPr>
                <w:rFonts w:asciiTheme="minorHAnsi" w:hAnsiTheme="minorHAnsi" w:cstheme="minorHAnsi"/>
                <w:color w:val="000000"/>
                <w:sz w:val="22"/>
                <w:szCs w:val="22"/>
              </w:rPr>
              <w:t xml:space="preserve"> had no reason to doubt the reliability of a registrant's self-identification, then they likely would be able to rely on the self-identification alone, without independent confirmation. However, we understand that the parties are concerned that some registrants will not understand the question and will wrongly self-identify. Therefore, there would be a risk of liability if the </w:t>
            </w:r>
            <w:r w:rsidRPr="005A6D8E">
              <w:rPr>
                <w:rFonts w:asciiTheme="minorHAnsi" w:hAnsiTheme="minorHAnsi" w:cstheme="minorHAnsi"/>
                <w:b/>
                <w:bCs/>
                <w:color w:val="000000"/>
                <w:sz w:val="22"/>
                <w:szCs w:val="22"/>
              </w:rPr>
              <w:t>relevant parties</w:t>
            </w:r>
            <w:r w:rsidRPr="005A6D8E">
              <w:rPr>
                <w:rFonts w:asciiTheme="minorHAnsi" w:hAnsiTheme="minorHAnsi" w:cstheme="minorHAnsi"/>
                <w:color w:val="000000"/>
                <w:sz w:val="22"/>
                <w:szCs w:val="22"/>
              </w:rPr>
              <w:t xml:space="preserve"> did not take further steps to ensure the accuracy of the registrant's designation.” (emphasis added) (Paragraph 17 – Legal v. Natural)</w:t>
            </w:r>
          </w:p>
          <w:p w14:paraId="7D13C47D" w14:textId="77777777" w:rsidR="005A6D8E" w:rsidRPr="005A6D8E" w:rsidRDefault="005A6D8E" w:rsidP="005A6D8E">
            <w:pPr>
              <w:pStyle w:val="NormalWeb"/>
              <w:numPr>
                <w:ilvl w:val="0"/>
                <w:numId w:val="9"/>
              </w:numPr>
              <w:spacing w:before="200" w:beforeAutospacing="0" w:after="0" w:afterAutospacing="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t>Similarly, the Legal vs. Natural person memo refers to the “importance” of the data in determining the level of effort required to ensure accuracy.  Is the assessment of the “importance” of the data limited to considering the importance to the data subject and the controller(s), or does it include the importance of the data to third-parties as well (in this case law enforcement, IP rights holders, and others who would request the data from the controller for their own purposes)?</w:t>
            </w:r>
          </w:p>
          <w:p w14:paraId="4F8F814C" w14:textId="1D84E82F" w:rsidR="005A6D8E" w:rsidRDefault="005A6D8E" w:rsidP="005A6D8E">
            <w:pPr>
              <w:pStyle w:val="NormalWeb"/>
              <w:numPr>
                <w:ilvl w:val="1"/>
                <w:numId w:val="9"/>
              </w:numPr>
              <w:spacing w:before="200" w:beforeAutospacing="0" w:after="240" w:afterAutospacing="0"/>
              <w:textAlignment w:val="baseline"/>
              <w:rPr>
                <w:rFonts w:asciiTheme="minorHAnsi" w:hAnsiTheme="minorHAnsi" w:cstheme="minorHAnsi"/>
                <w:color w:val="000000"/>
                <w:sz w:val="22"/>
                <w:szCs w:val="22"/>
              </w:rPr>
            </w:pPr>
            <w:r w:rsidRPr="005A6D8E">
              <w:rPr>
                <w:rFonts w:asciiTheme="minorHAnsi" w:hAnsiTheme="minorHAnsi" w:cstheme="minorHAnsi"/>
                <w:color w:val="000000"/>
                <w:sz w:val="22"/>
                <w:szCs w:val="22"/>
              </w:rPr>
              <w:t xml:space="preserve">“As explained in the ICO guidance, "The more important it is that the personal data is accurate, the greater the effort you should put into ensuring its accuracy. </w:t>
            </w:r>
            <w:proofErr w:type="gramStart"/>
            <w:r w:rsidRPr="005A6D8E">
              <w:rPr>
                <w:rFonts w:asciiTheme="minorHAnsi" w:hAnsiTheme="minorHAnsi" w:cstheme="minorHAnsi"/>
                <w:color w:val="000000"/>
                <w:sz w:val="22"/>
                <w:szCs w:val="22"/>
              </w:rPr>
              <w:t>So</w:t>
            </w:r>
            <w:proofErr w:type="gramEnd"/>
            <w:r w:rsidRPr="005A6D8E">
              <w:rPr>
                <w:rFonts w:asciiTheme="minorHAnsi" w:hAnsiTheme="minorHAnsi" w:cstheme="minorHAnsi"/>
                <w:color w:val="000000"/>
                <w:sz w:val="22"/>
                <w:szCs w:val="22"/>
              </w:rPr>
              <w:t xml:space="preserve"> if you are using the data to make decisions that may significantly affect the individual concerned or others, you need to put more effort into ensuring accuracy.” (Paragraph 14 – Legal vs. Natural)</w:t>
            </w:r>
          </w:p>
          <w:p w14:paraId="5263F0F2" w14:textId="17804912" w:rsidR="005A6D8E" w:rsidRPr="005A6D8E" w:rsidRDefault="005A6D8E" w:rsidP="005A6D8E">
            <w:pPr>
              <w:pStyle w:val="ListParagraph"/>
              <w:numPr>
                <w:ilvl w:val="0"/>
                <w:numId w:val="9"/>
              </w:numPr>
              <w:spacing w:before="100" w:beforeAutospacing="1" w:after="100" w:afterAutospacing="1"/>
              <w:contextualSpacing w:val="0"/>
              <w:rPr>
                <w:rFonts w:cstheme="minorHAnsi"/>
                <w:color w:val="000000"/>
                <w:sz w:val="22"/>
                <w:szCs w:val="22"/>
              </w:rPr>
            </w:pPr>
            <w:r w:rsidRPr="005A6D8E">
              <w:rPr>
                <w:rFonts w:cstheme="minorHAnsi"/>
                <w:color w:val="000000"/>
                <w:sz w:val="22"/>
                <w:szCs w:val="22"/>
              </w:rPr>
              <w:lastRenderedPageBreak/>
              <w:t xml:space="preserve">Can you provide further information and explanation on the reference to third parties mentioned in para 19 in which "ICANN and the relevant parties may rely on to confirm the accuracy of personal data if it is reasonable to do so"? Please describe these third parties and their contemplated role.  Do they become in such a scenario data </w:t>
            </w:r>
            <w:proofErr w:type="gramStart"/>
            <w:r w:rsidRPr="005A6D8E">
              <w:rPr>
                <w:rFonts w:cstheme="minorHAnsi"/>
                <w:color w:val="000000"/>
                <w:sz w:val="22"/>
                <w:szCs w:val="22"/>
              </w:rPr>
              <w:t>processors</w:t>
            </w:r>
            <w:proofErr w:type="gramEnd"/>
            <w:r w:rsidRPr="005A6D8E">
              <w:rPr>
                <w:rFonts w:cstheme="minorHAnsi"/>
                <w:color w:val="000000"/>
                <w:sz w:val="22"/>
                <w:szCs w:val="22"/>
              </w:rPr>
              <w:t>?</w:t>
            </w:r>
          </w:p>
          <w:p w14:paraId="4F80B094" w14:textId="5AEA99F8" w:rsidR="005A6D8E" w:rsidRPr="005A6D8E" w:rsidRDefault="005A6D8E" w:rsidP="005A6D8E">
            <w:pPr>
              <w:pStyle w:val="ListParagraph"/>
              <w:numPr>
                <w:ilvl w:val="0"/>
                <w:numId w:val="9"/>
              </w:numPr>
              <w:spacing w:before="100" w:beforeAutospacing="1" w:after="100" w:afterAutospacing="1"/>
              <w:contextualSpacing w:val="0"/>
              <w:rPr>
                <w:rFonts w:ascii="Calibri" w:hAnsi="Calibri" w:cs="Calibri"/>
                <w:color w:val="000000"/>
                <w:sz w:val="22"/>
                <w:szCs w:val="22"/>
              </w:rPr>
            </w:pPr>
            <w:r w:rsidRPr="005A6D8E">
              <w:rPr>
                <w:rFonts w:ascii="Calibri" w:hAnsi="Calibri" w:cs="Calibri"/>
                <w:color w:val="000000"/>
                <w:sz w:val="22"/>
                <w:szCs w:val="22"/>
              </w:rPr>
              <w:t>Bird &amp; Bird’s memo on the meaning of the GDPR’s Accuracy Principle concluded that this Principle “requires controllers to take ‘reasonable steps’ to ensure that personal data is accurate and up to date. Memo at ¶15.</w:t>
            </w:r>
          </w:p>
          <w:p w14:paraId="1702F12A"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This memo also cited to the United Kingdom Information Commissioner Office’s guidance: </w:t>
            </w:r>
          </w:p>
          <w:p w14:paraId="66EA921A"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4FF3D1FA"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xml:space="preserve">The more important it is that the personal data is accurate, the greater the effort you should put into ensuring its accuracy.  </w:t>
            </w:r>
            <w:proofErr w:type="gramStart"/>
            <w:r w:rsidRPr="005A6D8E">
              <w:rPr>
                <w:rFonts w:ascii="Calibri" w:hAnsi="Calibri" w:cs="Calibri"/>
                <w:color w:val="000000"/>
                <w:sz w:val="22"/>
                <w:szCs w:val="22"/>
              </w:rPr>
              <w:t>So</w:t>
            </w:r>
            <w:proofErr w:type="gramEnd"/>
            <w:r w:rsidRPr="005A6D8E">
              <w:rPr>
                <w:rFonts w:ascii="Calibri" w:hAnsi="Calibri" w:cs="Calibri"/>
                <w:color w:val="000000"/>
                <w:sz w:val="22"/>
                <w:szCs w:val="22"/>
              </w:rPr>
              <w:t xml:space="preserve"> if you are using the data to make decisions that may significantly affect the individual concerned </w:t>
            </w:r>
            <w:r w:rsidRPr="005A6D8E">
              <w:rPr>
                <w:rFonts w:ascii="Calibri" w:hAnsi="Calibri" w:cs="Calibri"/>
                <w:b/>
                <w:bCs/>
                <w:i/>
                <w:iCs/>
                <w:color w:val="000000"/>
                <w:sz w:val="22"/>
                <w:szCs w:val="22"/>
              </w:rPr>
              <w:t>or others</w:t>
            </w:r>
            <w:r w:rsidRPr="005A6D8E">
              <w:rPr>
                <w:rFonts w:ascii="Calibri" w:hAnsi="Calibri" w:cs="Calibri"/>
                <w:color w:val="000000"/>
                <w:sz w:val="22"/>
                <w:szCs w:val="22"/>
              </w:rPr>
              <w:t>, you need to put more effort into ensuring accuracy. [emphasis added].  Memo at ¶7.</w:t>
            </w:r>
          </w:p>
          <w:p w14:paraId="57CB3830"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2A377782"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Finally, the memo observed that:</w:t>
            </w:r>
          </w:p>
          <w:p w14:paraId="2CF0898C"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a.            controllers collect registration data in part to ensure the security, stability and resiliency of the Domain Name System in accordance with ICANN’s mission through the enabling of lawful access for legitimate third-party interests [ICANN Purpose, Final Report EPDP at p. 21] and </w:t>
            </w:r>
          </w:p>
          <w:p w14:paraId="22D9991A"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10D33ABD"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b.            the current Registrar Accreditation Agreement (RAA) requires registrars to take certain steps to ensure the accuracy of data provided by registered domain name holder (registrants),</w:t>
            </w:r>
          </w:p>
          <w:p w14:paraId="1281124B"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7CA79279"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In light of these conclusions and observations, in addition to the requirements set forth in the current RAA, </w:t>
            </w:r>
          </w:p>
          <w:p w14:paraId="43AB13E2" w14:textId="77777777" w:rsidR="005A6D8E" w:rsidRPr="005A6D8E" w:rsidRDefault="005A6D8E" w:rsidP="005A6D8E">
            <w:pPr>
              <w:rPr>
                <w:rFonts w:ascii="Calibri" w:hAnsi="Calibri" w:cs="Calibri"/>
                <w:color w:val="000000"/>
                <w:sz w:val="22"/>
                <w:szCs w:val="22"/>
              </w:rPr>
            </w:pPr>
          </w:p>
          <w:p w14:paraId="15269C8C"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lastRenderedPageBreak/>
              <w:t>1)            What additional reasonable steps should data controllers take to ensure the accuracy of the data submitted with regard to the purposes for which they are processed? </w:t>
            </w:r>
          </w:p>
          <w:p w14:paraId="0550595D"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76810898"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2)            What additional reasonable steps should data controllers take to ensure the overall appropriate levels of data accuracy?  In particular, would it be advisable for data controllers to implement the methods identified in Bird and Bird’s January 25, 2019 memo on liability related to a registrant's self-identification as a natural or non-natural person:</w:t>
            </w:r>
          </w:p>
          <w:p w14:paraId="4F3397D1"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09541CA6"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a.            Confirmation emails seeking certification of the accuracy of the data submitted</w:t>
            </w:r>
          </w:p>
          <w:p w14:paraId="7ADBB91C"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b.            Independent verification</w:t>
            </w:r>
          </w:p>
          <w:p w14:paraId="5A5958D6"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c.             Communicating consequences of submitting inaccurate data (under RAA, can suspend or cancel registration under certain circumstance)</w:t>
            </w:r>
          </w:p>
          <w:p w14:paraId="30B1F8B6"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369F3855"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xml:space="preserve">in order to ensure the overall appropriate levels of data </w:t>
            </w:r>
            <w:proofErr w:type="gramStart"/>
            <w:r w:rsidRPr="005A6D8E">
              <w:rPr>
                <w:rFonts w:ascii="Calibri" w:hAnsi="Calibri" w:cs="Calibri"/>
                <w:color w:val="000000"/>
                <w:sz w:val="22"/>
                <w:szCs w:val="22"/>
              </w:rPr>
              <w:t>accuracy?</w:t>
            </w:r>
            <w:proofErr w:type="gramEnd"/>
            <w:r w:rsidRPr="005A6D8E">
              <w:rPr>
                <w:rFonts w:ascii="Calibri" w:hAnsi="Calibri" w:cs="Calibri"/>
                <w:color w:val="000000"/>
                <w:sz w:val="22"/>
                <w:szCs w:val="22"/>
              </w:rPr>
              <w:t> </w:t>
            </w:r>
          </w:p>
          <w:p w14:paraId="1540E308" w14:textId="77777777"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 </w:t>
            </w:r>
          </w:p>
          <w:p w14:paraId="0ECC1145" w14:textId="766D4C65" w:rsidR="005A6D8E" w:rsidRPr="005A6D8E" w:rsidRDefault="005A6D8E" w:rsidP="005A6D8E">
            <w:pPr>
              <w:ind w:left="360"/>
              <w:rPr>
                <w:rFonts w:ascii="Calibri" w:hAnsi="Calibri" w:cs="Calibri"/>
                <w:color w:val="000000"/>
                <w:sz w:val="22"/>
                <w:szCs w:val="22"/>
              </w:rPr>
            </w:pPr>
            <w:r w:rsidRPr="005A6D8E">
              <w:rPr>
                <w:rFonts w:ascii="Calibri" w:hAnsi="Calibri" w:cs="Calibri"/>
                <w:color w:val="000000"/>
                <w:sz w:val="22"/>
                <w:szCs w:val="22"/>
              </w:rPr>
              <w:t>3)            If statistics indicate that overall levels of data accuracy fall below a reasonable threshold (to be determined), would that demonstrate that the data controller’s methods to ensure data accuracy are not reasonable?</w:t>
            </w:r>
          </w:p>
          <w:p w14:paraId="34782123" w14:textId="0910FA77" w:rsidR="008B7BAD" w:rsidRPr="005A6D8E" w:rsidRDefault="008B7BAD" w:rsidP="005A6D8E">
            <w:pPr>
              <w:pStyle w:val="ListParagraph"/>
              <w:numPr>
                <w:ilvl w:val="0"/>
                <w:numId w:val="9"/>
              </w:numPr>
              <w:rPr>
                <w:rFonts w:cstheme="minorHAnsi"/>
                <w:sz w:val="22"/>
                <w:szCs w:val="22"/>
              </w:rPr>
            </w:pPr>
            <w:r w:rsidRPr="005A6D8E">
              <w:rPr>
                <w:rFonts w:cstheme="minorHAnsi"/>
                <w:sz w:val="22"/>
                <w:szCs w:val="22"/>
                <w:highlight w:val="yellow"/>
              </w:rPr>
              <w:t>EPDP Team to review response to legal question</w:t>
            </w:r>
            <w:r w:rsidR="005A6D8E">
              <w:rPr>
                <w:rFonts w:cstheme="minorHAnsi"/>
                <w:sz w:val="22"/>
                <w:szCs w:val="22"/>
                <w:highlight w:val="yellow"/>
              </w:rPr>
              <w:t>s</w:t>
            </w:r>
            <w:r w:rsidRPr="005A6D8E">
              <w:rPr>
                <w:rFonts w:cstheme="minorHAnsi"/>
                <w:sz w:val="22"/>
                <w:szCs w:val="22"/>
                <w:highlight w:val="yellow"/>
              </w:rPr>
              <w:t xml:space="preserve"> (</w:t>
            </w:r>
            <w:r w:rsidR="001936C5">
              <w:rPr>
                <w:rFonts w:cstheme="minorHAnsi"/>
                <w:sz w:val="22"/>
                <w:szCs w:val="22"/>
                <w:highlight w:val="yellow"/>
              </w:rPr>
              <w:t xml:space="preserve">if sent / </w:t>
            </w:r>
            <w:bookmarkStart w:id="0" w:name="_GoBack"/>
            <w:bookmarkEnd w:id="0"/>
            <w:r w:rsidR="006F0C1D">
              <w:rPr>
                <w:rFonts w:cstheme="minorHAnsi"/>
                <w:sz w:val="22"/>
                <w:szCs w:val="22"/>
                <w:highlight w:val="yellow"/>
              </w:rPr>
              <w:t>once</w:t>
            </w:r>
            <w:r w:rsidRPr="005A6D8E">
              <w:rPr>
                <w:rFonts w:cstheme="minorHAnsi"/>
                <w:sz w:val="22"/>
                <w:szCs w:val="22"/>
                <w:highlight w:val="yellow"/>
              </w:rPr>
              <w:t xml:space="preserve"> available)</w:t>
            </w:r>
          </w:p>
        </w:tc>
      </w:tr>
    </w:tbl>
    <w:p w14:paraId="7BA18492" w14:textId="77777777" w:rsidR="00404709" w:rsidRDefault="00404709"/>
    <w:sectPr w:rsidR="00404709" w:rsidSect="00CC6E7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E2B"/>
    <w:multiLevelType w:val="hybridMultilevel"/>
    <w:tmpl w:val="AC76B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4274D"/>
    <w:multiLevelType w:val="multilevel"/>
    <w:tmpl w:val="02B41E5C"/>
    <w:lvl w:ilvl="0">
      <w:start w:val="1"/>
      <w:numFmt w:val="bullet"/>
      <w:lvlText w:val=""/>
      <w:lvlJc w:val="left"/>
      <w:pPr>
        <w:tabs>
          <w:tab w:val="num" w:pos="0"/>
        </w:tabs>
        <w:ind w:left="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183B4398"/>
    <w:multiLevelType w:val="hybridMultilevel"/>
    <w:tmpl w:val="9D4278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D5509E"/>
    <w:multiLevelType w:val="hybridMultilevel"/>
    <w:tmpl w:val="C9C05206"/>
    <w:lvl w:ilvl="0" w:tplc="1AC2FB16">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B76D2"/>
    <w:multiLevelType w:val="hybridMultilevel"/>
    <w:tmpl w:val="3A6CB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5D1517"/>
    <w:multiLevelType w:val="multilevel"/>
    <w:tmpl w:val="C6E27FEC"/>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asciiTheme="minorHAnsi" w:hAnsiTheme="minorHAnsi" w:cstheme="minorBidi" w:hint="default"/>
        <w:color w:val="auto"/>
      </w:rPr>
    </w:lvl>
    <w:lvl w:ilvl="2">
      <w:start w:val="1"/>
      <w:numFmt w:val="decimal"/>
      <w:lvlText w:val="%3."/>
      <w:lvlJc w:val="left"/>
      <w:pPr>
        <w:ind w:left="2160" w:hanging="360"/>
      </w:pPr>
      <w:rPr>
        <w:rFonts w:asciiTheme="minorHAnsi" w:hAnsiTheme="minorHAnsi" w:cs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473F2"/>
    <w:multiLevelType w:val="hybridMultilevel"/>
    <w:tmpl w:val="C380B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867B52"/>
    <w:multiLevelType w:val="hybridMultilevel"/>
    <w:tmpl w:val="63564670"/>
    <w:lvl w:ilvl="0" w:tplc="8CCE1F0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505012"/>
    <w:multiLevelType w:val="hybridMultilevel"/>
    <w:tmpl w:val="99886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8F0F04"/>
    <w:multiLevelType w:val="hybridMultilevel"/>
    <w:tmpl w:val="10087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0A30C1"/>
    <w:multiLevelType w:val="multilevel"/>
    <w:tmpl w:val="4378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A41BA"/>
    <w:multiLevelType w:val="hybridMultilevel"/>
    <w:tmpl w:val="817CE290"/>
    <w:lvl w:ilvl="0" w:tplc="2CFE823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44FA3"/>
    <w:multiLevelType w:val="multilevel"/>
    <w:tmpl w:val="EAE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B45D9"/>
    <w:multiLevelType w:val="hybridMultilevel"/>
    <w:tmpl w:val="6E22853E"/>
    <w:lvl w:ilvl="0" w:tplc="F2E6FE1E">
      <w:start w:val="1"/>
      <w:numFmt w:val="decimal"/>
      <w:lvlText w:val="%1."/>
      <w:lvlJc w:val="left"/>
      <w:pPr>
        <w:ind w:left="720" w:hanging="360"/>
      </w:pPr>
      <w:rPr>
        <w:rFonts w:cstheme="minorHAns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75FF0"/>
    <w:multiLevelType w:val="hybridMultilevel"/>
    <w:tmpl w:val="B06E1E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F55C22"/>
    <w:multiLevelType w:val="hybridMultilevel"/>
    <w:tmpl w:val="B532E8DA"/>
    <w:lvl w:ilvl="0" w:tplc="8AB6F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2211D3"/>
    <w:multiLevelType w:val="hybridMultilevel"/>
    <w:tmpl w:val="CD64146C"/>
    <w:lvl w:ilvl="0" w:tplc="0976734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2"/>
  </w:num>
  <w:num w:numId="3">
    <w:abstractNumId w:val="14"/>
  </w:num>
  <w:num w:numId="4">
    <w:abstractNumId w:val="0"/>
  </w:num>
  <w:num w:numId="5">
    <w:abstractNumId w:val="8"/>
  </w:num>
  <w:num w:numId="6">
    <w:abstractNumId w:val="2"/>
  </w:num>
  <w:num w:numId="7">
    <w:abstractNumId w:val="3"/>
  </w:num>
  <w:num w:numId="8">
    <w:abstractNumId w:val="9"/>
  </w:num>
  <w:num w:numId="9">
    <w:abstractNumId w:val="4"/>
  </w:num>
  <w:num w:numId="10">
    <w:abstractNumId w:val="6"/>
  </w:num>
  <w:num w:numId="11">
    <w:abstractNumId w:val="1"/>
  </w:num>
  <w:num w:numId="12">
    <w:abstractNumId w:val="15"/>
  </w:num>
  <w:num w:numId="13">
    <w:abstractNumId w:val="11"/>
  </w:num>
  <w:num w:numId="14">
    <w:abstractNumId w:val="10"/>
  </w:num>
  <w:num w:numId="15">
    <w:abstractNumId w:val="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47"/>
    <w:rsid w:val="0002496C"/>
    <w:rsid w:val="000445DA"/>
    <w:rsid w:val="000F2132"/>
    <w:rsid w:val="001936C5"/>
    <w:rsid w:val="001A4A25"/>
    <w:rsid w:val="001A4CB6"/>
    <w:rsid w:val="002364E8"/>
    <w:rsid w:val="00237BC0"/>
    <w:rsid w:val="0035435A"/>
    <w:rsid w:val="00367BEF"/>
    <w:rsid w:val="00367F9E"/>
    <w:rsid w:val="00371364"/>
    <w:rsid w:val="003C2147"/>
    <w:rsid w:val="003F5D59"/>
    <w:rsid w:val="00404709"/>
    <w:rsid w:val="00405641"/>
    <w:rsid w:val="004076B0"/>
    <w:rsid w:val="00440B65"/>
    <w:rsid w:val="004414C3"/>
    <w:rsid w:val="00460B1C"/>
    <w:rsid w:val="004D3072"/>
    <w:rsid w:val="00552CED"/>
    <w:rsid w:val="005A6D8E"/>
    <w:rsid w:val="005D47E7"/>
    <w:rsid w:val="006556FB"/>
    <w:rsid w:val="006A4261"/>
    <w:rsid w:val="006A45A1"/>
    <w:rsid w:val="006A55A6"/>
    <w:rsid w:val="006D6B43"/>
    <w:rsid w:val="006F0C1D"/>
    <w:rsid w:val="00713856"/>
    <w:rsid w:val="00750A80"/>
    <w:rsid w:val="007944F2"/>
    <w:rsid w:val="00882208"/>
    <w:rsid w:val="008B7BAD"/>
    <w:rsid w:val="008D771A"/>
    <w:rsid w:val="00903F1C"/>
    <w:rsid w:val="009833D7"/>
    <w:rsid w:val="009A6C92"/>
    <w:rsid w:val="009A6F95"/>
    <w:rsid w:val="009C4CDE"/>
    <w:rsid w:val="00A03204"/>
    <w:rsid w:val="00A13469"/>
    <w:rsid w:val="00B30A94"/>
    <w:rsid w:val="00B452E1"/>
    <w:rsid w:val="00B626A8"/>
    <w:rsid w:val="00B85CC8"/>
    <w:rsid w:val="00BD7FDE"/>
    <w:rsid w:val="00BF1AA9"/>
    <w:rsid w:val="00BF73B4"/>
    <w:rsid w:val="00C12510"/>
    <w:rsid w:val="00C43F60"/>
    <w:rsid w:val="00C90CB3"/>
    <w:rsid w:val="00CC6E78"/>
    <w:rsid w:val="00CD1164"/>
    <w:rsid w:val="00D25E8B"/>
    <w:rsid w:val="00DA3EE8"/>
    <w:rsid w:val="00DC0F28"/>
    <w:rsid w:val="00DC58CE"/>
    <w:rsid w:val="00DE3B28"/>
    <w:rsid w:val="00ED316F"/>
    <w:rsid w:val="00F064AC"/>
    <w:rsid w:val="00F94C3E"/>
    <w:rsid w:val="00FA0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4D50"/>
  <w15:chartTrackingRefBased/>
  <w15:docId w15:val="{5EB4261B-9765-D04F-BAD9-203849B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3C214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C2147"/>
    <w:pPr>
      <w:ind w:left="720"/>
      <w:contextualSpacing/>
    </w:pPr>
  </w:style>
  <w:style w:type="paragraph" w:styleId="NormalWeb">
    <w:name w:val="Normal (Web)"/>
    <w:basedOn w:val="Normal"/>
    <w:uiPriority w:val="99"/>
    <w:unhideWhenUsed/>
    <w:rsid w:val="003C2147"/>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4CB6"/>
    <w:rPr>
      <w:sz w:val="16"/>
      <w:szCs w:val="16"/>
    </w:rPr>
  </w:style>
  <w:style w:type="paragraph" w:styleId="CommentText">
    <w:name w:val="annotation text"/>
    <w:basedOn w:val="Normal"/>
    <w:link w:val="CommentTextChar"/>
    <w:uiPriority w:val="99"/>
    <w:semiHidden/>
    <w:unhideWhenUsed/>
    <w:rsid w:val="001A4CB6"/>
    <w:rPr>
      <w:sz w:val="20"/>
      <w:szCs w:val="20"/>
    </w:rPr>
  </w:style>
  <w:style w:type="character" w:customStyle="1" w:styleId="CommentTextChar">
    <w:name w:val="Comment Text Char"/>
    <w:basedOn w:val="DefaultParagraphFont"/>
    <w:link w:val="CommentText"/>
    <w:uiPriority w:val="99"/>
    <w:semiHidden/>
    <w:rsid w:val="001A4CB6"/>
    <w:rPr>
      <w:sz w:val="20"/>
      <w:szCs w:val="20"/>
    </w:rPr>
  </w:style>
  <w:style w:type="paragraph" w:styleId="CommentSubject">
    <w:name w:val="annotation subject"/>
    <w:basedOn w:val="CommentText"/>
    <w:next w:val="CommentText"/>
    <w:link w:val="CommentSubjectChar"/>
    <w:uiPriority w:val="99"/>
    <w:semiHidden/>
    <w:unhideWhenUsed/>
    <w:rsid w:val="001A4CB6"/>
    <w:rPr>
      <w:b/>
      <w:bCs/>
    </w:rPr>
  </w:style>
  <w:style w:type="character" w:customStyle="1" w:styleId="CommentSubjectChar">
    <w:name w:val="Comment Subject Char"/>
    <w:basedOn w:val="CommentTextChar"/>
    <w:link w:val="CommentSubject"/>
    <w:uiPriority w:val="99"/>
    <w:semiHidden/>
    <w:rsid w:val="001A4CB6"/>
    <w:rPr>
      <w:b/>
      <w:bCs/>
      <w:sz w:val="20"/>
      <w:szCs w:val="20"/>
    </w:rPr>
  </w:style>
  <w:style w:type="paragraph" w:styleId="BalloonText">
    <w:name w:val="Balloon Text"/>
    <w:basedOn w:val="Normal"/>
    <w:link w:val="BalloonTextChar"/>
    <w:uiPriority w:val="99"/>
    <w:semiHidden/>
    <w:unhideWhenUsed/>
    <w:rsid w:val="001A4C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4CB6"/>
    <w:rPr>
      <w:rFonts w:ascii="Times New Roman" w:hAnsi="Times New Roman" w:cs="Times New Roman"/>
      <w:sz w:val="18"/>
      <w:szCs w:val="18"/>
    </w:rPr>
  </w:style>
  <w:style w:type="character" w:styleId="Hyperlink">
    <w:name w:val="Hyperlink"/>
    <w:basedOn w:val="DefaultParagraphFont"/>
    <w:uiPriority w:val="99"/>
    <w:unhideWhenUsed/>
    <w:rsid w:val="00FA0EA1"/>
    <w:rPr>
      <w:color w:val="0563C1" w:themeColor="hyperlink"/>
      <w:u w:val="single"/>
    </w:rPr>
  </w:style>
  <w:style w:type="character" w:styleId="UnresolvedMention">
    <w:name w:val="Unresolved Mention"/>
    <w:basedOn w:val="DefaultParagraphFont"/>
    <w:uiPriority w:val="99"/>
    <w:rsid w:val="00FA0EA1"/>
    <w:rPr>
      <w:color w:val="605E5C"/>
      <w:shd w:val="clear" w:color="auto" w:fill="E1DFDD"/>
    </w:rPr>
  </w:style>
  <w:style w:type="character" w:styleId="FollowedHyperlink">
    <w:name w:val="FollowedHyperlink"/>
    <w:basedOn w:val="DefaultParagraphFont"/>
    <w:uiPriority w:val="99"/>
    <w:semiHidden/>
    <w:unhideWhenUsed/>
    <w:rsid w:val="00FA0EA1"/>
    <w:rPr>
      <w:color w:val="954F72" w:themeColor="followedHyperlink"/>
      <w:u w:val="single"/>
    </w:rPr>
  </w:style>
  <w:style w:type="paragraph" w:customStyle="1" w:styleId="Default">
    <w:name w:val="Default"/>
    <w:rsid w:val="00882208"/>
    <w:pPr>
      <w:autoSpaceDE w:val="0"/>
      <w:autoSpaceDN w:val="0"/>
      <w:adjustRightInd w:val="0"/>
    </w:pPr>
    <w:rPr>
      <w:rFonts w:ascii="Calibri" w:hAnsi="Calibri" w:cs="Calibri"/>
      <w:color w:val="000000"/>
    </w:rPr>
  </w:style>
  <w:style w:type="character" w:customStyle="1" w:styleId="apple-converted-space">
    <w:name w:val="apple-converted-space"/>
    <w:basedOn w:val="DefaultParagraphFont"/>
    <w:rsid w:val="000F2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087">
      <w:bodyDiv w:val="1"/>
      <w:marLeft w:val="0"/>
      <w:marRight w:val="0"/>
      <w:marTop w:val="0"/>
      <w:marBottom w:val="0"/>
      <w:divBdr>
        <w:top w:val="none" w:sz="0" w:space="0" w:color="auto"/>
        <w:left w:val="none" w:sz="0" w:space="0" w:color="auto"/>
        <w:bottom w:val="none" w:sz="0" w:space="0" w:color="auto"/>
        <w:right w:val="none" w:sz="0" w:space="0" w:color="auto"/>
      </w:divBdr>
    </w:div>
    <w:div w:id="55707031">
      <w:bodyDiv w:val="1"/>
      <w:marLeft w:val="0"/>
      <w:marRight w:val="0"/>
      <w:marTop w:val="0"/>
      <w:marBottom w:val="0"/>
      <w:divBdr>
        <w:top w:val="none" w:sz="0" w:space="0" w:color="auto"/>
        <w:left w:val="none" w:sz="0" w:space="0" w:color="auto"/>
        <w:bottom w:val="none" w:sz="0" w:space="0" w:color="auto"/>
        <w:right w:val="none" w:sz="0" w:space="0" w:color="auto"/>
      </w:divBdr>
    </w:div>
    <w:div w:id="278802964">
      <w:bodyDiv w:val="1"/>
      <w:marLeft w:val="0"/>
      <w:marRight w:val="0"/>
      <w:marTop w:val="0"/>
      <w:marBottom w:val="0"/>
      <w:divBdr>
        <w:top w:val="none" w:sz="0" w:space="0" w:color="auto"/>
        <w:left w:val="none" w:sz="0" w:space="0" w:color="auto"/>
        <w:bottom w:val="none" w:sz="0" w:space="0" w:color="auto"/>
        <w:right w:val="none" w:sz="0" w:space="0" w:color="auto"/>
      </w:divBdr>
    </w:div>
    <w:div w:id="460002431">
      <w:bodyDiv w:val="1"/>
      <w:marLeft w:val="0"/>
      <w:marRight w:val="0"/>
      <w:marTop w:val="0"/>
      <w:marBottom w:val="0"/>
      <w:divBdr>
        <w:top w:val="none" w:sz="0" w:space="0" w:color="auto"/>
        <w:left w:val="none" w:sz="0" w:space="0" w:color="auto"/>
        <w:bottom w:val="none" w:sz="0" w:space="0" w:color="auto"/>
        <w:right w:val="none" w:sz="0" w:space="0" w:color="auto"/>
      </w:divBdr>
    </w:div>
    <w:div w:id="645428863">
      <w:bodyDiv w:val="1"/>
      <w:marLeft w:val="0"/>
      <w:marRight w:val="0"/>
      <w:marTop w:val="0"/>
      <w:marBottom w:val="0"/>
      <w:divBdr>
        <w:top w:val="none" w:sz="0" w:space="0" w:color="auto"/>
        <w:left w:val="none" w:sz="0" w:space="0" w:color="auto"/>
        <w:bottom w:val="none" w:sz="0" w:space="0" w:color="auto"/>
        <w:right w:val="none" w:sz="0" w:space="0" w:color="auto"/>
      </w:divBdr>
    </w:div>
    <w:div w:id="684475322">
      <w:bodyDiv w:val="1"/>
      <w:marLeft w:val="0"/>
      <w:marRight w:val="0"/>
      <w:marTop w:val="0"/>
      <w:marBottom w:val="0"/>
      <w:divBdr>
        <w:top w:val="none" w:sz="0" w:space="0" w:color="auto"/>
        <w:left w:val="none" w:sz="0" w:space="0" w:color="auto"/>
        <w:bottom w:val="none" w:sz="0" w:space="0" w:color="auto"/>
        <w:right w:val="none" w:sz="0" w:space="0" w:color="auto"/>
      </w:divBdr>
    </w:div>
    <w:div w:id="686250410">
      <w:bodyDiv w:val="1"/>
      <w:marLeft w:val="0"/>
      <w:marRight w:val="0"/>
      <w:marTop w:val="0"/>
      <w:marBottom w:val="0"/>
      <w:divBdr>
        <w:top w:val="none" w:sz="0" w:space="0" w:color="auto"/>
        <w:left w:val="none" w:sz="0" w:space="0" w:color="auto"/>
        <w:bottom w:val="none" w:sz="0" w:space="0" w:color="auto"/>
        <w:right w:val="none" w:sz="0" w:space="0" w:color="auto"/>
      </w:divBdr>
    </w:div>
    <w:div w:id="918176505">
      <w:bodyDiv w:val="1"/>
      <w:marLeft w:val="0"/>
      <w:marRight w:val="0"/>
      <w:marTop w:val="0"/>
      <w:marBottom w:val="0"/>
      <w:divBdr>
        <w:top w:val="none" w:sz="0" w:space="0" w:color="auto"/>
        <w:left w:val="none" w:sz="0" w:space="0" w:color="auto"/>
        <w:bottom w:val="none" w:sz="0" w:space="0" w:color="auto"/>
        <w:right w:val="none" w:sz="0" w:space="0" w:color="auto"/>
      </w:divBdr>
    </w:div>
    <w:div w:id="1002467618">
      <w:bodyDiv w:val="1"/>
      <w:marLeft w:val="0"/>
      <w:marRight w:val="0"/>
      <w:marTop w:val="0"/>
      <w:marBottom w:val="0"/>
      <w:divBdr>
        <w:top w:val="none" w:sz="0" w:space="0" w:color="auto"/>
        <w:left w:val="none" w:sz="0" w:space="0" w:color="auto"/>
        <w:bottom w:val="none" w:sz="0" w:space="0" w:color="auto"/>
        <w:right w:val="none" w:sz="0" w:space="0" w:color="auto"/>
      </w:divBdr>
    </w:div>
    <w:div w:id="1166748484">
      <w:bodyDiv w:val="1"/>
      <w:marLeft w:val="0"/>
      <w:marRight w:val="0"/>
      <w:marTop w:val="0"/>
      <w:marBottom w:val="0"/>
      <w:divBdr>
        <w:top w:val="none" w:sz="0" w:space="0" w:color="auto"/>
        <w:left w:val="none" w:sz="0" w:space="0" w:color="auto"/>
        <w:bottom w:val="none" w:sz="0" w:space="0" w:color="auto"/>
        <w:right w:val="none" w:sz="0" w:space="0" w:color="auto"/>
      </w:divBdr>
    </w:div>
    <w:div w:id="1204706810">
      <w:bodyDiv w:val="1"/>
      <w:marLeft w:val="0"/>
      <w:marRight w:val="0"/>
      <w:marTop w:val="0"/>
      <w:marBottom w:val="0"/>
      <w:divBdr>
        <w:top w:val="none" w:sz="0" w:space="0" w:color="auto"/>
        <w:left w:val="none" w:sz="0" w:space="0" w:color="auto"/>
        <w:bottom w:val="none" w:sz="0" w:space="0" w:color="auto"/>
        <w:right w:val="none" w:sz="0" w:space="0" w:color="auto"/>
      </w:divBdr>
    </w:div>
    <w:div w:id="1338461218">
      <w:bodyDiv w:val="1"/>
      <w:marLeft w:val="0"/>
      <w:marRight w:val="0"/>
      <w:marTop w:val="0"/>
      <w:marBottom w:val="0"/>
      <w:divBdr>
        <w:top w:val="none" w:sz="0" w:space="0" w:color="auto"/>
        <w:left w:val="none" w:sz="0" w:space="0" w:color="auto"/>
        <w:bottom w:val="none" w:sz="0" w:space="0" w:color="auto"/>
        <w:right w:val="none" w:sz="0" w:space="0" w:color="auto"/>
      </w:divBdr>
    </w:div>
    <w:div w:id="1412463988">
      <w:bodyDiv w:val="1"/>
      <w:marLeft w:val="0"/>
      <w:marRight w:val="0"/>
      <w:marTop w:val="0"/>
      <w:marBottom w:val="0"/>
      <w:divBdr>
        <w:top w:val="none" w:sz="0" w:space="0" w:color="auto"/>
        <w:left w:val="none" w:sz="0" w:space="0" w:color="auto"/>
        <w:bottom w:val="none" w:sz="0" w:space="0" w:color="auto"/>
        <w:right w:val="none" w:sz="0" w:space="0" w:color="auto"/>
      </w:divBdr>
    </w:div>
    <w:div w:id="1445542089">
      <w:bodyDiv w:val="1"/>
      <w:marLeft w:val="0"/>
      <w:marRight w:val="0"/>
      <w:marTop w:val="0"/>
      <w:marBottom w:val="0"/>
      <w:divBdr>
        <w:top w:val="none" w:sz="0" w:space="0" w:color="auto"/>
        <w:left w:val="none" w:sz="0" w:space="0" w:color="auto"/>
        <w:bottom w:val="none" w:sz="0" w:space="0" w:color="auto"/>
        <w:right w:val="none" w:sz="0" w:space="0" w:color="auto"/>
      </w:divBdr>
    </w:div>
    <w:div w:id="1645506986">
      <w:bodyDiv w:val="1"/>
      <w:marLeft w:val="0"/>
      <w:marRight w:val="0"/>
      <w:marTop w:val="0"/>
      <w:marBottom w:val="0"/>
      <w:divBdr>
        <w:top w:val="none" w:sz="0" w:space="0" w:color="auto"/>
        <w:left w:val="none" w:sz="0" w:space="0" w:color="auto"/>
        <w:bottom w:val="none" w:sz="0" w:space="0" w:color="auto"/>
        <w:right w:val="none" w:sz="0" w:space="0" w:color="auto"/>
      </w:divBdr>
    </w:div>
    <w:div w:id="1682201600">
      <w:bodyDiv w:val="1"/>
      <w:marLeft w:val="0"/>
      <w:marRight w:val="0"/>
      <w:marTop w:val="0"/>
      <w:marBottom w:val="0"/>
      <w:divBdr>
        <w:top w:val="none" w:sz="0" w:space="0" w:color="auto"/>
        <w:left w:val="none" w:sz="0" w:space="0" w:color="auto"/>
        <w:bottom w:val="none" w:sz="0" w:space="0" w:color="auto"/>
        <w:right w:val="none" w:sz="0" w:space="0" w:color="auto"/>
      </w:divBdr>
    </w:div>
    <w:div w:id="1735278788">
      <w:bodyDiv w:val="1"/>
      <w:marLeft w:val="0"/>
      <w:marRight w:val="0"/>
      <w:marTop w:val="0"/>
      <w:marBottom w:val="0"/>
      <w:divBdr>
        <w:top w:val="none" w:sz="0" w:space="0" w:color="auto"/>
        <w:left w:val="none" w:sz="0" w:space="0" w:color="auto"/>
        <w:bottom w:val="none" w:sz="0" w:space="0" w:color="auto"/>
        <w:right w:val="none" w:sz="0" w:space="0" w:color="auto"/>
      </w:divBdr>
    </w:div>
    <w:div w:id="1909992450">
      <w:bodyDiv w:val="1"/>
      <w:marLeft w:val="0"/>
      <w:marRight w:val="0"/>
      <w:marTop w:val="0"/>
      <w:marBottom w:val="0"/>
      <w:divBdr>
        <w:top w:val="none" w:sz="0" w:space="0" w:color="auto"/>
        <w:left w:val="none" w:sz="0" w:space="0" w:color="auto"/>
        <w:bottom w:val="none" w:sz="0" w:space="0" w:color="auto"/>
        <w:right w:val="none" w:sz="0" w:space="0" w:color="auto"/>
      </w:divBdr>
    </w:div>
    <w:div w:id="19481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_48305/ppsai-final-07dec15-en.pdf" TargetMode="External"/><Relationship Id="rId13" Type="http://schemas.openxmlformats.org/officeDocument/2006/relationships/hyperlink" Target="https://docs.google.com/document/d/1xlw1N7omlgPKjag_FnOy03NRvByol8IaJma5zNPkWaY/edit?usp=sharing" TargetMode="External"/><Relationship Id="rId18" Type="http://schemas.openxmlformats.org/officeDocument/2006/relationships/hyperlink" Target="https://docs.google.com/document/d/1pS9Pibanj-Hp6LztZpeERtxdoLsnp4y_-do0vU5VJuw/edit" TargetMode="External"/><Relationship Id="rId3" Type="http://schemas.openxmlformats.org/officeDocument/2006/relationships/settings" Target="settings.xml"/><Relationship Id="rId21" Type="http://schemas.openxmlformats.org/officeDocument/2006/relationships/hyperlink" Target="https://gnso.icann.org/en/correspondence/marby-to-drazek-21jun19-en.pdf" TargetMode="External"/><Relationship Id="rId7" Type="http://schemas.openxmlformats.org/officeDocument/2006/relationships/hyperlink" Target="https://mm.icann.org/pipermail/gdd-gnso-ppsai-impl/attachments/20180913/426735f5/PPAA_12Sept_IRTMarkUp-0001.pdf" TargetMode="External"/><Relationship Id="rId12" Type="http://schemas.openxmlformats.org/officeDocument/2006/relationships/hyperlink" Target="https://docs.google.com/document/d/1rdtRLaNm5DiWR_EPei4Oi64FaDauIXEQhnF2Lm_NxbI/edit" TargetMode="External"/><Relationship Id="rId17" Type="http://schemas.openxmlformats.org/officeDocument/2006/relationships/hyperlink" Target="https://mm.icann.org/pipermail/gnso-epdp-team/2020-February/003065.html" TargetMode="External"/><Relationship Id="rId2" Type="http://schemas.openxmlformats.org/officeDocument/2006/relationships/styles" Target="styles.xml"/><Relationship Id="rId16" Type="http://schemas.openxmlformats.org/officeDocument/2006/relationships/hyperlink" Target="https://docs.google.com/document/d/1meyuNRsq4sMOI6pefJk4jZevaKUsTkVf8_XyW1tRaiA/edit" TargetMode="External"/><Relationship Id="rId20" Type="http://schemas.openxmlformats.org/officeDocument/2006/relationships/hyperlink" Target="https://gnso.icann.org/en/correspondence/drazek-to-marby-15oct19-en.pdf" TargetMode="External"/><Relationship Id="rId1" Type="http://schemas.openxmlformats.org/officeDocument/2006/relationships/numbering" Target="numbering.xml"/><Relationship Id="rId6" Type="http://schemas.openxmlformats.org/officeDocument/2006/relationships/hyperlink" Target="https://mm.icann.org/pipermail/gnso-epdp-team/2019-December/002868.html" TargetMode="External"/><Relationship Id="rId11" Type="http://schemas.openxmlformats.org/officeDocument/2006/relationships/hyperlink" Target="https://community.icann.org/x/WgVxBw" TargetMode="External"/><Relationship Id="rId5" Type="http://schemas.openxmlformats.org/officeDocument/2006/relationships/hyperlink" Target="https://docs.google.com/document/d/1izpX2C-RrfAdRgRDwBO9tQuJIBA9Xt38p1MTJgQNDGI/edit" TargetMode="External"/><Relationship Id="rId15" Type="http://schemas.openxmlformats.org/officeDocument/2006/relationships/hyperlink" Target="https://docs.google.com/document/d/174PSGgWB-UTTcqIA-NndIVDkP6WR701tzwjDsozVRXM/edit" TargetMode="External"/><Relationship Id="rId23" Type="http://schemas.openxmlformats.org/officeDocument/2006/relationships/theme" Target="theme/theme1.xml"/><Relationship Id="rId10" Type="http://schemas.openxmlformats.org/officeDocument/2006/relationships/hyperlink" Target="https://community.icann.org/download/attachments/115641203/Rec17study-2nov19%20%20-%20%20Read-Only.pdf?version=1&amp;modificationDate=1578949216742&amp;api=v2" TargetMode="External"/><Relationship Id="rId19" Type="http://schemas.openxmlformats.org/officeDocument/2006/relationships/hyperlink" Target="https://www.icann.org/en/system/files/correspondence/marby-to-drazek-05dec19-en.pdf" TargetMode="External"/><Relationship Id="rId4" Type="http://schemas.openxmlformats.org/officeDocument/2006/relationships/webSettings" Target="webSettings.xml"/><Relationship Id="rId9" Type="http://schemas.openxmlformats.org/officeDocument/2006/relationships/hyperlink" Target="https://docs.google.com/document/d/1vEetjWuRlf2uvCCUREHf9G7ac5z2hk_sgGiOSJC3JO8/edit" TargetMode="External"/><Relationship Id="rId14" Type="http://schemas.openxmlformats.org/officeDocument/2006/relationships/hyperlink" Target="https://mm.icann.org/pipermail/gnso-epdp-team/2019-November/00274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3198</Words>
  <Characters>17944</Characters>
  <Application>Microsoft Office Word</Application>
  <DocSecurity>0</DocSecurity>
  <Lines>437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2</cp:revision>
  <dcterms:created xsi:type="dcterms:W3CDTF">2020-02-10T14:43:00Z</dcterms:created>
  <dcterms:modified xsi:type="dcterms:W3CDTF">2020-02-10T14:43:00Z</dcterms:modified>
</cp:coreProperties>
</file>