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7B26C" w14:textId="3EA4A4A7" w:rsidR="00C83E1D" w:rsidRDefault="003D65AA" w:rsidP="00DB7CFB">
      <w:pPr>
        <w:pStyle w:val="Heading1"/>
        <w:jc w:val="center"/>
      </w:pPr>
      <w:r>
        <w:t xml:space="preserve">A handful of </w:t>
      </w:r>
      <w:proofErr w:type="spellStart"/>
      <w:r>
        <w:t>cases</w:t>
      </w:r>
      <w:proofErr w:type="spellEnd"/>
      <w:r>
        <w:t xml:space="preserve"> related to privacy/proxy services and </w:t>
      </w:r>
      <w:proofErr w:type="gramStart"/>
      <w:r>
        <w:t>redaction</w:t>
      </w:r>
      <w:proofErr w:type="gramEnd"/>
    </w:p>
    <w:p w14:paraId="318C591B" w14:textId="048333D6" w:rsidR="00DB7CFB" w:rsidRDefault="00DB7CFB" w:rsidP="00DB7CFB">
      <w:pPr>
        <w:jc w:val="center"/>
      </w:pPr>
      <w:r>
        <w:t>Steve Crocker, 26 April 2023</w:t>
      </w:r>
    </w:p>
    <w:p w14:paraId="66330215" w14:textId="77777777" w:rsidR="003D65AA" w:rsidRDefault="003D65AA"/>
    <w:p w14:paraId="39FAA0F5" w14:textId="77777777" w:rsidR="003D65AA" w:rsidRDefault="003D65AA"/>
    <w:p w14:paraId="43F7D157" w14:textId="2097D7BF" w:rsidR="003D65AA" w:rsidRDefault="003D65AA">
      <w:r>
        <w:t>At the time of registration, and perhaps at again later at the registrant’s initiative, the registrant will choose among three alternatives regarding the protection of the privacy of the registration.</w:t>
      </w:r>
    </w:p>
    <w:p w14:paraId="37FE8A0D" w14:textId="77777777" w:rsidR="003D65AA" w:rsidRDefault="003D65AA"/>
    <w:p w14:paraId="7698C93F" w14:textId="29D5969B" w:rsidR="003D65AA" w:rsidRDefault="008256F5" w:rsidP="003D65AA">
      <w:pPr>
        <w:ind w:left="1170" w:hanging="1170"/>
      </w:pPr>
      <w:r>
        <w:t>Public</w:t>
      </w:r>
      <w:r w:rsidR="003D65AA">
        <w:tab/>
        <w:t>Make the registration available to any requester.  (This is often called “making the registration data public” or “publishing the registration data.”)  Choosing this option overrides the registrar’s default treatment of the registration data.</w:t>
      </w:r>
      <w:r w:rsidR="003D65AA">
        <w:br/>
      </w:r>
    </w:p>
    <w:p w14:paraId="1B8AC0AD" w14:textId="5ED0EE3A" w:rsidR="003D65AA" w:rsidRDefault="008256F5" w:rsidP="003D65AA">
      <w:pPr>
        <w:ind w:left="1170" w:hanging="1170"/>
      </w:pPr>
      <w:r>
        <w:t>Normal</w:t>
      </w:r>
      <w:r w:rsidR="003D65AA">
        <w:tab/>
        <w:t>Let the registrar protect the registration data in accordance with its policies (and the policies of the registry and policy authorities above it.)</w:t>
      </w:r>
      <w:r w:rsidR="003D65AA">
        <w:br/>
      </w:r>
    </w:p>
    <w:p w14:paraId="77803F51" w14:textId="73FCE653" w:rsidR="003D65AA" w:rsidRDefault="008256F5" w:rsidP="003D65AA">
      <w:pPr>
        <w:ind w:left="1170" w:hanging="1170"/>
      </w:pPr>
      <w:r>
        <w:t>Protected</w:t>
      </w:r>
      <w:r w:rsidR="003D65AA">
        <w:tab/>
        <w:t>Ask the registrar to protect the registration data by interposing a privacy or proxy service.  (Equivalently, the registrar might offer this service and thus leave it to the registrant to accept or refuse.)</w:t>
      </w:r>
    </w:p>
    <w:p w14:paraId="2E132D6C" w14:textId="77777777" w:rsidR="003D65AA" w:rsidRDefault="003D65AA" w:rsidP="00DB7CFB"/>
    <w:p w14:paraId="2BC649C0" w14:textId="61782B36" w:rsidR="003D65AA" w:rsidRDefault="003D65AA" w:rsidP="003D65AA">
      <w:r>
        <w:t xml:space="preserve">Later, various requesters may ask for the registration data.  The response will depend in part on which option was chosen during registration and in part on the status of the requester and the purpose and other details of the request.  For purposes of this memo, we assume the requesters fall into </w:t>
      </w:r>
      <w:r w:rsidR="007C3A60">
        <w:t xml:space="preserve">the following five buckets, with perhaps some question as to whether </w:t>
      </w:r>
      <w:r w:rsidR="00DB7CFB">
        <w:t xml:space="preserve">the </w:t>
      </w:r>
      <w:proofErr w:type="spellStart"/>
      <w:r w:rsidR="00DB7CFB">
        <w:t>XRqr</w:t>
      </w:r>
      <w:proofErr w:type="spellEnd"/>
      <w:r w:rsidR="00DB7CFB">
        <w:t xml:space="preserve"> is needed</w:t>
      </w:r>
      <w:r w:rsidR="007C3A60">
        <w:t>.</w:t>
      </w:r>
    </w:p>
    <w:p w14:paraId="2D37F003" w14:textId="77777777" w:rsidR="007C3A60" w:rsidRDefault="007C3A60" w:rsidP="003D65AA"/>
    <w:p w14:paraId="40D97CA4" w14:textId="4B7485D1" w:rsidR="007C3A60" w:rsidRDefault="008256F5" w:rsidP="007C3A60">
      <w:pPr>
        <w:ind w:left="1170" w:hanging="1170"/>
      </w:pPr>
      <w:r>
        <w:t>Citizen</w:t>
      </w:r>
      <w:r w:rsidR="007C3A60">
        <w:tab/>
        <w:t xml:space="preserve">Public requesters, </w:t>
      </w:r>
      <w:proofErr w:type="gramStart"/>
      <w:r w:rsidR="007C3A60">
        <w:t>i.e.</w:t>
      </w:r>
      <w:proofErr w:type="gramEnd"/>
      <w:r w:rsidR="007C3A60">
        <w:t xml:space="preserve"> requesters with no special privileges and no obligations regarding the use of the data they receive.</w:t>
      </w:r>
      <w:r w:rsidR="007C3A60">
        <w:br/>
      </w:r>
    </w:p>
    <w:p w14:paraId="073419B3" w14:textId="680785C8" w:rsidR="007C3A60" w:rsidRDefault="008256F5" w:rsidP="007C3A60">
      <w:pPr>
        <w:ind w:left="1170" w:hanging="1170"/>
      </w:pPr>
      <w:proofErr w:type="spellStart"/>
      <w:r>
        <w:t>Rqr</w:t>
      </w:r>
      <w:proofErr w:type="spellEnd"/>
      <w:r w:rsidR="007C3A60">
        <w:tab/>
        <w:t>Requesters who need access to non-public data for specific, approved purposes, and who agree to protect the data they receive against unapproved use and against unapproved disclosure.  Requesters in this bucket have identified themselves and are accountable for adhering to the rules.  Candidates for this bucket are IP attorneys tracking potential infringers, security practitioners, and others except public safety officials.</w:t>
      </w:r>
      <w:r w:rsidR="007C3A60">
        <w:br/>
      </w:r>
    </w:p>
    <w:p w14:paraId="34F13F19" w14:textId="45BD0009" w:rsidR="007C3A60" w:rsidRDefault="008256F5" w:rsidP="007C3A60">
      <w:pPr>
        <w:ind w:left="1170" w:hanging="1170"/>
      </w:pPr>
      <w:proofErr w:type="spellStart"/>
      <w:r>
        <w:t>XRqr</w:t>
      </w:r>
      <w:proofErr w:type="spellEnd"/>
      <w:r w:rsidR="007C3A60">
        <w:tab/>
        <w:t xml:space="preserve">Requesters in this bucket require and are permitted greater access to registration data.  It is not clear whether </w:t>
      </w:r>
      <w:r>
        <w:t>this bucket is needed.</w:t>
      </w:r>
      <w:r>
        <w:br/>
      </w:r>
    </w:p>
    <w:p w14:paraId="7C3D1809" w14:textId="2A92710E" w:rsidR="008256F5" w:rsidRDefault="008256F5" w:rsidP="007C3A60">
      <w:pPr>
        <w:ind w:left="1170" w:hanging="1170"/>
      </w:pPr>
      <w:r>
        <w:t>PS</w:t>
      </w:r>
      <w:r>
        <w:tab/>
        <w:t xml:space="preserve">Public safety officials conducting investigations without a court order, </w:t>
      </w:r>
      <w:proofErr w:type="gramStart"/>
      <w:r>
        <w:t>i.e.</w:t>
      </w:r>
      <w:proofErr w:type="gramEnd"/>
      <w:r>
        <w:t xml:space="preserve"> warrant or subpoena, or similar authority.</w:t>
      </w:r>
      <w:r>
        <w:br/>
      </w:r>
    </w:p>
    <w:p w14:paraId="377FDD7D" w14:textId="65A3A926" w:rsidR="008256F5" w:rsidRDefault="008256F5" w:rsidP="007C3A60">
      <w:pPr>
        <w:ind w:left="1170" w:hanging="1170"/>
      </w:pPr>
      <w:r>
        <w:t>PS+CA</w:t>
      </w:r>
      <w:r>
        <w:tab/>
        <w:t>Public safety officials conducting investigations with a court order or similar authority.  (“Similar authority” includes a declaration of exigent circumstances.)</w:t>
      </w:r>
    </w:p>
    <w:p w14:paraId="393CC75B" w14:textId="77777777" w:rsidR="008256F5" w:rsidRDefault="008256F5" w:rsidP="007C3A60">
      <w:pPr>
        <w:ind w:left="1170" w:hanging="1170"/>
      </w:pPr>
    </w:p>
    <w:p w14:paraId="26E00202" w14:textId="1888942F" w:rsidR="008256F5" w:rsidRDefault="008256F5" w:rsidP="008256F5">
      <w:r>
        <w:lastRenderedPageBreak/>
        <w:t>With these registration options and gradations of credentials in mind, we can ask what the response will be for each fifteen combinations.  The possible responses are limited to:</w:t>
      </w:r>
    </w:p>
    <w:p w14:paraId="65413E8A" w14:textId="77777777" w:rsidR="008256F5" w:rsidRDefault="008256F5" w:rsidP="008256F5"/>
    <w:p w14:paraId="5DC8B6DC" w14:textId="3C551C89" w:rsidR="008256F5" w:rsidRDefault="008256F5" w:rsidP="008256F5">
      <w:proofErr w:type="gramStart"/>
      <w:r>
        <w:t>A</w:t>
      </w:r>
      <w:proofErr w:type="gramEnd"/>
      <w:r>
        <w:tab/>
        <w:t>Actual data</w:t>
      </w:r>
    </w:p>
    <w:p w14:paraId="032C4B38" w14:textId="3A1BC5A8" w:rsidR="008256F5" w:rsidRDefault="008256F5" w:rsidP="008256F5">
      <w:r>
        <w:t>P</w:t>
      </w:r>
      <w:r>
        <w:tab/>
        <w:t>A pointer to the privacy/proxy service</w:t>
      </w:r>
    </w:p>
    <w:p w14:paraId="34586344" w14:textId="5888DF7B" w:rsidR="008256F5" w:rsidRDefault="008256F5" w:rsidP="008256F5">
      <w:r>
        <w:t>R</w:t>
      </w:r>
      <w:r>
        <w:tab/>
        <w:t>“Redacted”</w:t>
      </w:r>
    </w:p>
    <w:p w14:paraId="0DA3CA32" w14:textId="11054FFE" w:rsidR="008256F5" w:rsidRDefault="008256F5" w:rsidP="008256F5">
      <w:r>
        <w:t>X</w:t>
      </w:r>
      <w:r>
        <w:tab/>
        <w:t>No response</w:t>
      </w:r>
    </w:p>
    <w:p w14:paraId="312A269A" w14:textId="1B027372" w:rsidR="008256F5" w:rsidRDefault="008256F5" w:rsidP="008256F5">
      <w:r>
        <w:t>??</w:t>
      </w:r>
      <w:r>
        <w:tab/>
        <w:t>Unknown; to be determined</w:t>
      </w:r>
      <w:r w:rsidR="00DB7CFB">
        <w:t>.</w:t>
      </w:r>
    </w:p>
    <w:p w14:paraId="33D6F4BB" w14:textId="77777777" w:rsidR="00DB7CFB" w:rsidRDefault="00DB7CFB" w:rsidP="008256F5"/>
    <w:p w14:paraId="7A9A0506" w14:textId="2D9A4E50" w:rsidR="00DB7CFB" w:rsidRDefault="00DB7CFB" w:rsidP="008256F5">
      <w:r>
        <w:t>The following is a guess to be reviewed and edited.</w:t>
      </w:r>
    </w:p>
    <w:p w14:paraId="4DC1307A" w14:textId="77777777" w:rsidR="008256F5" w:rsidRDefault="008256F5" w:rsidP="008256F5"/>
    <w:p w14:paraId="16E63A0C" w14:textId="77777777" w:rsidR="008256F5" w:rsidRDefault="008256F5" w:rsidP="008256F5"/>
    <w:tbl>
      <w:tblPr>
        <w:tblStyle w:val="TableGrid"/>
        <w:tblW w:w="0" w:type="auto"/>
        <w:tblLook w:val="04A0" w:firstRow="1" w:lastRow="0" w:firstColumn="1" w:lastColumn="0" w:noHBand="0" w:noVBand="1"/>
      </w:tblPr>
      <w:tblGrid>
        <w:gridCol w:w="1870"/>
        <w:gridCol w:w="1870"/>
        <w:gridCol w:w="1870"/>
        <w:gridCol w:w="1870"/>
      </w:tblGrid>
      <w:tr w:rsidR="00FA2E3F" w14:paraId="1172BA62" w14:textId="77777777" w:rsidTr="004B2AB7">
        <w:tc>
          <w:tcPr>
            <w:tcW w:w="1870" w:type="dxa"/>
          </w:tcPr>
          <w:p w14:paraId="527CEEB7" w14:textId="7CC98A1E" w:rsidR="00FA2E3F" w:rsidRDefault="00DB7CFB" w:rsidP="008256F5">
            <w:r>
              <w:t>26 Apr 23, SDC</w:t>
            </w:r>
          </w:p>
        </w:tc>
        <w:tc>
          <w:tcPr>
            <w:tcW w:w="5610" w:type="dxa"/>
            <w:gridSpan w:val="3"/>
          </w:tcPr>
          <w:p w14:paraId="04D5999C" w14:textId="56D49DF5" w:rsidR="00FA2E3F" w:rsidRDefault="00FA2E3F" w:rsidP="00FA2E3F">
            <w:pPr>
              <w:jc w:val="center"/>
            </w:pPr>
            <w:r>
              <w:t>Protection Status</w:t>
            </w:r>
          </w:p>
        </w:tc>
      </w:tr>
      <w:tr w:rsidR="00FA2E3F" w14:paraId="1D015DD6" w14:textId="77777777" w:rsidTr="00FA2E3F">
        <w:tc>
          <w:tcPr>
            <w:tcW w:w="1870" w:type="dxa"/>
          </w:tcPr>
          <w:p w14:paraId="33DF57BA" w14:textId="77777777" w:rsidR="00FA2E3F" w:rsidRDefault="00FA2E3F" w:rsidP="008256F5"/>
        </w:tc>
        <w:tc>
          <w:tcPr>
            <w:tcW w:w="1870" w:type="dxa"/>
          </w:tcPr>
          <w:p w14:paraId="07481C1C" w14:textId="1812A589" w:rsidR="00FA2E3F" w:rsidRDefault="00FA2E3F" w:rsidP="00FA2E3F">
            <w:pPr>
              <w:jc w:val="center"/>
            </w:pPr>
            <w:r>
              <w:t>Public</w:t>
            </w:r>
          </w:p>
        </w:tc>
        <w:tc>
          <w:tcPr>
            <w:tcW w:w="1870" w:type="dxa"/>
          </w:tcPr>
          <w:p w14:paraId="746B1611" w14:textId="348C44FE" w:rsidR="00FA2E3F" w:rsidRDefault="00FA2E3F" w:rsidP="00FA2E3F">
            <w:pPr>
              <w:jc w:val="center"/>
            </w:pPr>
            <w:r>
              <w:t>Normal</w:t>
            </w:r>
          </w:p>
        </w:tc>
        <w:tc>
          <w:tcPr>
            <w:tcW w:w="1870" w:type="dxa"/>
          </w:tcPr>
          <w:p w14:paraId="4B3A7759" w14:textId="5225FFCC" w:rsidR="00FA2E3F" w:rsidRDefault="00FA2E3F" w:rsidP="00FA2E3F">
            <w:pPr>
              <w:jc w:val="center"/>
            </w:pPr>
            <w:r>
              <w:t>Protected</w:t>
            </w:r>
          </w:p>
        </w:tc>
      </w:tr>
      <w:tr w:rsidR="00FA2E3F" w14:paraId="17D653DD" w14:textId="77777777" w:rsidTr="00FA2E3F">
        <w:tc>
          <w:tcPr>
            <w:tcW w:w="1870" w:type="dxa"/>
          </w:tcPr>
          <w:p w14:paraId="59D680E4" w14:textId="2F15D1BE" w:rsidR="00FA2E3F" w:rsidRDefault="00FA2E3F" w:rsidP="008256F5">
            <w:r>
              <w:t>Requester Status</w:t>
            </w:r>
          </w:p>
        </w:tc>
        <w:tc>
          <w:tcPr>
            <w:tcW w:w="1870" w:type="dxa"/>
          </w:tcPr>
          <w:p w14:paraId="5E6F46C1" w14:textId="77777777" w:rsidR="00FA2E3F" w:rsidRDefault="00FA2E3F" w:rsidP="00FA2E3F">
            <w:pPr>
              <w:jc w:val="center"/>
            </w:pPr>
          </w:p>
        </w:tc>
        <w:tc>
          <w:tcPr>
            <w:tcW w:w="1870" w:type="dxa"/>
          </w:tcPr>
          <w:p w14:paraId="6DFA3BE4" w14:textId="77777777" w:rsidR="00FA2E3F" w:rsidRDefault="00FA2E3F" w:rsidP="00FA2E3F">
            <w:pPr>
              <w:jc w:val="center"/>
            </w:pPr>
          </w:p>
        </w:tc>
        <w:tc>
          <w:tcPr>
            <w:tcW w:w="1870" w:type="dxa"/>
          </w:tcPr>
          <w:p w14:paraId="33D89B9B" w14:textId="77777777" w:rsidR="00FA2E3F" w:rsidRDefault="00FA2E3F" w:rsidP="00FA2E3F">
            <w:pPr>
              <w:jc w:val="center"/>
            </w:pPr>
          </w:p>
        </w:tc>
      </w:tr>
      <w:tr w:rsidR="00FA2E3F" w14:paraId="5178A40C" w14:textId="77777777" w:rsidTr="00FA2E3F">
        <w:tc>
          <w:tcPr>
            <w:tcW w:w="1870" w:type="dxa"/>
          </w:tcPr>
          <w:p w14:paraId="58799FAD" w14:textId="6A2E218F" w:rsidR="00FA2E3F" w:rsidRDefault="00FA2E3F" w:rsidP="008256F5">
            <w:r>
              <w:t>Citizen</w:t>
            </w:r>
          </w:p>
        </w:tc>
        <w:tc>
          <w:tcPr>
            <w:tcW w:w="1870" w:type="dxa"/>
          </w:tcPr>
          <w:p w14:paraId="1D22EF5F" w14:textId="78D02503" w:rsidR="00FA2E3F" w:rsidRDefault="00DB7CFB" w:rsidP="00FA2E3F">
            <w:pPr>
              <w:jc w:val="center"/>
            </w:pPr>
            <w:r>
              <w:t>A</w:t>
            </w:r>
          </w:p>
        </w:tc>
        <w:tc>
          <w:tcPr>
            <w:tcW w:w="1870" w:type="dxa"/>
          </w:tcPr>
          <w:p w14:paraId="6045C1F0" w14:textId="215672DB" w:rsidR="00FA2E3F" w:rsidRDefault="00DB7CFB" w:rsidP="00FA2E3F">
            <w:pPr>
              <w:jc w:val="center"/>
            </w:pPr>
            <w:r>
              <w:t>R</w:t>
            </w:r>
          </w:p>
        </w:tc>
        <w:tc>
          <w:tcPr>
            <w:tcW w:w="1870" w:type="dxa"/>
          </w:tcPr>
          <w:p w14:paraId="6F2DF764" w14:textId="499B5B3A" w:rsidR="00FA2E3F" w:rsidRDefault="00DB7CFB" w:rsidP="00FA2E3F">
            <w:pPr>
              <w:jc w:val="center"/>
            </w:pPr>
            <w:r>
              <w:t>X</w:t>
            </w:r>
          </w:p>
        </w:tc>
      </w:tr>
      <w:tr w:rsidR="00FA2E3F" w14:paraId="36B68F5A" w14:textId="77777777" w:rsidTr="00FA2E3F">
        <w:tc>
          <w:tcPr>
            <w:tcW w:w="1870" w:type="dxa"/>
          </w:tcPr>
          <w:p w14:paraId="1C3A4FC8" w14:textId="1A04669D" w:rsidR="00FA2E3F" w:rsidRDefault="00FA2E3F" w:rsidP="008256F5">
            <w:proofErr w:type="spellStart"/>
            <w:r>
              <w:t>Rqr</w:t>
            </w:r>
            <w:proofErr w:type="spellEnd"/>
          </w:p>
        </w:tc>
        <w:tc>
          <w:tcPr>
            <w:tcW w:w="1870" w:type="dxa"/>
          </w:tcPr>
          <w:p w14:paraId="76C8066D" w14:textId="0E5DD358" w:rsidR="00FA2E3F" w:rsidRDefault="00DB7CFB" w:rsidP="00FA2E3F">
            <w:pPr>
              <w:jc w:val="center"/>
            </w:pPr>
            <w:r>
              <w:t>A</w:t>
            </w:r>
          </w:p>
        </w:tc>
        <w:tc>
          <w:tcPr>
            <w:tcW w:w="1870" w:type="dxa"/>
          </w:tcPr>
          <w:p w14:paraId="72AB70FD" w14:textId="495E9F58" w:rsidR="00FA2E3F" w:rsidRDefault="00DB7CFB" w:rsidP="00FA2E3F">
            <w:pPr>
              <w:jc w:val="center"/>
            </w:pPr>
            <w:r>
              <w:t>A</w:t>
            </w:r>
          </w:p>
        </w:tc>
        <w:tc>
          <w:tcPr>
            <w:tcW w:w="1870" w:type="dxa"/>
          </w:tcPr>
          <w:p w14:paraId="361AA19B" w14:textId="051E830A" w:rsidR="00FA2E3F" w:rsidRDefault="00DB7CFB" w:rsidP="00FA2E3F">
            <w:pPr>
              <w:jc w:val="center"/>
            </w:pPr>
            <w:r>
              <w:t>P</w:t>
            </w:r>
          </w:p>
        </w:tc>
      </w:tr>
      <w:tr w:rsidR="00FA2E3F" w14:paraId="00621141" w14:textId="77777777" w:rsidTr="00FA2E3F">
        <w:tc>
          <w:tcPr>
            <w:tcW w:w="1870" w:type="dxa"/>
          </w:tcPr>
          <w:p w14:paraId="14A63395" w14:textId="4095E491" w:rsidR="00FA2E3F" w:rsidRDefault="00FA2E3F" w:rsidP="008256F5">
            <w:proofErr w:type="spellStart"/>
            <w:r>
              <w:t>XRqr</w:t>
            </w:r>
            <w:proofErr w:type="spellEnd"/>
          </w:p>
        </w:tc>
        <w:tc>
          <w:tcPr>
            <w:tcW w:w="1870" w:type="dxa"/>
          </w:tcPr>
          <w:p w14:paraId="244E3C7A" w14:textId="48497F50" w:rsidR="00FA2E3F" w:rsidRDefault="00DB7CFB" w:rsidP="00FA2E3F">
            <w:pPr>
              <w:jc w:val="center"/>
            </w:pPr>
            <w:r>
              <w:t>A</w:t>
            </w:r>
          </w:p>
        </w:tc>
        <w:tc>
          <w:tcPr>
            <w:tcW w:w="1870" w:type="dxa"/>
          </w:tcPr>
          <w:p w14:paraId="6872E7DD" w14:textId="4E13C4CA" w:rsidR="00FA2E3F" w:rsidRDefault="00DB7CFB" w:rsidP="00FA2E3F">
            <w:pPr>
              <w:jc w:val="center"/>
            </w:pPr>
            <w:r>
              <w:t>A</w:t>
            </w:r>
          </w:p>
        </w:tc>
        <w:tc>
          <w:tcPr>
            <w:tcW w:w="1870" w:type="dxa"/>
          </w:tcPr>
          <w:p w14:paraId="1B35F76F" w14:textId="4C08E802" w:rsidR="00FA2E3F" w:rsidRDefault="00DB7CFB" w:rsidP="00FA2E3F">
            <w:pPr>
              <w:jc w:val="center"/>
            </w:pPr>
            <w:r>
              <w:t>??</w:t>
            </w:r>
          </w:p>
        </w:tc>
      </w:tr>
      <w:tr w:rsidR="00FA2E3F" w14:paraId="5549C3FE" w14:textId="77777777" w:rsidTr="00FA2E3F">
        <w:tc>
          <w:tcPr>
            <w:tcW w:w="1870" w:type="dxa"/>
          </w:tcPr>
          <w:p w14:paraId="4D3C995E" w14:textId="297FB80A" w:rsidR="00FA2E3F" w:rsidRDefault="00FA2E3F" w:rsidP="008256F5">
            <w:r>
              <w:t>PS</w:t>
            </w:r>
          </w:p>
        </w:tc>
        <w:tc>
          <w:tcPr>
            <w:tcW w:w="1870" w:type="dxa"/>
          </w:tcPr>
          <w:p w14:paraId="7DF8A734" w14:textId="46A60511" w:rsidR="00FA2E3F" w:rsidRDefault="00DB7CFB" w:rsidP="00FA2E3F">
            <w:pPr>
              <w:jc w:val="center"/>
            </w:pPr>
            <w:r>
              <w:t>A</w:t>
            </w:r>
          </w:p>
        </w:tc>
        <w:tc>
          <w:tcPr>
            <w:tcW w:w="1870" w:type="dxa"/>
          </w:tcPr>
          <w:p w14:paraId="47337472" w14:textId="677160B5" w:rsidR="00FA2E3F" w:rsidRDefault="00DB7CFB" w:rsidP="00FA2E3F">
            <w:pPr>
              <w:jc w:val="center"/>
            </w:pPr>
            <w:r>
              <w:t>A</w:t>
            </w:r>
          </w:p>
        </w:tc>
        <w:tc>
          <w:tcPr>
            <w:tcW w:w="1870" w:type="dxa"/>
          </w:tcPr>
          <w:p w14:paraId="1C070B50" w14:textId="0CB9747D" w:rsidR="00FA2E3F" w:rsidRDefault="00DB7CFB" w:rsidP="00FA2E3F">
            <w:pPr>
              <w:jc w:val="center"/>
            </w:pPr>
            <w:r>
              <w:t>A</w:t>
            </w:r>
          </w:p>
        </w:tc>
      </w:tr>
      <w:tr w:rsidR="00FA2E3F" w14:paraId="38BEA0C8" w14:textId="77777777" w:rsidTr="00FA2E3F">
        <w:tc>
          <w:tcPr>
            <w:tcW w:w="1870" w:type="dxa"/>
          </w:tcPr>
          <w:p w14:paraId="09F0CF81" w14:textId="257A7B50" w:rsidR="00FA2E3F" w:rsidRDefault="00FA2E3F" w:rsidP="008256F5">
            <w:r>
              <w:t>PS+CA</w:t>
            </w:r>
          </w:p>
        </w:tc>
        <w:tc>
          <w:tcPr>
            <w:tcW w:w="1870" w:type="dxa"/>
          </w:tcPr>
          <w:p w14:paraId="3CE100A7" w14:textId="6A1D3151" w:rsidR="00FA2E3F" w:rsidRDefault="00DB7CFB" w:rsidP="00FA2E3F">
            <w:pPr>
              <w:jc w:val="center"/>
            </w:pPr>
            <w:r>
              <w:t>A</w:t>
            </w:r>
          </w:p>
        </w:tc>
        <w:tc>
          <w:tcPr>
            <w:tcW w:w="1870" w:type="dxa"/>
          </w:tcPr>
          <w:p w14:paraId="1EE2D02D" w14:textId="0397EC1B" w:rsidR="00FA2E3F" w:rsidRDefault="00DB7CFB" w:rsidP="00FA2E3F">
            <w:pPr>
              <w:jc w:val="center"/>
            </w:pPr>
            <w:r>
              <w:t>A</w:t>
            </w:r>
          </w:p>
        </w:tc>
        <w:tc>
          <w:tcPr>
            <w:tcW w:w="1870" w:type="dxa"/>
          </w:tcPr>
          <w:p w14:paraId="7E590917" w14:textId="41B69822" w:rsidR="00FA2E3F" w:rsidRDefault="00DB7CFB" w:rsidP="00FA2E3F">
            <w:pPr>
              <w:jc w:val="center"/>
            </w:pPr>
            <w:r>
              <w:t>A</w:t>
            </w:r>
          </w:p>
        </w:tc>
      </w:tr>
    </w:tbl>
    <w:p w14:paraId="51A99BDA" w14:textId="77777777" w:rsidR="008256F5" w:rsidRDefault="008256F5" w:rsidP="008256F5"/>
    <w:p w14:paraId="125077C6" w14:textId="77777777" w:rsidR="008256F5" w:rsidRDefault="008256F5" w:rsidP="008256F5"/>
    <w:p w14:paraId="59916C30" w14:textId="77777777" w:rsidR="008256F5" w:rsidRDefault="008256F5" w:rsidP="008256F5"/>
    <w:p w14:paraId="6C2F3CD9" w14:textId="77777777" w:rsidR="007C3A60" w:rsidRDefault="007C3A60" w:rsidP="007C3A60"/>
    <w:sectPr w:rsidR="007C3A60" w:rsidSect="00871165">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DF38B" w14:textId="77777777" w:rsidR="00585030" w:rsidRDefault="00585030" w:rsidP="00DB7CFB">
      <w:r>
        <w:separator/>
      </w:r>
    </w:p>
  </w:endnote>
  <w:endnote w:type="continuationSeparator" w:id="0">
    <w:p w14:paraId="5A78FA5E" w14:textId="77777777" w:rsidR="00585030" w:rsidRDefault="00585030" w:rsidP="00DB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2538242"/>
      <w:docPartObj>
        <w:docPartGallery w:val="Page Numbers (Bottom of Page)"/>
        <w:docPartUnique/>
      </w:docPartObj>
    </w:sdtPr>
    <w:sdtContent>
      <w:p w14:paraId="198077C5" w14:textId="63AAC624" w:rsidR="00DB7CFB" w:rsidRDefault="00DB7CFB" w:rsidP="007530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DF16F4" w14:textId="77777777" w:rsidR="00DB7CFB" w:rsidRDefault="00DB7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7717739"/>
      <w:docPartObj>
        <w:docPartGallery w:val="Page Numbers (Bottom of Page)"/>
        <w:docPartUnique/>
      </w:docPartObj>
    </w:sdtPr>
    <w:sdtContent>
      <w:p w14:paraId="5955582D" w14:textId="6A61DC65" w:rsidR="00DB7CFB" w:rsidRDefault="00DB7CFB" w:rsidP="007530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FD9BF8" w14:textId="77777777" w:rsidR="00DB7CFB" w:rsidRDefault="00DB7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88885" w14:textId="77777777" w:rsidR="00585030" w:rsidRDefault="00585030" w:rsidP="00DB7CFB">
      <w:r>
        <w:separator/>
      </w:r>
    </w:p>
  </w:footnote>
  <w:footnote w:type="continuationSeparator" w:id="0">
    <w:p w14:paraId="21D084CA" w14:textId="77777777" w:rsidR="00585030" w:rsidRDefault="00585030" w:rsidP="00DB7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AA"/>
    <w:rsid w:val="000341C8"/>
    <w:rsid w:val="003D65AA"/>
    <w:rsid w:val="00585030"/>
    <w:rsid w:val="00705FF1"/>
    <w:rsid w:val="007C3A60"/>
    <w:rsid w:val="008149CF"/>
    <w:rsid w:val="008256F5"/>
    <w:rsid w:val="00871165"/>
    <w:rsid w:val="00BB2FF5"/>
    <w:rsid w:val="00C83E1D"/>
    <w:rsid w:val="00DB7CFB"/>
    <w:rsid w:val="00FA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9F7871"/>
  <w15:chartTrackingRefBased/>
  <w15:docId w15:val="{6E1D9C3A-4517-ED4C-8B66-E3274EA1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CF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7CFB"/>
    <w:pPr>
      <w:tabs>
        <w:tab w:val="center" w:pos="4680"/>
        <w:tab w:val="right" w:pos="9360"/>
      </w:tabs>
    </w:pPr>
  </w:style>
  <w:style w:type="character" w:customStyle="1" w:styleId="FooterChar">
    <w:name w:val="Footer Char"/>
    <w:basedOn w:val="DefaultParagraphFont"/>
    <w:link w:val="Footer"/>
    <w:uiPriority w:val="99"/>
    <w:rsid w:val="00DB7CFB"/>
  </w:style>
  <w:style w:type="character" w:styleId="PageNumber">
    <w:name w:val="page number"/>
    <w:basedOn w:val="DefaultParagraphFont"/>
    <w:uiPriority w:val="99"/>
    <w:semiHidden/>
    <w:unhideWhenUsed/>
    <w:rsid w:val="00DB7CFB"/>
  </w:style>
  <w:style w:type="character" w:customStyle="1" w:styleId="Heading1Char">
    <w:name w:val="Heading 1 Char"/>
    <w:basedOn w:val="DefaultParagraphFont"/>
    <w:link w:val="Heading1"/>
    <w:uiPriority w:val="9"/>
    <w:rsid w:val="00DB7C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Crocker</dc:creator>
  <cp:keywords/>
  <dc:description/>
  <cp:lastModifiedBy>Steve Crocker</cp:lastModifiedBy>
  <cp:revision>1</cp:revision>
  <dcterms:created xsi:type="dcterms:W3CDTF">2023-04-26T18:02:00Z</dcterms:created>
  <dcterms:modified xsi:type="dcterms:W3CDTF">2023-04-26T18:52:00Z</dcterms:modified>
</cp:coreProperties>
</file>