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5830" w14:textId="4896BDEB" w:rsidR="00C83E1D" w:rsidRDefault="00A726B3">
      <w:r>
        <w:t>Public Safety Working Group (</w:t>
      </w:r>
      <w:r w:rsidR="00406A8A">
        <w:t>PSWG</w:t>
      </w:r>
      <w:r>
        <w:t>)</w:t>
      </w:r>
      <w:r w:rsidR="00406A8A">
        <w:t xml:space="preserve"> Requests</w:t>
      </w:r>
    </w:p>
    <w:p w14:paraId="120AFF69" w14:textId="5A1AD00A" w:rsidR="000D5455" w:rsidRDefault="000D5455">
      <w:r>
        <w:t>Steve Crocker, 1 May 2023</w:t>
      </w:r>
    </w:p>
    <w:p w14:paraId="3878CD1A" w14:textId="77777777" w:rsidR="00406A8A" w:rsidRDefault="00406A8A"/>
    <w:p w14:paraId="2C79C790" w14:textId="2B2E2513" w:rsidR="00406A8A" w:rsidRDefault="000D5455">
      <w:r>
        <w:t>Some time ago w</w:t>
      </w:r>
      <w:r w:rsidR="00406A8A">
        <w:t>e interviewed three PSWG members</w:t>
      </w:r>
      <w:r w:rsidR="00A726B3">
        <w:rPr>
          <w:rStyle w:val="FootnoteReference"/>
        </w:rPr>
        <w:footnoteReference w:id="1"/>
      </w:r>
      <w:r w:rsidR="00406A8A">
        <w:t xml:space="preserve"> regarding the kinds of registration data requests they would like to make.  The distinguishing dimensions of the types of the requests were the following.</w:t>
      </w:r>
    </w:p>
    <w:p w14:paraId="6013EF8B" w14:textId="77777777" w:rsidR="00406A8A" w:rsidRDefault="00406A8A"/>
    <w:p w14:paraId="64540427" w14:textId="54884A26" w:rsidR="007E326D" w:rsidRDefault="00406A8A" w:rsidP="00406A8A">
      <w:pPr>
        <w:pStyle w:val="ListParagraph"/>
        <w:numPr>
          <w:ilvl w:val="0"/>
          <w:numId w:val="1"/>
        </w:numPr>
      </w:pPr>
      <w:r>
        <w:t>Range of data elements expected in the response</w:t>
      </w:r>
      <w:r w:rsidR="00A726B3">
        <w:br/>
      </w:r>
      <w:r w:rsidR="00A726B3">
        <w:br/>
        <w:t>The set of possible data elements includes contact data, registration details, payment history, DNS records, etc.  This is a much wider range of data than is usually considered in discussions of registration data.  Data about the payment history, IP address at time of registration, account holder data is usually considered extremely sensitive and is usually available only to public safety officials when conducting an urgent (“exigent circumstances”) or court approved search.</w:t>
      </w:r>
      <w:r w:rsidR="00603904">
        <w:t xml:space="preserve">  In our model there are around one hundred distinct data elements.  Contact information for each of the possible contacts (account holder, registrant, admin, tech, billing) are each broken into about a dozen distinct data elements.  This permits granular control of access to for different purposes.  For example, some requesters might be permitted to see just the country portion of a contact’s data.</w:t>
      </w:r>
      <w:r w:rsidR="007E326D">
        <w:br/>
      </w:r>
    </w:p>
    <w:p w14:paraId="6E4F1165" w14:textId="72A9A6E3" w:rsidR="00406A8A" w:rsidRDefault="007E326D" w:rsidP="00406A8A">
      <w:pPr>
        <w:pStyle w:val="ListParagraph"/>
        <w:numPr>
          <w:ilvl w:val="0"/>
          <w:numId w:val="1"/>
        </w:numPr>
      </w:pPr>
      <w:r>
        <w:t>Whether searches are permitted</w:t>
      </w:r>
      <w:r w:rsidR="00603904">
        <w:br/>
      </w:r>
      <w:r w:rsidR="00603904">
        <w:br/>
        <w:t>Some requests are permitted to include searching for registrations that share a name or email address.  Other requests are not permitted to include searching.</w:t>
      </w:r>
      <w:r w:rsidR="00406A8A">
        <w:br/>
      </w:r>
    </w:p>
    <w:p w14:paraId="66A33474" w14:textId="6EF5A491" w:rsidR="00406A8A" w:rsidRDefault="00406A8A" w:rsidP="00406A8A">
      <w:pPr>
        <w:pStyle w:val="ListParagraph"/>
        <w:numPr>
          <w:ilvl w:val="0"/>
          <w:numId w:val="1"/>
        </w:numPr>
      </w:pPr>
      <w:r>
        <w:t>Level of sensitivity of the data elements</w:t>
      </w:r>
      <w:r w:rsidR="00603904">
        <w:br/>
      </w:r>
      <w:r w:rsidR="00603904">
        <w:br/>
        <w:t>We assume each data element is assigned one of four sensitivity levels, S0 through S3, during the registration process.  The lowest level, S0, indicates the data element is publicly available.  S1 corresponds to the usual notion of “private” which is interpreted as meaning the data is not available publicly but is available to qualified and authenticated requesters with approved purposes.  S2 specifies a higher level of privacy requiring an additional level of approval.  S3 is the highest level of privacy.  Maximum authority, usually a court order or a declaration of exigent circumstances</w:t>
      </w:r>
      <w:r w:rsidR="00F37AEF">
        <w:t>,</w:t>
      </w:r>
      <w:r w:rsidR="00603904">
        <w:t xml:space="preserve"> is required for access.</w:t>
      </w:r>
      <w:r>
        <w:br/>
      </w:r>
    </w:p>
    <w:p w14:paraId="54BBE6D0" w14:textId="47B53107" w:rsidR="00406A8A" w:rsidRDefault="00406A8A" w:rsidP="00406A8A">
      <w:pPr>
        <w:pStyle w:val="ListParagraph"/>
        <w:numPr>
          <w:ilvl w:val="0"/>
          <w:numId w:val="1"/>
        </w:numPr>
      </w:pPr>
      <w:r>
        <w:t>Immediacy of the response</w:t>
      </w:r>
      <w:r w:rsidR="00F37AEF">
        <w:br/>
      </w:r>
      <w:r w:rsidR="00F37AEF">
        <w:br/>
        <w:t xml:space="preserve">The speed of the response is often of great importance to the requester.  If the request is processed automatically, the response will usually be returned within seconds.  If the </w:t>
      </w:r>
      <w:r w:rsidR="00F37AEF">
        <w:lastRenderedPageBreak/>
        <w:t>request requires manual review and/or manual processing, the response will usually take some number of days.</w:t>
      </w:r>
      <w:r w:rsidR="00603904">
        <w:br/>
      </w:r>
      <w:r w:rsidR="00603904">
        <w:br/>
      </w:r>
      <w:r>
        <w:br/>
      </w:r>
    </w:p>
    <w:p w14:paraId="5F87DDCE" w14:textId="0A2CA8E5" w:rsidR="00406A8A" w:rsidRDefault="000D5455" w:rsidP="000D5455">
      <w:pPr>
        <w:pStyle w:val="ListParagraph"/>
        <w:numPr>
          <w:ilvl w:val="0"/>
          <w:numId w:val="1"/>
        </w:numPr>
      </w:pPr>
      <w:r>
        <w:t>Visibility of the log.</w:t>
      </w:r>
      <w:r>
        <w:br/>
      </w:r>
      <w:r>
        <w:br/>
        <w:t>To ensure integrity and auditability of the request and response process, all transactions are logged.  Transactions that need to be kept hidden are logged into a separate, protected audit system.  Requests that require this protection have logging that is marked “protected.”</w:t>
      </w:r>
    </w:p>
    <w:p w14:paraId="2AEBD2FC" w14:textId="77777777" w:rsidR="00406A8A" w:rsidRDefault="00406A8A"/>
    <w:p w14:paraId="67570791" w14:textId="16B98690" w:rsidR="00406A8A" w:rsidRDefault="00406A8A">
      <w:r>
        <w:t>The results were remarkably crisp.  The group specified five distinct types of requests.  For ease of reference, we labeled these KALE-1, KALE-2, KALE-3, KALE-</w:t>
      </w:r>
      <w:proofErr w:type="gramStart"/>
      <w:r>
        <w:t>4</w:t>
      </w:r>
      <w:proofErr w:type="gramEnd"/>
      <w:r>
        <w:t xml:space="preserve"> and KALE-5.</w:t>
      </w:r>
      <w:r w:rsidR="000D5455">
        <w:rPr>
          <w:rStyle w:val="FootnoteReference"/>
        </w:rPr>
        <w:footnoteReference w:id="2"/>
      </w:r>
    </w:p>
    <w:p w14:paraId="0E3D23A7" w14:textId="77777777" w:rsidR="00406A8A" w:rsidRDefault="00406A8A"/>
    <w:p w14:paraId="02ACE26A" w14:textId="54778B18" w:rsidR="00406A8A" w:rsidRDefault="00406A8A" w:rsidP="007E326D">
      <w:pPr>
        <w:ind w:left="1440" w:hanging="1440"/>
      </w:pPr>
      <w:r>
        <w:t>KALE-1</w:t>
      </w:r>
      <w:r>
        <w:tab/>
      </w:r>
      <w:r w:rsidR="007E326D" w:rsidRPr="007E326D">
        <w:t xml:space="preserve">General LEA query; subject is </w:t>
      </w:r>
      <w:proofErr w:type="gramStart"/>
      <w:r w:rsidR="007E326D" w:rsidRPr="007E326D">
        <w:t>suspect</w:t>
      </w:r>
      <w:proofErr w:type="gramEnd"/>
    </w:p>
    <w:p w14:paraId="492DF9F5" w14:textId="727A4B12" w:rsidR="007E326D" w:rsidRDefault="007E326D" w:rsidP="007E326D">
      <w:pPr>
        <w:ind w:left="1440" w:hanging="1440"/>
      </w:pPr>
      <w:r>
        <w:t>Range</w:t>
      </w:r>
      <w:r>
        <w:tab/>
        <w:t>Full contact data but no “forensic data”</w:t>
      </w:r>
    </w:p>
    <w:p w14:paraId="651732E9" w14:textId="501DB65C" w:rsidR="007E326D" w:rsidRDefault="007E326D" w:rsidP="007E326D">
      <w:pPr>
        <w:ind w:left="1440" w:hanging="1440"/>
      </w:pPr>
      <w:r>
        <w:t>Search</w:t>
      </w:r>
      <w:r>
        <w:tab/>
        <w:t>Permitted</w:t>
      </w:r>
    </w:p>
    <w:p w14:paraId="09AAAD60" w14:textId="529794AE" w:rsidR="007E326D" w:rsidRDefault="007E326D" w:rsidP="007E326D">
      <w:pPr>
        <w:ind w:left="1440" w:hanging="1440"/>
      </w:pPr>
      <w:r>
        <w:t>Sensitivity</w:t>
      </w:r>
      <w:r>
        <w:tab/>
        <w:t xml:space="preserve">Very private data </w:t>
      </w:r>
      <w:proofErr w:type="gramStart"/>
      <w:r>
        <w:t>included</w:t>
      </w:r>
      <w:proofErr w:type="gramEnd"/>
    </w:p>
    <w:p w14:paraId="6BED39CC" w14:textId="7C981F41" w:rsidR="007E326D" w:rsidRDefault="007E326D" w:rsidP="007E326D">
      <w:pPr>
        <w:ind w:left="1440" w:hanging="1440"/>
      </w:pPr>
      <w:r>
        <w:t>Immediacy</w:t>
      </w:r>
      <w:r>
        <w:tab/>
        <w:t>Automated processing (seconds)</w:t>
      </w:r>
    </w:p>
    <w:p w14:paraId="6D44F44B" w14:textId="77777777" w:rsidR="007E326D" w:rsidRDefault="007E326D" w:rsidP="007E326D">
      <w:pPr>
        <w:ind w:left="1440" w:hanging="1440"/>
      </w:pPr>
      <w:r>
        <w:t>Logging</w:t>
      </w:r>
      <w:r>
        <w:tab/>
        <w:t xml:space="preserve">Log is </w:t>
      </w:r>
      <w:proofErr w:type="gramStart"/>
      <w:r>
        <w:t>protected</w:t>
      </w:r>
      <w:proofErr w:type="gramEnd"/>
    </w:p>
    <w:p w14:paraId="17CA0CEA" w14:textId="134114DC" w:rsidR="007E326D" w:rsidRDefault="007E326D" w:rsidP="007E326D">
      <w:pPr>
        <w:ind w:left="1440" w:hanging="1440"/>
      </w:pPr>
      <w:r>
        <w:t>Comment</w:t>
      </w:r>
      <w:r>
        <w:tab/>
        <w:t>Requester is an authenticated law enforcement official conducting an official investigation.  The investigation has not yet reached the stage of using a court order or a declaration of exigent circumstances</w:t>
      </w:r>
      <w:r>
        <w:br/>
      </w:r>
    </w:p>
    <w:p w14:paraId="5529353C" w14:textId="4E5C2AA0" w:rsidR="007E326D" w:rsidRDefault="007E326D" w:rsidP="007E326D">
      <w:pPr>
        <w:ind w:left="1440" w:hanging="1440"/>
      </w:pPr>
      <w:r>
        <w:t>KALE-2</w:t>
      </w:r>
      <w:r>
        <w:tab/>
      </w:r>
      <w:r w:rsidRPr="007E326D">
        <w:t xml:space="preserve">General LEA query; subject is a </w:t>
      </w:r>
      <w:proofErr w:type="gramStart"/>
      <w:r w:rsidRPr="007E326D">
        <w:t>victim</w:t>
      </w:r>
      <w:proofErr w:type="gramEnd"/>
    </w:p>
    <w:p w14:paraId="5AD48253" w14:textId="77777777" w:rsidR="007E326D" w:rsidRDefault="007E326D" w:rsidP="007E326D">
      <w:pPr>
        <w:ind w:left="1440" w:hanging="1440"/>
      </w:pPr>
      <w:r>
        <w:t>Range</w:t>
      </w:r>
      <w:r>
        <w:tab/>
        <w:t>Full contact data but no “forensic data”</w:t>
      </w:r>
    </w:p>
    <w:p w14:paraId="25989F0B" w14:textId="0B539C92" w:rsidR="007E326D" w:rsidRDefault="007E326D" w:rsidP="007E326D">
      <w:pPr>
        <w:ind w:left="1440" w:hanging="1440"/>
      </w:pPr>
      <w:r>
        <w:t>Search</w:t>
      </w:r>
      <w:r>
        <w:tab/>
      </w:r>
      <w:r w:rsidR="00140FFF">
        <w:t xml:space="preserve">Not </w:t>
      </w:r>
      <w:proofErr w:type="gramStart"/>
      <w:r w:rsidR="00140FFF">
        <w:t>permitted</w:t>
      </w:r>
      <w:proofErr w:type="gramEnd"/>
    </w:p>
    <w:p w14:paraId="6B1A2A42" w14:textId="77777777" w:rsidR="007E326D" w:rsidRDefault="007E326D" w:rsidP="007E326D">
      <w:pPr>
        <w:ind w:left="1440" w:hanging="1440"/>
      </w:pPr>
      <w:r>
        <w:t>Sensitivity</w:t>
      </w:r>
      <w:r>
        <w:tab/>
        <w:t xml:space="preserve">Very private data </w:t>
      </w:r>
      <w:proofErr w:type="gramStart"/>
      <w:r>
        <w:t>included</w:t>
      </w:r>
      <w:proofErr w:type="gramEnd"/>
    </w:p>
    <w:p w14:paraId="65D407D5" w14:textId="77777777" w:rsidR="007E326D" w:rsidRDefault="007E326D" w:rsidP="007E326D">
      <w:pPr>
        <w:ind w:left="1440" w:hanging="1440"/>
      </w:pPr>
      <w:r>
        <w:t>Immediacy</w:t>
      </w:r>
      <w:r>
        <w:tab/>
        <w:t>Automated processing (seconds)</w:t>
      </w:r>
    </w:p>
    <w:p w14:paraId="123D58EA" w14:textId="184DB185" w:rsidR="007E326D" w:rsidRDefault="007E326D" w:rsidP="007E326D">
      <w:pPr>
        <w:ind w:left="1440" w:hanging="1440"/>
      </w:pPr>
      <w:r>
        <w:t>Logging</w:t>
      </w:r>
      <w:r>
        <w:tab/>
        <w:t>Log is</w:t>
      </w:r>
      <w:r>
        <w:t xml:space="preserve"> not </w:t>
      </w:r>
      <w:proofErr w:type="gramStart"/>
      <w:r>
        <w:t>protected</w:t>
      </w:r>
      <w:proofErr w:type="gramEnd"/>
    </w:p>
    <w:p w14:paraId="3E83A16C" w14:textId="2B63ECCA" w:rsidR="007E326D" w:rsidRDefault="007E326D" w:rsidP="007E326D">
      <w:pPr>
        <w:ind w:left="1440" w:hanging="1440"/>
      </w:pPr>
      <w:r>
        <w:t>Comment</w:t>
      </w:r>
      <w:r>
        <w:tab/>
      </w:r>
      <w:r>
        <w:t>Similar to KALE-1 except the subject is a victim</w:t>
      </w:r>
      <w:r w:rsidR="00140FFF">
        <w:t>.  Search is not permitted, and</w:t>
      </w:r>
      <w:r>
        <w:t xml:space="preserve"> there is no need to keep the fact of the request hidden from view</w:t>
      </w:r>
      <w:r>
        <w:br/>
      </w:r>
    </w:p>
    <w:p w14:paraId="0D5D79D2" w14:textId="0DA6CAE4" w:rsidR="007E326D" w:rsidRDefault="007E326D" w:rsidP="007E326D">
      <w:pPr>
        <w:ind w:left="1440" w:hanging="1440"/>
      </w:pPr>
      <w:r>
        <w:t>KALE-3</w:t>
      </w:r>
      <w:r>
        <w:tab/>
      </w:r>
      <w:r w:rsidRPr="007E326D">
        <w:t>Exigent query</w:t>
      </w:r>
    </w:p>
    <w:p w14:paraId="587E3CFB" w14:textId="2F636A53" w:rsidR="007E326D" w:rsidRDefault="007E326D" w:rsidP="007E326D">
      <w:pPr>
        <w:ind w:left="1440" w:hanging="1440"/>
      </w:pPr>
      <w:r>
        <w:t>Range</w:t>
      </w:r>
      <w:r w:rsidR="00140FFF">
        <w:tab/>
        <w:t>All possible data, including “forensic” data (IP address at time of registration, payment details, etc.)</w:t>
      </w:r>
    </w:p>
    <w:p w14:paraId="7DF640EC" w14:textId="77777777" w:rsidR="007E326D" w:rsidRDefault="007E326D" w:rsidP="007E326D">
      <w:pPr>
        <w:ind w:left="1440" w:hanging="1440"/>
      </w:pPr>
      <w:r>
        <w:t>Search</w:t>
      </w:r>
      <w:r>
        <w:tab/>
        <w:t>Permitted</w:t>
      </w:r>
    </w:p>
    <w:p w14:paraId="6B259278" w14:textId="5E3AE96B" w:rsidR="007E326D" w:rsidRDefault="007E326D" w:rsidP="007E326D">
      <w:pPr>
        <w:ind w:left="1440" w:hanging="1440"/>
      </w:pPr>
      <w:r>
        <w:t>Sensitivity</w:t>
      </w:r>
      <w:r>
        <w:tab/>
      </w:r>
      <w:r w:rsidR="00140FFF">
        <w:t>Maximum sensitivity</w:t>
      </w:r>
    </w:p>
    <w:p w14:paraId="1B7105CC" w14:textId="77777777" w:rsidR="007E326D" w:rsidRDefault="007E326D" w:rsidP="007E326D">
      <w:pPr>
        <w:ind w:left="1440" w:hanging="1440"/>
      </w:pPr>
      <w:r>
        <w:t>Immediacy</w:t>
      </w:r>
      <w:r>
        <w:tab/>
        <w:t>Automated processing (seconds)</w:t>
      </w:r>
    </w:p>
    <w:p w14:paraId="59F834DB" w14:textId="77777777" w:rsidR="007E326D" w:rsidRDefault="007E326D" w:rsidP="007E326D">
      <w:pPr>
        <w:ind w:left="1440" w:hanging="1440"/>
      </w:pPr>
      <w:r>
        <w:t>Logging</w:t>
      </w:r>
      <w:r>
        <w:tab/>
        <w:t xml:space="preserve">Log is </w:t>
      </w:r>
      <w:proofErr w:type="gramStart"/>
      <w:r>
        <w:t>protected</w:t>
      </w:r>
      <w:proofErr w:type="gramEnd"/>
    </w:p>
    <w:p w14:paraId="7BD94021" w14:textId="4C99C24C" w:rsidR="007E326D" w:rsidRDefault="007E326D" w:rsidP="007E326D">
      <w:pPr>
        <w:ind w:left="1440" w:hanging="1440"/>
      </w:pPr>
      <w:r>
        <w:lastRenderedPageBreak/>
        <w:t>Comment</w:t>
      </w:r>
      <w:r>
        <w:tab/>
        <w:t>Requester is an authenticated law enforcement official conducting an official investigation</w:t>
      </w:r>
      <w:r w:rsidR="00140FFF">
        <w:t xml:space="preserve"> who has declared exigent circumstances exist.  Access is equivalent to having a court order.</w:t>
      </w:r>
      <w:r w:rsidR="00140FFF">
        <w:br/>
      </w:r>
    </w:p>
    <w:p w14:paraId="71F093D4" w14:textId="2219E964" w:rsidR="00140FFF" w:rsidRDefault="00140FFF" w:rsidP="007E326D">
      <w:pPr>
        <w:ind w:left="1440" w:hanging="1440"/>
      </w:pPr>
      <w:r>
        <w:t>KALE-4</w:t>
      </w:r>
      <w:r>
        <w:tab/>
      </w:r>
      <w:r w:rsidRPr="00140FFF">
        <w:t>Legal process</w:t>
      </w:r>
    </w:p>
    <w:p w14:paraId="4EC0E1EE" w14:textId="77777777" w:rsidR="00140FFF" w:rsidRDefault="00140FFF" w:rsidP="00140FFF">
      <w:pPr>
        <w:ind w:left="1440" w:hanging="1440"/>
      </w:pPr>
      <w:r>
        <w:t>Range</w:t>
      </w:r>
      <w:r>
        <w:tab/>
        <w:t>All possible data, including “forensic” data (IP address at time of registration, payment details, etc.)</w:t>
      </w:r>
    </w:p>
    <w:p w14:paraId="58A852D5" w14:textId="5DAFC8D6" w:rsidR="00140FFF" w:rsidRDefault="00140FFF" w:rsidP="00140FFF">
      <w:pPr>
        <w:ind w:left="1440" w:hanging="1440"/>
      </w:pPr>
      <w:r>
        <w:t>Search</w:t>
      </w:r>
      <w:r>
        <w:tab/>
      </w:r>
      <w:r>
        <w:t xml:space="preserve">Not </w:t>
      </w:r>
      <w:proofErr w:type="gramStart"/>
      <w:r>
        <w:t>p</w:t>
      </w:r>
      <w:r>
        <w:t>ermitted</w:t>
      </w:r>
      <w:proofErr w:type="gramEnd"/>
    </w:p>
    <w:p w14:paraId="4C7E9A62" w14:textId="77777777" w:rsidR="00140FFF" w:rsidRDefault="00140FFF" w:rsidP="00140FFF">
      <w:pPr>
        <w:ind w:left="1440" w:hanging="1440"/>
      </w:pPr>
      <w:r>
        <w:t>Sensitivity</w:t>
      </w:r>
      <w:r>
        <w:tab/>
        <w:t>Maximum sensitivity</w:t>
      </w:r>
    </w:p>
    <w:p w14:paraId="2FF575BF" w14:textId="0212AE9B" w:rsidR="00140FFF" w:rsidRDefault="00140FFF" w:rsidP="00140FFF">
      <w:pPr>
        <w:ind w:left="1440" w:hanging="1440"/>
      </w:pPr>
      <w:r>
        <w:t>Immediacy</w:t>
      </w:r>
      <w:r>
        <w:tab/>
      </w:r>
      <w:r>
        <w:t>Days (Manual review and processing is acceptable)</w:t>
      </w:r>
    </w:p>
    <w:p w14:paraId="76B2F98C" w14:textId="36029EBA" w:rsidR="00140FFF" w:rsidRDefault="00140FFF" w:rsidP="00140FFF">
      <w:pPr>
        <w:ind w:left="1440" w:hanging="1440"/>
      </w:pPr>
      <w:r>
        <w:t>Logging</w:t>
      </w:r>
      <w:r>
        <w:tab/>
        <w:t xml:space="preserve">Log is </w:t>
      </w:r>
      <w:r>
        <w:t xml:space="preserve">not </w:t>
      </w:r>
      <w:proofErr w:type="gramStart"/>
      <w:r>
        <w:t>protected</w:t>
      </w:r>
      <w:proofErr w:type="gramEnd"/>
    </w:p>
    <w:p w14:paraId="14B06935" w14:textId="5D7B4163" w:rsidR="00140FFF" w:rsidRDefault="00140FFF" w:rsidP="00140FFF">
      <w:pPr>
        <w:ind w:left="1440" w:hanging="1440"/>
      </w:pPr>
      <w:r>
        <w:t>Comment</w:t>
      </w:r>
      <w:r>
        <w:tab/>
        <w:t xml:space="preserve">Requester is an authenticated law enforcement official conducting an official investigation </w:t>
      </w:r>
      <w:r>
        <w:t>with</w:t>
      </w:r>
      <w:r>
        <w:t xml:space="preserve"> a court order</w:t>
      </w:r>
      <w:r>
        <w:t xml:space="preserve">, </w:t>
      </w:r>
      <w:proofErr w:type="gramStart"/>
      <w:r>
        <w:t>i.e.</w:t>
      </w:r>
      <w:proofErr w:type="gramEnd"/>
      <w:r>
        <w:t xml:space="preserve"> warrant or subpoena.</w:t>
      </w:r>
      <w:r w:rsidR="00E9202C">
        <w:br/>
      </w:r>
    </w:p>
    <w:p w14:paraId="75FCB53A" w14:textId="5594119B" w:rsidR="00E9202C" w:rsidRDefault="00E9202C" w:rsidP="00140FFF">
      <w:pPr>
        <w:ind w:left="1440" w:hanging="1440"/>
      </w:pPr>
      <w:r>
        <w:t>KALE-5</w:t>
      </w:r>
      <w:r>
        <w:tab/>
      </w:r>
      <w:r w:rsidRPr="00E9202C">
        <w:t>Anonymous General Public Query</w:t>
      </w:r>
    </w:p>
    <w:p w14:paraId="1826A838" w14:textId="279E6CA5" w:rsidR="00E9202C" w:rsidRDefault="00E9202C" w:rsidP="00E9202C">
      <w:pPr>
        <w:ind w:left="1440" w:hanging="1440"/>
      </w:pPr>
      <w:r>
        <w:t>Range</w:t>
      </w:r>
      <w:r>
        <w:tab/>
      </w:r>
      <w:r>
        <w:t>Publicly available data</w:t>
      </w:r>
    </w:p>
    <w:p w14:paraId="1E101C86" w14:textId="77777777" w:rsidR="00E9202C" w:rsidRDefault="00E9202C" w:rsidP="00E9202C">
      <w:pPr>
        <w:ind w:left="1440" w:hanging="1440"/>
      </w:pPr>
      <w:r>
        <w:t>Search</w:t>
      </w:r>
      <w:r>
        <w:tab/>
        <w:t xml:space="preserve">Not </w:t>
      </w:r>
      <w:proofErr w:type="gramStart"/>
      <w:r>
        <w:t>permitted</w:t>
      </w:r>
      <w:proofErr w:type="gramEnd"/>
    </w:p>
    <w:p w14:paraId="6B2312A6" w14:textId="237096A2" w:rsidR="00E9202C" w:rsidRDefault="00E9202C" w:rsidP="00E9202C">
      <w:pPr>
        <w:ind w:left="1440" w:hanging="1440"/>
      </w:pPr>
      <w:r>
        <w:t>Sensitivity</w:t>
      </w:r>
      <w:r>
        <w:tab/>
      </w:r>
      <w:r>
        <w:t>S0</w:t>
      </w:r>
    </w:p>
    <w:p w14:paraId="3B8F5F91" w14:textId="4404FAC2" w:rsidR="00E9202C" w:rsidRDefault="00E9202C" w:rsidP="00E9202C">
      <w:pPr>
        <w:ind w:left="1440" w:hanging="1440"/>
      </w:pPr>
      <w:r>
        <w:t>Immediacy</w:t>
      </w:r>
      <w:r>
        <w:tab/>
      </w:r>
      <w:r>
        <w:t>Automated processing (seconds)</w:t>
      </w:r>
    </w:p>
    <w:p w14:paraId="065221DC" w14:textId="77777777" w:rsidR="00E9202C" w:rsidRDefault="00E9202C" w:rsidP="00E9202C">
      <w:pPr>
        <w:ind w:left="1440" w:hanging="1440"/>
      </w:pPr>
      <w:r>
        <w:t>Logging</w:t>
      </w:r>
      <w:r>
        <w:tab/>
        <w:t xml:space="preserve">Log is not </w:t>
      </w:r>
      <w:proofErr w:type="gramStart"/>
      <w:r>
        <w:t>protected</w:t>
      </w:r>
      <w:proofErr w:type="gramEnd"/>
    </w:p>
    <w:p w14:paraId="17E9A2C8" w14:textId="74E033E9" w:rsidR="00E9202C" w:rsidRDefault="00E9202C" w:rsidP="00E9202C">
      <w:pPr>
        <w:ind w:left="1440" w:hanging="1440"/>
      </w:pPr>
      <w:r>
        <w:t>Comment</w:t>
      </w:r>
      <w:r>
        <w:tab/>
      </w:r>
      <w:r>
        <w:t>Requester does not need identification or authentication.  This request is not specific to public safety.  It is included here for completeness.</w:t>
      </w:r>
      <w:r>
        <w:br/>
      </w:r>
    </w:p>
    <w:p w14:paraId="70E18E8D" w14:textId="77777777" w:rsidR="00E9202C" w:rsidRDefault="00E9202C" w:rsidP="00140FFF">
      <w:pPr>
        <w:ind w:left="1440" w:hanging="1440"/>
      </w:pPr>
    </w:p>
    <w:p w14:paraId="0814A1C9" w14:textId="77777777" w:rsidR="00140FFF" w:rsidRDefault="00140FFF" w:rsidP="00140FFF">
      <w:pPr>
        <w:ind w:left="1440" w:hanging="1440"/>
      </w:pPr>
    </w:p>
    <w:p w14:paraId="08F4B546" w14:textId="77777777" w:rsidR="00140FFF" w:rsidRDefault="00140FFF" w:rsidP="00140FFF">
      <w:pPr>
        <w:ind w:left="1440" w:hanging="1440"/>
      </w:pPr>
    </w:p>
    <w:p w14:paraId="230305FC" w14:textId="77777777" w:rsidR="00140FFF" w:rsidRDefault="00140FFF" w:rsidP="00140FFF">
      <w:pPr>
        <w:ind w:left="1440" w:hanging="1440"/>
      </w:pPr>
    </w:p>
    <w:p w14:paraId="726F628C" w14:textId="781D6EA7" w:rsidR="00140FFF" w:rsidRDefault="00140FFF" w:rsidP="00140FFF">
      <w:pPr>
        <w:ind w:left="1440" w:hanging="1440"/>
      </w:pPr>
      <w:r>
        <w:t>Comparison matrix</w:t>
      </w:r>
    </w:p>
    <w:p w14:paraId="34A1B1E3" w14:textId="77777777" w:rsidR="00140FFF" w:rsidRDefault="00140FFF" w:rsidP="00140FFF">
      <w:pPr>
        <w:ind w:left="1440" w:hanging="1440"/>
      </w:pPr>
    </w:p>
    <w:tbl>
      <w:tblPr>
        <w:tblStyle w:val="TableGrid"/>
        <w:tblW w:w="0" w:type="auto"/>
        <w:tblInd w:w="85" w:type="dxa"/>
        <w:tblLayout w:type="fixed"/>
        <w:tblLook w:val="04A0" w:firstRow="1" w:lastRow="0" w:firstColumn="1" w:lastColumn="0" w:noHBand="0" w:noVBand="1"/>
      </w:tblPr>
      <w:tblGrid>
        <w:gridCol w:w="900"/>
        <w:gridCol w:w="1710"/>
        <w:gridCol w:w="2430"/>
        <w:gridCol w:w="874"/>
        <w:gridCol w:w="1221"/>
        <w:gridCol w:w="1082"/>
        <w:gridCol w:w="1048"/>
      </w:tblGrid>
      <w:tr w:rsidR="00140FFF" w14:paraId="18B0889D" w14:textId="77777777" w:rsidTr="000D5455">
        <w:tc>
          <w:tcPr>
            <w:tcW w:w="900" w:type="dxa"/>
          </w:tcPr>
          <w:p w14:paraId="429B4BCD" w14:textId="1A28287A" w:rsidR="00140FFF" w:rsidRDefault="00140FFF" w:rsidP="00140FFF">
            <w:r>
              <w:t>Type</w:t>
            </w:r>
          </w:p>
        </w:tc>
        <w:tc>
          <w:tcPr>
            <w:tcW w:w="1710" w:type="dxa"/>
          </w:tcPr>
          <w:p w14:paraId="5AB7D415" w14:textId="27C973FE" w:rsidR="00140FFF" w:rsidRDefault="00140FFF" w:rsidP="00140FFF">
            <w:r>
              <w:t>Description</w:t>
            </w:r>
          </w:p>
        </w:tc>
        <w:tc>
          <w:tcPr>
            <w:tcW w:w="2430" w:type="dxa"/>
          </w:tcPr>
          <w:p w14:paraId="595016F3" w14:textId="13F26143" w:rsidR="00140FFF" w:rsidRDefault="00E9202C" w:rsidP="00140FFF">
            <w:r>
              <w:t>Range</w:t>
            </w:r>
          </w:p>
        </w:tc>
        <w:tc>
          <w:tcPr>
            <w:tcW w:w="874" w:type="dxa"/>
          </w:tcPr>
          <w:p w14:paraId="708D42A3" w14:textId="6A06F057" w:rsidR="00140FFF" w:rsidRDefault="00E9202C" w:rsidP="00E9202C">
            <w:pPr>
              <w:jc w:val="center"/>
            </w:pPr>
            <w:r>
              <w:t>Search</w:t>
            </w:r>
          </w:p>
        </w:tc>
        <w:tc>
          <w:tcPr>
            <w:tcW w:w="1221" w:type="dxa"/>
          </w:tcPr>
          <w:p w14:paraId="764269A9" w14:textId="3B2DEF53" w:rsidR="00140FFF" w:rsidRDefault="00E9202C" w:rsidP="00E9202C">
            <w:pPr>
              <w:jc w:val="center"/>
            </w:pPr>
            <w:r>
              <w:t>Sensitivity</w:t>
            </w:r>
          </w:p>
        </w:tc>
        <w:tc>
          <w:tcPr>
            <w:tcW w:w="1082" w:type="dxa"/>
          </w:tcPr>
          <w:p w14:paraId="6CDC81BC" w14:textId="031812BB" w:rsidR="00140FFF" w:rsidRDefault="00E9202C" w:rsidP="00E9202C">
            <w:pPr>
              <w:jc w:val="center"/>
            </w:pPr>
            <w:r>
              <w:t>Speed</w:t>
            </w:r>
          </w:p>
        </w:tc>
        <w:tc>
          <w:tcPr>
            <w:tcW w:w="1048" w:type="dxa"/>
          </w:tcPr>
          <w:p w14:paraId="626A078D" w14:textId="0AFF43DA" w:rsidR="00140FFF" w:rsidRDefault="00E9202C" w:rsidP="00E9202C">
            <w:pPr>
              <w:jc w:val="center"/>
            </w:pPr>
            <w:r>
              <w:t>Visibility</w:t>
            </w:r>
          </w:p>
        </w:tc>
      </w:tr>
      <w:tr w:rsidR="00140FFF" w14:paraId="2E13199D" w14:textId="77777777" w:rsidTr="000D5455">
        <w:tc>
          <w:tcPr>
            <w:tcW w:w="900" w:type="dxa"/>
          </w:tcPr>
          <w:p w14:paraId="4775A116" w14:textId="148335F0" w:rsidR="00140FFF" w:rsidRDefault="00140FFF" w:rsidP="00140FFF">
            <w:r>
              <w:t>KALE-1</w:t>
            </w:r>
          </w:p>
        </w:tc>
        <w:tc>
          <w:tcPr>
            <w:tcW w:w="1710" w:type="dxa"/>
          </w:tcPr>
          <w:p w14:paraId="06B1AFB9" w14:textId="0A55FECD" w:rsidR="00140FFF" w:rsidRDefault="00140FFF" w:rsidP="00140FFF">
            <w:r>
              <w:t xml:space="preserve">Suspect </w:t>
            </w:r>
            <w:r w:rsidR="00E9202C">
              <w:t>inquiry</w:t>
            </w:r>
          </w:p>
        </w:tc>
        <w:tc>
          <w:tcPr>
            <w:tcW w:w="2430" w:type="dxa"/>
          </w:tcPr>
          <w:p w14:paraId="69AF00CE" w14:textId="7C5FFDD8" w:rsidR="00140FFF" w:rsidRDefault="000D5455" w:rsidP="00140FFF">
            <w:r>
              <w:t>Full contact data except for account holder;</w:t>
            </w:r>
            <w:r w:rsidR="00E9202C">
              <w:t xml:space="preserve"> no </w:t>
            </w:r>
            <w:r>
              <w:t>“</w:t>
            </w:r>
            <w:r w:rsidR="00E9202C">
              <w:t>forensic</w:t>
            </w:r>
            <w:r>
              <w:t>”</w:t>
            </w:r>
            <w:r w:rsidR="00E9202C">
              <w:t xml:space="preserve"> data</w:t>
            </w:r>
          </w:p>
        </w:tc>
        <w:tc>
          <w:tcPr>
            <w:tcW w:w="874" w:type="dxa"/>
          </w:tcPr>
          <w:p w14:paraId="79BECC4E" w14:textId="2227F1E4" w:rsidR="00140FFF" w:rsidRDefault="00E9202C" w:rsidP="00E9202C">
            <w:pPr>
              <w:jc w:val="center"/>
            </w:pPr>
            <w:r>
              <w:t>Yes</w:t>
            </w:r>
          </w:p>
        </w:tc>
        <w:tc>
          <w:tcPr>
            <w:tcW w:w="1221" w:type="dxa"/>
          </w:tcPr>
          <w:p w14:paraId="27B0B4A3" w14:textId="0F6A6958" w:rsidR="00140FFF" w:rsidRDefault="00E9202C" w:rsidP="00E9202C">
            <w:pPr>
              <w:jc w:val="center"/>
            </w:pPr>
            <w:r>
              <w:t>S2</w:t>
            </w:r>
          </w:p>
        </w:tc>
        <w:tc>
          <w:tcPr>
            <w:tcW w:w="1082" w:type="dxa"/>
          </w:tcPr>
          <w:p w14:paraId="410EA50F" w14:textId="2B863C92" w:rsidR="00140FFF" w:rsidRDefault="00E9202C" w:rsidP="00E9202C">
            <w:pPr>
              <w:jc w:val="center"/>
            </w:pPr>
            <w:r>
              <w:t>Seconds</w:t>
            </w:r>
          </w:p>
        </w:tc>
        <w:tc>
          <w:tcPr>
            <w:tcW w:w="1048" w:type="dxa"/>
          </w:tcPr>
          <w:p w14:paraId="69DF141A" w14:textId="248D0BCA" w:rsidR="00140FFF" w:rsidRDefault="00E9202C" w:rsidP="00E9202C">
            <w:pPr>
              <w:jc w:val="center"/>
            </w:pPr>
            <w:r>
              <w:t>No</w:t>
            </w:r>
          </w:p>
        </w:tc>
      </w:tr>
      <w:tr w:rsidR="00E9202C" w14:paraId="4C032933" w14:textId="77777777" w:rsidTr="000D5455">
        <w:tc>
          <w:tcPr>
            <w:tcW w:w="900" w:type="dxa"/>
          </w:tcPr>
          <w:p w14:paraId="2DCA72A7" w14:textId="14FE9B74" w:rsidR="00E9202C" w:rsidRDefault="00E9202C" w:rsidP="00E9202C">
            <w:r>
              <w:t>KALE-2</w:t>
            </w:r>
          </w:p>
        </w:tc>
        <w:tc>
          <w:tcPr>
            <w:tcW w:w="1710" w:type="dxa"/>
          </w:tcPr>
          <w:p w14:paraId="4A9D499C" w14:textId="07736DFF" w:rsidR="00E9202C" w:rsidRDefault="00E9202C" w:rsidP="00E9202C">
            <w:r>
              <w:t>Victim inquiry</w:t>
            </w:r>
          </w:p>
        </w:tc>
        <w:tc>
          <w:tcPr>
            <w:tcW w:w="2430" w:type="dxa"/>
          </w:tcPr>
          <w:p w14:paraId="0F1DB074" w14:textId="60F8E8F3" w:rsidR="00E9202C" w:rsidRDefault="000D5455" w:rsidP="00E9202C">
            <w:r>
              <w:t>Full contact data except for account holder; no “forensic” data</w:t>
            </w:r>
          </w:p>
        </w:tc>
        <w:tc>
          <w:tcPr>
            <w:tcW w:w="874" w:type="dxa"/>
          </w:tcPr>
          <w:p w14:paraId="01071043" w14:textId="5DDA82CB" w:rsidR="00E9202C" w:rsidRDefault="00E9202C" w:rsidP="00E9202C">
            <w:pPr>
              <w:jc w:val="center"/>
            </w:pPr>
            <w:r>
              <w:t>No</w:t>
            </w:r>
          </w:p>
        </w:tc>
        <w:tc>
          <w:tcPr>
            <w:tcW w:w="1221" w:type="dxa"/>
          </w:tcPr>
          <w:p w14:paraId="07077DB6" w14:textId="129F9076" w:rsidR="00E9202C" w:rsidRDefault="00E9202C" w:rsidP="00E9202C">
            <w:pPr>
              <w:jc w:val="center"/>
            </w:pPr>
            <w:r>
              <w:t>S2</w:t>
            </w:r>
          </w:p>
        </w:tc>
        <w:tc>
          <w:tcPr>
            <w:tcW w:w="1082" w:type="dxa"/>
          </w:tcPr>
          <w:p w14:paraId="456E5867" w14:textId="0E75C933" w:rsidR="00E9202C" w:rsidRDefault="00E9202C" w:rsidP="00E9202C">
            <w:pPr>
              <w:jc w:val="center"/>
            </w:pPr>
            <w:r>
              <w:t>Seconds</w:t>
            </w:r>
          </w:p>
        </w:tc>
        <w:tc>
          <w:tcPr>
            <w:tcW w:w="1048" w:type="dxa"/>
          </w:tcPr>
          <w:p w14:paraId="35424FFB" w14:textId="21A9E1F3" w:rsidR="00E9202C" w:rsidRDefault="00E9202C" w:rsidP="00E9202C">
            <w:pPr>
              <w:jc w:val="center"/>
            </w:pPr>
            <w:r>
              <w:t>Yes</w:t>
            </w:r>
          </w:p>
        </w:tc>
      </w:tr>
      <w:tr w:rsidR="00E9202C" w14:paraId="1FDBCC77" w14:textId="77777777" w:rsidTr="000D5455">
        <w:tc>
          <w:tcPr>
            <w:tcW w:w="900" w:type="dxa"/>
          </w:tcPr>
          <w:p w14:paraId="30505B47" w14:textId="1A218673" w:rsidR="00E9202C" w:rsidRDefault="00E9202C" w:rsidP="00E9202C">
            <w:r>
              <w:t>KALE-3</w:t>
            </w:r>
          </w:p>
        </w:tc>
        <w:tc>
          <w:tcPr>
            <w:tcW w:w="1710" w:type="dxa"/>
          </w:tcPr>
          <w:p w14:paraId="15CA6CCA" w14:textId="3F0F6E53" w:rsidR="00E9202C" w:rsidRDefault="00E9202C" w:rsidP="00E9202C">
            <w:pPr>
              <w:ind w:left="1440" w:hanging="1440"/>
            </w:pPr>
            <w:r w:rsidRPr="007E326D">
              <w:t xml:space="preserve">Exigent </w:t>
            </w:r>
            <w:r w:rsidR="000D5455">
              <w:t>in</w:t>
            </w:r>
            <w:r w:rsidRPr="007E326D">
              <w:t>qu</w:t>
            </w:r>
            <w:r w:rsidR="000D5455">
              <w:t>i</w:t>
            </w:r>
            <w:r w:rsidRPr="007E326D">
              <w:t>ry</w:t>
            </w:r>
          </w:p>
        </w:tc>
        <w:tc>
          <w:tcPr>
            <w:tcW w:w="2430" w:type="dxa"/>
          </w:tcPr>
          <w:p w14:paraId="11BC4B7D" w14:textId="26DB7929" w:rsidR="00E9202C" w:rsidRDefault="00E9202C" w:rsidP="00E9202C">
            <w:r>
              <w:t>All</w:t>
            </w:r>
          </w:p>
        </w:tc>
        <w:tc>
          <w:tcPr>
            <w:tcW w:w="874" w:type="dxa"/>
          </w:tcPr>
          <w:p w14:paraId="7FA8C689" w14:textId="191B4DA6" w:rsidR="00E9202C" w:rsidRDefault="00E9202C" w:rsidP="00E9202C">
            <w:pPr>
              <w:jc w:val="center"/>
            </w:pPr>
            <w:r>
              <w:t>Yes</w:t>
            </w:r>
          </w:p>
        </w:tc>
        <w:tc>
          <w:tcPr>
            <w:tcW w:w="1221" w:type="dxa"/>
          </w:tcPr>
          <w:p w14:paraId="08D56498" w14:textId="600502A2" w:rsidR="00E9202C" w:rsidRDefault="00E9202C" w:rsidP="00E9202C">
            <w:pPr>
              <w:jc w:val="center"/>
            </w:pPr>
            <w:r>
              <w:t>S3</w:t>
            </w:r>
          </w:p>
        </w:tc>
        <w:tc>
          <w:tcPr>
            <w:tcW w:w="1082" w:type="dxa"/>
          </w:tcPr>
          <w:p w14:paraId="7D80C134" w14:textId="1919E569" w:rsidR="00E9202C" w:rsidRDefault="00E9202C" w:rsidP="00E9202C">
            <w:pPr>
              <w:jc w:val="center"/>
            </w:pPr>
            <w:r>
              <w:t>Seconds</w:t>
            </w:r>
          </w:p>
        </w:tc>
        <w:tc>
          <w:tcPr>
            <w:tcW w:w="1048" w:type="dxa"/>
          </w:tcPr>
          <w:p w14:paraId="4F80EB9D" w14:textId="1885C5CA" w:rsidR="00E9202C" w:rsidRDefault="00E9202C" w:rsidP="00E9202C">
            <w:pPr>
              <w:jc w:val="center"/>
            </w:pPr>
            <w:r>
              <w:t>No</w:t>
            </w:r>
          </w:p>
        </w:tc>
      </w:tr>
      <w:tr w:rsidR="00E9202C" w14:paraId="36468E8A" w14:textId="77777777" w:rsidTr="000D5455">
        <w:tc>
          <w:tcPr>
            <w:tcW w:w="900" w:type="dxa"/>
          </w:tcPr>
          <w:p w14:paraId="4E3FB052" w14:textId="2C979719" w:rsidR="00E9202C" w:rsidRDefault="00E9202C" w:rsidP="00E9202C">
            <w:r>
              <w:t>KALE-4</w:t>
            </w:r>
          </w:p>
        </w:tc>
        <w:tc>
          <w:tcPr>
            <w:tcW w:w="1710" w:type="dxa"/>
          </w:tcPr>
          <w:p w14:paraId="7C5C1160" w14:textId="7CEAEDB5" w:rsidR="00E9202C" w:rsidRDefault="00E9202C" w:rsidP="00E9202C">
            <w:r w:rsidRPr="00140FFF">
              <w:t>Legal process</w:t>
            </w:r>
          </w:p>
        </w:tc>
        <w:tc>
          <w:tcPr>
            <w:tcW w:w="2430" w:type="dxa"/>
          </w:tcPr>
          <w:p w14:paraId="73139D09" w14:textId="08DA77CC" w:rsidR="00E9202C" w:rsidRDefault="00E9202C" w:rsidP="00E9202C">
            <w:r>
              <w:t>All</w:t>
            </w:r>
          </w:p>
        </w:tc>
        <w:tc>
          <w:tcPr>
            <w:tcW w:w="874" w:type="dxa"/>
          </w:tcPr>
          <w:p w14:paraId="527C6A90" w14:textId="6BC6B44F" w:rsidR="00E9202C" w:rsidRDefault="00E9202C" w:rsidP="00E9202C">
            <w:pPr>
              <w:jc w:val="center"/>
            </w:pPr>
            <w:r>
              <w:t>No</w:t>
            </w:r>
          </w:p>
        </w:tc>
        <w:tc>
          <w:tcPr>
            <w:tcW w:w="1221" w:type="dxa"/>
          </w:tcPr>
          <w:p w14:paraId="0A10FFBD" w14:textId="3F7931E8" w:rsidR="00E9202C" w:rsidRDefault="00E9202C" w:rsidP="00E9202C">
            <w:pPr>
              <w:jc w:val="center"/>
            </w:pPr>
            <w:r>
              <w:t>S3</w:t>
            </w:r>
          </w:p>
        </w:tc>
        <w:tc>
          <w:tcPr>
            <w:tcW w:w="1082" w:type="dxa"/>
          </w:tcPr>
          <w:p w14:paraId="492FBEF1" w14:textId="1929244C" w:rsidR="00E9202C" w:rsidRDefault="00E9202C" w:rsidP="00E9202C">
            <w:pPr>
              <w:jc w:val="center"/>
            </w:pPr>
            <w:r>
              <w:t>Days</w:t>
            </w:r>
          </w:p>
        </w:tc>
        <w:tc>
          <w:tcPr>
            <w:tcW w:w="1048" w:type="dxa"/>
          </w:tcPr>
          <w:p w14:paraId="47BCEFC1" w14:textId="7B71F2C4" w:rsidR="00E9202C" w:rsidRDefault="00E9202C" w:rsidP="00E9202C">
            <w:pPr>
              <w:jc w:val="center"/>
            </w:pPr>
            <w:r>
              <w:t>Yes</w:t>
            </w:r>
          </w:p>
        </w:tc>
      </w:tr>
      <w:tr w:rsidR="00E9202C" w14:paraId="1FE20FFB" w14:textId="77777777" w:rsidTr="000D5455">
        <w:tc>
          <w:tcPr>
            <w:tcW w:w="900" w:type="dxa"/>
          </w:tcPr>
          <w:p w14:paraId="4BD70C4A" w14:textId="003C875D" w:rsidR="00E9202C" w:rsidRDefault="00E9202C" w:rsidP="00E9202C">
            <w:r>
              <w:t>KALE-5</w:t>
            </w:r>
          </w:p>
        </w:tc>
        <w:tc>
          <w:tcPr>
            <w:tcW w:w="1710" w:type="dxa"/>
          </w:tcPr>
          <w:p w14:paraId="13FF49A7" w14:textId="706B5570" w:rsidR="00E9202C" w:rsidRDefault="00E9202C" w:rsidP="00E9202C">
            <w:r>
              <w:t>Public inquiry</w:t>
            </w:r>
          </w:p>
        </w:tc>
        <w:tc>
          <w:tcPr>
            <w:tcW w:w="2430" w:type="dxa"/>
          </w:tcPr>
          <w:p w14:paraId="43B94C2E" w14:textId="6D3A5892" w:rsidR="00E9202C" w:rsidRDefault="00E9202C" w:rsidP="00E9202C">
            <w:r>
              <w:t>Public data only</w:t>
            </w:r>
          </w:p>
        </w:tc>
        <w:tc>
          <w:tcPr>
            <w:tcW w:w="874" w:type="dxa"/>
          </w:tcPr>
          <w:p w14:paraId="36AC699D" w14:textId="1EDB54B5" w:rsidR="00E9202C" w:rsidRDefault="00E9202C" w:rsidP="00E9202C">
            <w:pPr>
              <w:jc w:val="center"/>
            </w:pPr>
            <w:r>
              <w:t>No</w:t>
            </w:r>
          </w:p>
        </w:tc>
        <w:tc>
          <w:tcPr>
            <w:tcW w:w="1221" w:type="dxa"/>
          </w:tcPr>
          <w:p w14:paraId="0F5C6AE7" w14:textId="38935C04" w:rsidR="00E9202C" w:rsidRDefault="00E9202C" w:rsidP="00E9202C">
            <w:pPr>
              <w:jc w:val="center"/>
            </w:pPr>
            <w:r>
              <w:t>S0</w:t>
            </w:r>
          </w:p>
        </w:tc>
        <w:tc>
          <w:tcPr>
            <w:tcW w:w="1082" w:type="dxa"/>
          </w:tcPr>
          <w:p w14:paraId="677DE29A" w14:textId="1849ADDC" w:rsidR="00E9202C" w:rsidRDefault="00E9202C" w:rsidP="00E9202C">
            <w:pPr>
              <w:jc w:val="center"/>
            </w:pPr>
            <w:r>
              <w:t>Seconds</w:t>
            </w:r>
          </w:p>
        </w:tc>
        <w:tc>
          <w:tcPr>
            <w:tcW w:w="1048" w:type="dxa"/>
          </w:tcPr>
          <w:p w14:paraId="636B211C" w14:textId="3948821F" w:rsidR="00E9202C" w:rsidRDefault="00E9202C" w:rsidP="00E9202C">
            <w:pPr>
              <w:jc w:val="center"/>
            </w:pPr>
            <w:r>
              <w:t>Yes</w:t>
            </w:r>
          </w:p>
        </w:tc>
      </w:tr>
    </w:tbl>
    <w:p w14:paraId="2DDA2D5E" w14:textId="77777777" w:rsidR="00140FFF" w:rsidRDefault="00140FFF" w:rsidP="00140FFF">
      <w:pPr>
        <w:ind w:left="1440" w:hanging="1440"/>
      </w:pPr>
    </w:p>
    <w:sectPr w:rsidR="00140FFF" w:rsidSect="000D545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D608" w14:textId="77777777" w:rsidR="00ED6624" w:rsidRDefault="00ED6624" w:rsidP="00A726B3">
      <w:r>
        <w:separator/>
      </w:r>
    </w:p>
  </w:endnote>
  <w:endnote w:type="continuationSeparator" w:id="0">
    <w:p w14:paraId="006CC6B9" w14:textId="77777777" w:rsidR="00ED6624" w:rsidRDefault="00ED6624" w:rsidP="00A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187727"/>
      <w:docPartObj>
        <w:docPartGallery w:val="Page Numbers (Bottom of Page)"/>
        <w:docPartUnique/>
      </w:docPartObj>
    </w:sdtPr>
    <w:sdtContent>
      <w:p w14:paraId="305D1E80" w14:textId="514C0FFC" w:rsidR="000D5455" w:rsidRDefault="000D5455" w:rsidP="007530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F99D4" w14:textId="77777777" w:rsidR="000D5455" w:rsidRDefault="000D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8752340"/>
      <w:docPartObj>
        <w:docPartGallery w:val="Page Numbers (Bottom of Page)"/>
        <w:docPartUnique/>
      </w:docPartObj>
    </w:sdtPr>
    <w:sdtContent>
      <w:p w14:paraId="612F5411" w14:textId="50F68BC9" w:rsidR="000D5455" w:rsidRDefault="000D5455" w:rsidP="007530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C1DC5B" w14:textId="77777777" w:rsidR="000D5455" w:rsidRDefault="000D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9CAC" w14:textId="77777777" w:rsidR="00ED6624" w:rsidRDefault="00ED6624" w:rsidP="00A726B3">
      <w:r>
        <w:separator/>
      </w:r>
    </w:p>
  </w:footnote>
  <w:footnote w:type="continuationSeparator" w:id="0">
    <w:p w14:paraId="719E995E" w14:textId="77777777" w:rsidR="00ED6624" w:rsidRDefault="00ED6624" w:rsidP="00A726B3">
      <w:r>
        <w:continuationSeparator/>
      </w:r>
    </w:p>
  </w:footnote>
  <w:footnote w:id="1">
    <w:p w14:paraId="0BF08B7F" w14:textId="0CF2EB52" w:rsidR="00A726B3" w:rsidRDefault="00A726B3">
      <w:pPr>
        <w:pStyle w:val="FootnoteText"/>
      </w:pPr>
      <w:r>
        <w:rPr>
          <w:rStyle w:val="FootnoteReference"/>
        </w:rPr>
        <w:footnoteRef/>
      </w:r>
      <w:r>
        <w:t xml:space="preserve"> The PSWG members participating in the interview were Laureen </w:t>
      </w:r>
      <w:proofErr w:type="spellStart"/>
      <w:r>
        <w:t>Kapin</w:t>
      </w:r>
      <w:proofErr w:type="spellEnd"/>
      <w:r>
        <w:t xml:space="preserve"> (PSWG chair), Gabe Andrews, and Chris Lewis-Evans.</w:t>
      </w:r>
    </w:p>
  </w:footnote>
  <w:footnote w:id="2">
    <w:p w14:paraId="666C103C" w14:textId="693DC4EA" w:rsidR="000D5455" w:rsidRDefault="000D5455">
      <w:pPr>
        <w:pStyle w:val="FootnoteText"/>
      </w:pPr>
      <w:r>
        <w:rPr>
          <w:rStyle w:val="FootnoteReference"/>
        </w:rPr>
        <w:footnoteRef/>
      </w:r>
      <w:r>
        <w:t xml:space="preserve"> In case it isn’t obvious, “KALE” is formed from the initials of the PSWG 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934AE"/>
    <w:multiLevelType w:val="hybridMultilevel"/>
    <w:tmpl w:val="7ABA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43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8A"/>
    <w:rsid w:val="000341C8"/>
    <w:rsid w:val="000D5455"/>
    <w:rsid w:val="00140FFF"/>
    <w:rsid w:val="00406A8A"/>
    <w:rsid w:val="00440609"/>
    <w:rsid w:val="00603904"/>
    <w:rsid w:val="00705FF1"/>
    <w:rsid w:val="007E326D"/>
    <w:rsid w:val="008149CF"/>
    <w:rsid w:val="00871165"/>
    <w:rsid w:val="00A726B3"/>
    <w:rsid w:val="00BB2FF5"/>
    <w:rsid w:val="00C83E1D"/>
    <w:rsid w:val="00E9202C"/>
    <w:rsid w:val="00ED6624"/>
    <w:rsid w:val="00F3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29547C"/>
  <w15:chartTrackingRefBased/>
  <w15:docId w15:val="{A556E987-DA22-B144-B64D-BFFC7562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A8A"/>
    <w:pPr>
      <w:ind w:left="720"/>
      <w:contextualSpacing/>
    </w:pPr>
  </w:style>
  <w:style w:type="table" w:styleId="TableGrid">
    <w:name w:val="Table Grid"/>
    <w:basedOn w:val="TableNormal"/>
    <w:uiPriority w:val="39"/>
    <w:rsid w:val="0014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26B3"/>
    <w:rPr>
      <w:sz w:val="20"/>
      <w:szCs w:val="20"/>
    </w:rPr>
  </w:style>
  <w:style w:type="character" w:customStyle="1" w:styleId="FootnoteTextChar">
    <w:name w:val="Footnote Text Char"/>
    <w:basedOn w:val="DefaultParagraphFont"/>
    <w:link w:val="FootnoteText"/>
    <w:uiPriority w:val="99"/>
    <w:semiHidden/>
    <w:rsid w:val="00A726B3"/>
    <w:rPr>
      <w:rFonts w:eastAsiaTheme="minorEastAsia"/>
      <w:sz w:val="20"/>
      <w:szCs w:val="20"/>
    </w:rPr>
  </w:style>
  <w:style w:type="character" w:styleId="FootnoteReference">
    <w:name w:val="footnote reference"/>
    <w:basedOn w:val="DefaultParagraphFont"/>
    <w:uiPriority w:val="99"/>
    <w:semiHidden/>
    <w:unhideWhenUsed/>
    <w:rsid w:val="00A726B3"/>
    <w:rPr>
      <w:vertAlign w:val="superscript"/>
    </w:rPr>
  </w:style>
  <w:style w:type="paragraph" w:styleId="Footer">
    <w:name w:val="footer"/>
    <w:basedOn w:val="Normal"/>
    <w:link w:val="FooterChar"/>
    <w:uiPriority w:val="99"/>
    <w:unhideWhenUsed/>
    <w:rsid w:val="000D5455"/>
    <w:pPr>
      <w:tabs>
        <w:tab w:val="center" w:pos="4680"/>
        <w:tab w:val="right" w:pos="9360"/>
      </w:tabs>
    </w:pPr>
  </w:style>
  <w:style w:type="character" w:customStyle="1" w:styleId="FooterChar">
    <w:name w:val="Footer Char"/>
    <w:basedOn w:val="DefaultParagraphFont"/>
    <w:link w:val="Footer"/>
    <w:uiPriority w:val="99"/>
    <w:rsid w:val="000D5455"/>
    <w:rPr>
      <w:rFonts w:eastAsiaTheme="minorEastAsia"/>
    </w:rPr>
  </w:style>
  <w:style w:type="character" w:styleId="PageNumber">
    <w:name w:val="page number"/>
    <w:basedOn w:val="DefaultParagraphFont"/>
    <w:uiPriority w:val="99"/>
    <w:semiHidden/>
    <w:unhideWhenUsed/>
    <w:rsid w:val="000D5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1</cp:revision>
  <dcterms:created xsi:type="dcterms:W3CDTF">2023-05-01T13:47:00Z</dcterms:created>
  <dcterms:modified xsi:type="dcterms:W3CDTF">2023-05-01T16:27:00Z</dcterms:modified>
</cp:coreProperties>
</file>