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s11k5bkpnbn3" w:id="0"/>
      <w:bookmarkEnd w:id="0"/>
      <w:r w:rsidDel="00000000" w:rsidR="00000000" w:rsidRPr="00000000">
        <w:rPr>
          <w:rtl w:val="0"/>
        </w:rPr>
        <w:t xml:space="preserve">SSAD Light</w:t>
      </w:r>
      <w:r w:rsidDel="00000000" w:rsidR="00000000" w:rsidRPr="00000000">
        <w:rPr>
          <w:rtl w:val="0"/>
        </w:rPr>
        <w:t xml:space="preserve"> Design Concept</w:t>
      </w:r>
      <w:r w:rsidDel="00000000" w:rsidR="00000000" w:rsidRPr="00000000">
        <w:rPr>
          <w:rtl w:val="0"/>
        </w:rPr>
      </w:r>
    </w:p>
    <w:p w:rsidR="00000000" w:rsidDel="00000000" w:rsidP="00000000" w:rsidRDefault="00000000" w:rsidRPr="00000000" w14:paraId="00000002">
      <w:pPr>
        <w:pStyle w:val="Heading4"/>
        <w:rPr>
          <w:color w:val="4a86e8"/>
        </w:rPr>
      </w:pPr>
      <w:bookmarkStart w:colFirst="0" w:colLast="0" w:name="_cqat65b8ibdt" w:id="1"/>
      <w:bookmarkEnd w:id="1"/>
      <w:r w:rsidDel="00000000" w:rsidR="00000000" w:rsidRPr="00000000">
        <w:rPr>
          <w:color w:val="4a86e8"/>
          <w:rtl w:val="0"/>
        </w:rPr>
        <w:t xml:space="preserve">Objective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Deliver to the GNSO Council Small Team a draft design concept paper that outlines a system that will:</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Simplify the process of submitting and receiving requests for non-public gTLD registration data for both the requestors and the contracted parties, in order to provide requestors with either the requested data or provide guidance to the requestors on their requests.</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Be cost effective. </w:t>
      </w:r>
    </w:p>
    <w:p w:rsidR="00000000" w:rsidDel="00000000" w:rsidP="00000000" w:rsidRDefault="00000000" w:rsidRPr="00000000" w14:paraId="00000006">
      <w:pPr>
        <w:pStyle w:val="Heading4"/>
        <w:rPr>
          <w:b w:val="1"/>
        </w:rPr>
      </w:pPr>
      <w:bookmarkStart w:colFirst="0" w:colLast="0" w:name="_sw3r3fgc3rvc" w:id="2"/>
      <w:bookmarkEnd w:id="2"/>
      <w:r w:rsidDel="00000000" w:rsidR="00000000" w:rsidRPr="00000000">
        <w:rPr>
          <w:color w:val="4a86e8"/>
          <w:rtl w:val="0"/>
        </w:rPr>
        <w:t xml:space="preserve">Assumptions</w:t>
      </w: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The design concept will: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Not take all the </w:t>
      </w:r>
      <w:hyperlink r:id="rId6">
        <w:r w:rsidDel="00000000" w:rsidR="00000000" w:rsidRPr="00000000">
          <w:rPr>
            <w:color w:val="1155cc"/>
            <w:u w:val="single"/>
            <w:rtl w:val="0"/>
          </w:rPr>
          <w:t xml:space="preserve">EPDP Phase 2 policy recommendations</w:t>
        </w:r>
      </w:hyperlink>
      <w:r w:rsidDel="00000000" w:rsidR="00000000" w:rsidRPr="00000000">
        <w:rPr>
          <w:rtl w:val="0"/>
        </w:rPr>
        <w:t xml:space="preserve"> into </w:t>
      </w:r>
      <w:r w:rsidDel="00000000" w:rsidR="00000000" w:rsidRPr="00000000">
        <w:rPr>
          <w:rtl w:val="0"/>
        </w:rPr>
        <w:t xml:space="preserve">account</w:t>
      </w:r>
      <w:r w:rsidDel="00000000" w:rsidR="00000000" w:rsidRPr="00000000">
        <w:rPr>
          <w:rtl w:val="0"/>
        </w:rPr>
        <w:t xml:space="preserve"> and will propose changes in the design approach to allow for a more effective model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Be based on the design described in the SSAD ODA with the aim to maximize</w:t>
      </w:r>
      <w:r w:rsidDel="00000000" w:rsidR="00000000" w:rsidRPr="00000000">
        <w:rPr>
          <w:rtl w:val="0"/>
        </w:rPr>
        <w:t xml:space="preserve"> the number of aforementioned </w:t>
      </w:r>
      <w:r w:rsidDel="00000000" w:rsidR="00000000" w:rsidRPr="00000000">
        <w:rPr>
          <w:rtl w:val="0"/>
        </w:rPr>
        <w:t xml:space="preserve">policy recommendations</w:t>
      </w:r>
      <w:r w:rsidDel="00000000" w:rsidR="00000000" w:rsidRPr="00000000">
        <w:rPr>
          <w:rtl w:val="0"/>
        </w:rPr>
        <w:t xml:space="preserve"> that are satisfied by the design</w:t>
      </w:r>
      <w:r w:rsidDel="00000000" w:rsidR="00000000" w:rsidRPr="00000000">
        <w:rPr>
          <w:rtl w:val="0"/>
        </w:rPr>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Aim to minimize development and operational costs of the system</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N</w:t>
      </w:r>
      <w:r w:rsidDel="00000000" w:rsidR="00000000" w:rsidRPr="00000000">
        <w:rPr>
          <w:rtl w:val="0"/>
        </w:rPr>
        <w:t xml:space="preserve">ot include central or governmental accreditation authorities; the system will not include identity verification of requestors</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Not include an abuse investigator</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Not include an obligation or expectation of automated processing of certain requests by contracted parties</w:t>
      </w: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Not include billing since it will be assumed that ICANN will not pass operational costs to requestors</w:t>
      </w: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Collect status of requests (e.g., approved, denied) from contracted parties</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Gather data on response times from </w:t>
      </w:r>
      <w:r w:rsidDel="00000000" w:rsidR="00000000" w:rsidRPr="00000000">
        <w:rPr>
          <w:rtl w:val="0"/>
        </w:rPr>
        <w:t xml:space="preserve">contracted parties</w:t>
      </w:r>
      <w:r w:rsidDel="00000000" w:rsidR="00000000" w:rsidRPr="00000000">
        <w:rPr>
          <w:rtl w:val="0"/>
        </w:rPr>
        <w:t xml:space="preserve"> for requests of different priorities</w:t>
      </w:r>
    </w:p>
    <w:p w:rsidR="00000000" w:rsidDel="00000000" w:rsidP="00000000" w:rsidRDefault="00000000" w:rsidRPr="00000000" w14:paraId="00000011">
      <w:pPr>
        <w:pStyle w:val="Heading4"/>
        <w:rPr>
          <w:b w:val="1"/>
        </w:rPr>
      </w:pPr>
      <w:bookmarkStart w:colFirst="0" w:colLast="0" w:name="_7jqw2r6tnana" w:id="3"/>
      <w:bookmarkEnd w:id="3"/>
      <w:r w:rsidDel="00000000" w:rsidR="00000000" w:rsidRPr="00000000">
        <w:rPr>
          <w:color w:val="4a86e8"/>
          <w:rtl w:val="0"/>
        </w:rPr>
        <w:t xml:space="preserve">Outline</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SSAD ODP team will review the published </w:t>
      </w:r>
      <w:hyperlink r:id="rId7">
        <w:r w:rsidDel="00000000" w:rsidR="00000000" w:rsidRPr="00000000">
          <w:rPr>
            <w:color w:val="1155cc"/>
            <w:u w:val="single"/>
            <w:rtl w:val="0"/>
          </w:rPr>
          <w:t xml:space="preserve">SSAD ODA</w:t>
        </w:r>
      </w:hyperlink>
      <w:r w:rsidDel="00000000" w:rsidR="00000000" w:rsidRPr="00000000">
        <w:rPr>
          <w:rtl w:val="0"/>
        </w:rPr>
        <w:t xml:space="preserve"> to determine which elements can be incorporated into this design document.</w:t>
      </w:r>
      <w:r w:rsidDel="00000000" w:rsidR="00000000" w:rsidRPr="00000000">
        <w:rPr>
          <w:rtl w:val="0"/>
        </w:rPr>
        <w:t xml:space="preserve"> The document will include the following elements: </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Assumptions</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Updated business process design</w:t>
      </w:r>
    </w:p>
    <w:p w:rsidR="00000000" w:rsidDel="00000000" w:rsidP="00000000" w:rsidRDefault="00000000" w:rsidRPr="00000000" w14:paraId="00000016">
      <w:pPr>
        <w:numPr>
          <w:ilvl w:val="1"/>
          <w:numId w:val="3"/>
        </w:numPr>
        <w:ind w:left="1440" w:hanging="360"/>
        <w:rPr>
          <w:u w:val="none"/>
        </w:rPr>
      </w:pPr>
      <w:r w:rsidDel="00000000" w:rsidR="00000000" w:rsidRPr="00000000">
        <w:rPr>
          <w:rtl w:val="0"/>
        </w:rPr>
        <w:t xml:space="preserve">Mockups</w:t>
      </w:r>
      <w:r w:rsidDel="00000000" w:rsidR="00000000" w:rsidRPr="00000000">
        <w:rPr>
          <w:rtl w:val="0"/>
        </w:rPr>
        <w:t xml:space="preserve"> of key transactions</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Timeline for development and implementation</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Cost </w:t>
      </w:r>
      <w:r w:rsidDel="00000000" w:rsidR="00000000" w:rsidRPr="00000000">
        <w:rPr>
          <w:rtl w:val="0"/>
        </w:rPr>
        <w:t xml:space="preserve">estimate</w:t>
      </w:r>
      <w:r w:rsidDel="00000000" w:rsidR="00000000" w:rsidRPr="00000000">
        <w:rPr>
          <w:rtl w:val="0"/>
        </w:rPr>
        <w:t xml:space="preserve"> and pricing</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Risks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t xml:space="preserve">The document will be delivered to the GNSO Council Small Team to inform its discussions with the GNSO Council regarding the </w:t>
      </w:r>
      <w:r w:rsidDel="00000000" w:rsidR="00000000" w:rsidRPr="00000000">
        <w:rPr>
          <w:rtl w:val="0"/>
        </w:rPr>
        <w:t xml:space="preserve">SSAD-related</w:t>
      </w:r>
      <w:r w:rsidDel="00000000" w:rsidR="00000000" w:rsidRPr="00000000">
        <w:rPr>
          <w:rtl w:val="0"/>
        </w:rPr>
        <w:t xml:space="preserve"> recommendations, and ultimately for the Council’s discussions with the ICANN Board on next steps regarding the recommendations. </w:t>
      </w:r>
      <w:r w:rsidDel="00000000" w:rsidR="00000000" w:rsidRPr="00000000">
        <w:rPr>
          <w:rtl w:val="0"/>
        </w:rPr>
      </w:r>
    </w:p>
    <w:p w:rsidR="00000000" w:rsidDel="00000000" w:rsidP="00000000" w:rsidRDefault="00000000" w:rsidRPr="00000000" w14:paraId="0000001C">
      <w:pPr>
        <w:pStyle w:val="Heading4"/>
        <w:rPr>
          <w:color w:val="4a86e8"/>
        </w:rPr>
      </w:pPr>
      <w:bookmarkStart w:colFirst="0" w:colLast="0" w:name="_ul6s5i6ttcdx" w:id="4"/>
      <w:bookmarkEnd w:id="4"/>
      <w:r w:rsidDel="00000000" w:rsidR="00000000" w:rsidRPr="00000000">
        <w:rPr>
          <w:color w:val="4a86e8"/>
          <w:rtl w:val="0"/>
        </w:rPr>
        <w:t xml:space="preserve">Timing</w:t>
      </w:r>
    </w:p>
    <w:p w:rsidR="00000000" w:rsidDel="00000000" w:rsidP="00000000" w:rsidRDefault="00000000" w:rsidRPr="00000000" w14:paraId="0000001D">
      <w:pPr>
        <w:ind w:left="0" w:firstLine="0"/>
        <w:rPr/>
      </w:pPr>
      <w:r w:rsidDel="00000000" w:rsidR="00000000" w:rsidRPr="00000000">
        <w:rPr>
          <w:rtl w:val="0"/>
        </w:rPr>
        <w:t xml:space="preserve">Several SSAD ODP team members’ expertise is required to produce this document. The team anticipates the following resource needs: </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t xml:space="preserve">Weeks 1-2: Technical services updates business process design</w:t>
      </w:r>
    </w:p>
    <w:p w:rsidR="00000000" w:rsidDel="00000000" w:rsidP="00000000" w:rsidRDefault="00000000" w:rsidRPr="00000000" w14:paraId="00000020">
      <w:pPr>
        <w:ind w:left="720" w:firstLine="0"/>
        <w:rPr/>
      </w:pPr>
      <w:r w:rsidDel="00000000" w:rsidR="00000000" w:rsidRPr="00000000">
        <w:rPr>
          <w:rtl w:val="0"/>
        </w:rPr>
        <w:t xml:space="preserve">Week 3: E&amp;IT updates system design</w:t>
      </w:r>
    </w:p>
    <w:p w:rsidR="00000000" w:rsidDel="00000000" w:rsidP="00000000" w:rsidRDefault="00000000" w:rsidRPr="00000000" w14:paraId="00000021">
      <w:pPr>
        <w:ind w:left="720" w:firstLine="0"/>
        <w:rPr/>
      </w:pPr>
      <w:r w:rsidDel="00000000" w:rsidR="00000000" w:rsidRPr="00000000">
        <w:rPr>
          <w:rtl w:val="0"/>
        </w:rPr>
        <w:t xml:space="preserve">Week 4: Costing and pricing</w:t>
      </w:r>
    </w:p>
    <w:p w:rsidR="00000000" w:rsidDel="00000000" w:rsidP="00000000" w:rsidRDefault="00000000" w:rsidRPr="00000000" w14:paraId="00000022">
      <w:pPr>
        <w:ind w:left="720" w:firstLine="0"/>
        <w:rPr/>
      </w:pPr>
      <w:r w:rsidDel="00000000" w:rsidR="00000000" w:rsidRPr="00000000">
        <w:rPr>
          <w:rtl w:val="0"/>
        </w:rPr>
        <w:t xml:space="preserve">Week 5: Final reviews</w:t>
      </w:r>
    </w:p>
    <w:p w:rsidR="00000000" w:rsidDel="00000000" w:rsidP="00000000" w:rsidRDefault="00000000" w:rsidRPr="00000000" w14:paraId="00000023">
      <w:pPr>
        <w:ind w:left="720" w:firstLine="0"/>
        <w:rPr/>
      </w:pPr>
      <w:r w:rsidDel="00000000" w:rsidR="00000000" w:rsidRPr="00000000">
        <w:rPr>
          <w:rtl w:val="0"/>
        </w:rPr>
        <w:t xml:space="preserve">Week 6: SteerCo/Executive approval and delivery to small team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Given other org priorities, the SMEs required ask for this work to be prioritized against the following projects, resulting in an approximately 1.5 month delayed timeline for those competing projects/initiatives: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SubPro ODP</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CZDS 3.0</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EBERO program and DEA improvements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In addition, several team members have planned PTO that may impact overall timing.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nso.icann.org/sites/default/files/file/field-file-attach/epdp-phase-2-temp-spec-gtld-registration-data-2-31jul20-en.pdf" TargetMode="External"/><Relationship Id="rId7" Type="http://schemas.openxmlformats.org/officeDocument/2006/relationships/hyperlink" Target="https://www.icann.org/en/system/files/files/ssad-oda-25jan22-en.pdf"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