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4F" w:rsidRPr="00150C32" w:rsidRDefault="008463F3" w:rsidP="008463F3">
      <w:pPr>
        <w:jc w:val="center"/>
        <w:rPr>
          <w:b/>
          <w:sz w:val="28"/>
          <w:szCs w:val="28"/>
        </w:rPr>
      </w:pPr>
      <w:r w:rsidRPr="00150C32">
        <w:rPr>
          <w:b/>
          <w:sz w:val="28"/>
          <w:szCs w:val="28"/>
        </w:rPr>
        <w:t>STAFF SUMMARY OF PRIOR WORK ON IGO DISPUTE RESOLUTION</w:t>
      </w:r>
      <w:r w:rsidR="00150C32" w:rsidRPr="00150C32">
        <w:rPr>
          <w:rStyle w:val="FootnoteReference"/>
          <w:b/>
          <w:sz w:val="28"/>
          <w:szCs w:val="28"/>
        </w:rPr>
        <w:footnoteReference w:id="1"/>
      </w:r>
    </w:p>
    <w:p w:rsidR="008463F3" w:rsidRPr="008463F3" w:rsidRDefault="008463F3" w:rsidP="008463F3">
      <w:pPr>
        <w:jc w:val="center"/>
        <w:rPr>
          <w:b/>
        </w:rPr>
      </w:pPr>
      <w:r w:rsidRPr="00150C32">
        <w:rPr>
          <w:b/>
          <w:sz w:val="28"/>
          <w:szCs w:val="28"/>
        </w:rPr>
        <w:t>Prepared for Sub-Group C – 30 September 2014</w:t>
      </w:r>
    </w:p>
    <w:p w:rsidR="007D7D42" w:rsidRDefault="007D7D42"/>
    <w:p w:rsidR="007D7D42" w:rsidRDefault="007D7D42"/>
    <w:p w:rsidR="007D7D42" w:rsidRDefault="00D85B79">
      <w:pPr>
        <w:rPr>
          <w:b/>
        </w:rPr>
      </w:pPr>
      <w:r>
        <w:rPr>
          <w:b/>
        </w:rPr>
        <w:t xml:space="preserve">I. </w:t>
      </w:r>
      <w:r w:rsidRPr="00D85B79">
        <w:rPr>
          <w:b/>
        </w:rPr>
        <w:t>WHAT DID THE SECOND WIPO INTERNET DOMAIN NAME PROCESS (WIPO-2) RECOMMEND AND ON WHAT BASIS?</w:t>
      </w:r>
    </w:p>
    <w:p w:rsidR="005C035F" w:rsidRDefault="005C035F">
      <w:pPr>
        <w:rPr>
          <w:b/>
        </w:rPr>
      </w:pPr>
    </w:p>
    <w:p w:rsidR="00BD748C" w:rsidRPr="00BD748C" w:rsidRDefault="00C95A8A">
      <w:pPr>
        <w:rPr>
          <w:b/>
          <w:i/>
        </w:rPr>
      </w:pPr>
      <w:r>
        <w:rPr>
          <w:b/>
          <w:i/>
        </w:rPr>
        <w:t xml:space="preserve">(a) </w:t>
      </w:r>
      <w:r w:rsidR="00D85B79">
        <w:rPr>
          <w:b/>
          <w:i/>
        </w:rPr>
        <w:t xml:space="preserve">Basis for </w:t>
      </w:r>
      <w:r w:rsidR="00BD748C" w:rsidRPr="00BD748C">
        <w:rPr>
          <w:b/>
          <w:i/>
        </w:rPr>
        <w:t>Legal Protection:</w:t>
      </w:r>
    </w:p>
    <w:p w:rsidR="00BD748C" w:rsidRDefault="00BD748C"/>
    <w:p w:rsidR="007D7D42" w:rsidRDefault="007D7D42" w:rsidP="007D7D42">
      <w:bookmarkStart w:id="0" w:name="_GoBack"/>
      <w:bookmarkEnd w:id="0"/>
      <w:r>
        <w:t xml:space="preserve">Existing international law (Article 6ter, Paris Convention) provides clear principles prohibiting the use of IGO names and abbreviations </w:t>
      </w:r>
      <w:r w:rsidRPr="00BD748C">
        <w:rPr>
          <w:u w:val="single"/>
        </w:rPr>
        <w:t>as trademarks</w:t>
      </w:r>
      <w:r>
        <w:t xml:space="preserve"> or elements of trademarks. Exception: where use of the IGO name or acronym is </w:t>
      </w:r>
      <w:r w:rsidRPr="00BD748C">
        <w:rPr>
          <w:i/>
        </w:rPr>
        <w:t>“not of such a nature to suggest to the public that a connection exists with the</w:t>
      </w:r>
      <w:r w:rsidR="00BD748C" w:rsidRPr="00BD748C">
        <w:rPr>
          <w:i/>
        </w:rPr>
        <w:t xml:space="preserve"> organization concerned, or is </w:t>
      </w:r>
      <w:r w:rsidRPr="00BD748C">
        <w:rPr>
          <w:i/>
        </w:rPr>
        <w:t>probably not of such a nature as to mislead the public as to the existence of a connection between the user and the organization”</w:t>
      </w:r>
      <w:r>
        <w:t>.</w:t>
      </w:r>
    </w:p>
    <w:p w:rsidR="007D7D42" w:rsidRDefault="007D7D42" w:rsidP="007D7D42"/>
    <w:p w:rsidR="007D7D42" w:rsidRDefault="007D7D42" w:rsidP="007D7D42">
      <w:r>
        <w:t xml:space="preserve">However, this legal basis alone is insufficient to deal with the whole range of </w:t>
      </w:r>
      <w:r w:rsidR="008B16E0">
        <w:t>bad faith registration and use of IGO names and (especially) acronyms as domain names.</w:t>
      </w:r>
    </w:p>
    <w:p w:rsidR="007D7D42" w:rsidRDefault="007D7D42" w:rsidP="007D7D42"/>
    <w:p w:rsidR="007D7D42" w:rsidRDefault="00BD748C" w:rsidP="007D7D42">
      <w:r>
        <w:t>Also, t</w:t>
      </w:r>
      <w:r w:rsidR="007D7D42">
        <w:t>he .</w:t>
      </w:r>
      <w:proofErr w:type="spellStart"/>
      <w:r w:rsidR="007D7D42">
        <w:t>int</w:t>
      </w:r>
      <w:proofErr w:type="spellEnd"/>
      <w:r w:rsidR="007D7D42">
        <w:t xml:space="preserve"> domain does not adequately protect IGO names and acronyms from abuse: criteria is too restrictive, it is not universally adopted by all IGOs and does not prevent registration in other </w:t>
      </w:r>
      <w:proofErr w:type="spellStart"/>
      <w:r w:rsidR="007D7D42">
        <w:t>gTLDs</w:t>
      </w:r>
      <w:proofErr w:type="spellEnd"/>
      <w:r w:rsidR="007D7D42">
        <w:t>.</w:t>
      </w:r>
    </w:p>
    <w:p w:rsidR="007D7D42" w:rsidRDefault="007D7D42" w:rsidP="007D7D42"/>
    <w:p w:rsidR="00BD748C" w:rsidRPr="00BD748C" w:rsidRDefault="00C95A8A" w:rsidP="008B16E0">
      <w:pPr>
        <w:rPr>
          <w:b/>
          <w:i/>
        </w:rPr>
      </w:pPr>
      <w:r>
        <w:rPr>
          <w:b/>
          <w:i/>
        </w:rPr>
        <w:t xml:space="preserve">(b) </w:t>
      </w:r>
      <w:r w:rsidR="00D85B79">
        <w:rPr>
          <w:b/>
          <w:i/>
        </w:rPr>
        <w:t xml:space="preserve">Evidence of </w:t>
      </w:r>
      <w:r w:rsidR="00BD748C" w:rsidRPr="00BD748C">
        <w:rPr>
          <w:b/>
          <w:i/>
        </w:rPr>
        <w:t>Harm:</w:t>
      </w:r>
    </w:p>
    <w:p w:rsidR="00BD748C" w:rsidRDefault="00BD748C" w:rsidP="008B16E0"/>
    <w:p w:rsidR="00BD748C" w:rsidRDefault="007D7D42" w:rsidP="008B16E0">
      <w:r>
        <w:t>“Evidence was provided throughout the Second WIPO Process of a sizeable problem of abuse of the names a</w:t>
      </w:r>
      <w:r w:rsidR="00BD748C">
        <w:t xml:space="preserve">nd acronyms of IGOs in the DNS … </w:t>
      </w:r>
    </w:p>
    <w:p w:rsidR="00BD748C" w:rsidRDefault="00BD748C" w:rsidP="008B16E0"/>
    <w:p w:rsidR="007D7D42" w:rsidRDefault="00BD748C" w:rsidP="008B16E0">
      <w:r>
        <w:t xml:space="preserve">“… </w:t>
      </w:r>
      <w:r w:rsidR="008B16E0">
        <w:t>The registration and use of domain names to create misleading associations with the duly constituted international authorities for public health, labor practices, peace-keeping operations, nuclear test bans, the containment of the proliferation of chemical weapons, trade disciplines, children’s rights, refugees, AIDS and so forth is unacceptable, offensive to numerous public policies established by the international community and conducive to undermining the credibility and reliability of the DNS.</w:t>
      </w:r>
      <w:r>
        <w:t>”</w:t>
      </w:r>
    </w:p>
    <w:p w:rsidR="008B16E0" w:rsidRDefault="008B16E0" w:rsidP="008B16E0"/>
    <w:p w:rsidR="008B16E0" w:rsidRDefault="00BD748C" w:rsidP="008B16E0">
      <w:r>
        <w:t>“</w:t>
      </w:r>
      <w:r w:rsidR="008B16E0">
        <w:t xml:space="preserve">The existing situation with respect to the names and acronyms of IGOs in the DNS is unbalanced. Any person, without any qualification whatsoever, may register the name or acronym of an IGO in an unrestricted </w:t>
      </w:r>
      <w:proofErr w:type="spellStart"/>
      <w:r w:rsidR="008B16E0">
        <w:t>gTLD</w:t>
      </w:r>
      <w:proofErr w:type="spellEnd"/>
      <w:r w:rsidR="008B16E0">
        <w:t xml:space="preserve">. Furthermore, they can do so immediately and at an insignificant cost. In contrast, the potential damage that can be inflicted with the use of such a registration is of a different order. The pursuit of protection against such harm not only is </w:t>
      </w:r>
      <w:proofErr w:type="spellStart"/>
      <w:r w:rsidR="008B16E0">
        <w:t>distractful</w:t>
      </w:r>
      <w:proofErr w:type="spellEnd"/>
      <w:r w:rsidR="008B16E0">
        <w:t xml:space="preserve"> to the central missions of IGOs and wasteful of their limited resources, but also may involve questionably </w:t>
      </w:r>
      <w:r w:rsidR="008B16E0">
        <w:lastRenderedPageBreak/>
        <w:t>unnecessary deviation from the standard principle of immunity of IGOs from jurisdiction.</w:t>
      </w:r>
      <w:r>
        <w:t>”</w:t>
      </w:r>
    </w:p>
    <w:p w:rsidR="008B16E0" w:rsidRDefault="008B16E0" w:rsidP="007D7D42"/>
    <w:p w:rsidR="00BD748C" w:rsidRPr="00BD748C" w:rsidRDefault="00C95A8A">
      <w:pPr>
        <w:rPr>
          <w:b/>
          <w:i/>
        </w:rPr>
      </w:pPr>
      <w:r>
        <w:rPr>
          <w:b/>
          <w:i/>
        </w:rPr>
        <w:t xml:space="preserve">(c) </w:t>
      </w:r>
      <w:r w:rsidR="00BD748C" w:rsidRPr="00BD748C">
        <w:rPr>
          <w:b/>
          <w:i/>
        </w:rPr>
        <w:t>Options &amp; Recommendation:</w:t>
      </w:r>
    </w:p>
    <w:p w:rsidR="00BD748C" w:rsidRDefault="00BD748C"/>
    <w:p w:rsidR="008B16E0" w:rsidRDefault="008B16E0">
      <w:r>
        <w:t>The two options presented to our WG were expressly considered by WIPO:</w:t>
      </w:r>
    </w:p>
    <w:p w:rsidR="008B16E0" w:rsidRDefault="008B16E0"/>
    <w:p w:rsidR="008B16E0" w:rsidRPr="00C95A8A" w:rsidRDefault="00BD748C" w:rsidP="00C95A8A">
      <w:pPr>
        <w:ind w:left="720"/>
        <w:rPr>
          <w:i/>
        </w:rPr>
      </w:pPr>
      <w:r w:rsidRPr="00C95A8A">
        <w:rPr>
          <w:i/>
        </w:rPr>
        <w:t>“</w:t>
      </w:r>
      <w:r w:rsidR="008B16E0" w:rsidRPr="00C95A8A">
        <w:rPr>
          <w:i/>
        </w:rPr>
        <w:t>(</w:t>
      </w:r>
      <w:proofErr w:type="spellStart"/>
      <w:r w:rsidR="008B16E0" w:rsidRPr="00C95A8A">
        <w:rPr>
          <w:i/>
        </w:rPr>
        <w:t>i</w:t>
      </w:r>
      <w:proofErr w:type="spellEnd"/>
      <w:r w:rsidR="008B16E0" w:rsidRPr="00C95A8A">
        <w:rPr>
          <w:i/>
        </w:rPr>
        <w:t xml:space="preserve">) A modification of the existing UDRP, specifically designed for the bad faith misuse of the names or acronyms of IGOs through domain name registrations. This option, however, is </w:t>
      </w:r>
      <w:r w:rsidR="008B16E0" w:rsidRPr="00C95A8A">
        <w:rPr>
          <w:i/>
          <w:u w:val="single"/>
        </w:rPr>
        <w:t>unacceptable</w:t>
      </w:r>
      <w:r w:rsidR="008B16E0" w:rsidRPr="00C95A8A">
        <w:rPr>
          <w:i/>
        </w:rPr>
        <w:t xml:space="preserve"> because (a) insofar as ICANN, acting on the basis of recommendations from the Domain Name Supporting Organization (DNSO) or the DNSO Names Council, might be considered to be responsible for the introduction of modifications to the UDRP, it and its subsidiary bodies do not have any constituency pertinent to international intergovernmental organizations; and (b) the UDRP contains within its design an unacceptable deviation from the established principle of immunity of IGOs from the jurisdiction of national courts.</w:t>
      </w:r>
      <w:r w:rsidRPr="00C95A8A">
        <w:rPr>
          <w:i/>
        </w:rPr>
        <w:t>”</w:t>
      </w:r>
    </w:p>
    <w:p w:rsidR="00BD748C" w:rsidRDefault="00BD748C" w:rsidP="008B16E0"/>
    <w:p w:rsidR="00BD748C" w:rsidRDefault="00BD748C" w:rsidP="008B16E0">
      <w:r>
        <w:t>OR</w:t>
      </w:r>
    </w:p>
    <w:p w:rsidR="008B16E0" w:rsidRDefault="008B16E0" w:rsidP="008B16E0"/>
    <w:p w:rsidR="008B16E0" w:rsidRPr="00C95A8A" w:rsidRDefault="00BD748C" w:rsidP="00C95A8A">
      <w:pPr>
        <w:ind w:left="720"/>
        <w:rPr>
          <w:i/>
        </w:rPr>
      </w:pPr>
      <w:r w:rsidRPr="00C95A8A">
        <w:rPr>
          <w:i/>
        </w:rPr>
        <w:t>“</w:t>
      </w:r>
      <w:r w:rsidR="008B16E0" w:rsidRPr="00C95A8A">
        <w:rPr>
          <w:i/>
        </w:rPr>
        <w:t>(ii) An administrative procedure, similar to the UDRP, but i</w:t>
      </w:r>
      <w:r w:rsidR="008B16E0" w:rsidRPr="00C95A8A">
        <w:rPr>
          <w:i/>
          <w:u w:val="single"/>
        </w:rPr>
        <w:t>ndependently developed and managed within the framework of international administrative tribunals</w:t>
      </w:r>
      <w:r w:rsidR="008B16E0" w:rsidRPr="00C95A8A">
        <w:rPr>
          <w:i/>
        </w:rPr>
        <w:t xml:space="preserve">. Such an administrative procedure could be available to any IGO to file a complaint that a domain name registration is the </w:t>
      </w:r>
      <w:r w:rsidR="008B16E0" w:rsidRPr="00C95A8A">
        <w:rPr>
          <w:i/>
          <w:u w:val="single"/>
        </w:rPr>
        <w:t>same as or misleadingly similar</w:t>
      </w:r>
      <w:r w:rsidR="008B16E0" w:rsidRPr="00C95A8A">
        <w:rPr>
          <w:i/>
        </w:rPr>
        <w:t xml:space="preserve"> to the name or acronym of the IGO concerned, has been registered in bad faith without legal justification, and is </w:t>
      </w:r>
      <w:r w:rsidR="008B16E0" w:rsidRPr="00C95A8A">
        <w:rPr>
          <w:i/>
          <w:u w:val="single"/>
        </w:rPr>
        <w:t>likely to mislead users into believing that there is an association between the holder of the domain name registration and the IGO in question</w:t>
      </w:r>
      <w:r w:rsidR="008B16E0" w:rsidRPr="00C95A8A">
        <w:rPr>
          <w:i/>
        </w:rPr>
        <w:t xml:space="preserve">. Like the UDRP, the remedies that might be awarded by a panel under the special administrative procedure should be limited to cancellation or transfer of the domain name registration and should be implemented through the ICANN system (or </w:t>
      </w:r>
      <w:proofErr w:type="spellStart"/>
      <w:r w:rsidR="008B16E0" w:rsidRPr="00C95A8A">
        <w:rPr>
          <w:i/>
        </w:rPr>
        <w:t>ccTLD</w:t>
      </w:r>
      <w:proofErr w:type="spellEnd"/>
      <w:r w:rsidR="008B16E0" w:rsidRPr="00C95A8A">
        <w:rPr>
          <w:i/>
        </w:rPr>
        <w:t xml:space="preserve"> administrators) within the DNS.</w:t>
      </w:r>
      <w:r w:rsidRPr="00C95A8A">
        <w:rPr>
          <w:i/>
        </w:rPr>
        <w:t>”</w:t>
      </w:r>
    </w:p>
    <w:p w:rsidR="008B16E0" w:rsidRDefault="008B16E0" w:rsidP="008B16E0"/>
    <w:p w:rsidR="008B16E0" w:rsidRDefault="00D85B79" w:rsidP="008B16E0">
      <w:r>
        <w:t>The WIPO Report recommended adopting Option (ii); however, it noted that this “</w:t>
      </w:r>
      <w:r w:rsidR="008B16E0">
        <w:t>would</w:t>
      </w:r>
      <w:r w:rsidR="00771DE5">
        <w:t xml:space="preserve"> </w:t>
      </w:r>
      <w:r w:rsidR="008B16E0">
        <w:t xml:space="preserve">involve, </w:t>
      </w:r>
      <w:r w:rsidR="008B16E0" w:rsidRPr="00D85B79">
        <w:rPr>
          <w:u w:val="single"/>
        </w:rPr>
        <w:t>at least in cases not involving the use of domain names as trademarks, the creation of</w:t>
      </w:r>
      <w:r w:rsidR="00771DE5" w:rsidRPr="00D85B79">
        <w:rPr>
          <w:u w:val="single"/>
        </w:rPr>
        <w:t xml:space="preserve"> </w:t>
      </w:r>
      <w:r w:rsidR="008B16E0" w:rsidRPr="00D85B79">
        <w:rPr>
          <w:u w:val="single"/>
        </w:rPr>
        <w:t>new international law</w:t>
      </w:r>
      <w:r w:rsidR="008B16E0">
        <w:t>. It would represent an extension of the principles in Article 6ter of the</w:t>
      </w:r>
      <w:r w:rsidR="00771DE5">
        <w:t xml:space="preserve"> </w:t>
      </w:r>
      <w:r w:rsidR="008B16E0">
        <w:t>Paris Convention, the Trademark Law Treaty and the TRIPS Agreement. While it is believed</w:t>
      </w:r>
      <w:r w:rsidR="00771DE5">
        <w:t xml:space="preserve"> </w:t>
      </w:r>
      <w:r w:rsidR="008B16E0">
        <w:t>that such an extension is desirable, it would require a legitimate source in international law. It</w:t>
      </w:r>
      <w:r w:rsidR="00771DE5">
        <w:t xml:space="preserve"> </w:t>
      </w:r>
      <w:r w:rsidR="008B16E0">
        <w:t>would be for States to determine the appropriate basis for such an extension of law, either in</w:t>
      </w:r>
      <w:r w:rsidR="00771DE5">
        <w:t xml:space="preserve"> </w:t>
      </w:r>
      <w:r w:rsidR="008B16E0">
        <w:t>the form of a resolution of a competent treaty organ, a memorandum of understanding duly</w:t>
      </w:r>
      <w:r w:rsidR="00771DE5">
        <w:t xml:space="preserve"> </w:t>
      </w:r>
      <w:r w:rsidR="008B16E0">
        <w:t>accepted by national authorities or a treaty</w:t>
      </w:r>
      <w:r>
        <w:t>.”</w:t>
      </w:r>
    </w:p>
    <w:p w:rsidR="008B16E0" w:rsidRDefault="008B16E0">
      <w:pPr>
        <w:pBdr>
          <w:bottom w:val="single" w:sz="12" w:space="1" w:color="auto"/>
        </w:pBdr>
      </w:pPr>
    </w:p>
    <w:p w:rsidR="00606F76" w:rsidRDefault="00606F76"/>
    <w:p w:rsidR="00150C32" w:rsidRDefault="00150C32" w:rsidP="003A71C9">
      <w:pPr>
        <w:rPr>
          <w:b/>
        </w:rPr>
      </w:pPr>
    </w:p>
    <w:p w:rsidR="003A71C9" w:rsidRDefault="00150C32" w:rsidP="003A71C9">
      <w:pPr>
        <w:rPr>
          <w:b/>
        </w:rPr>
      </w:pPr>
      <w:r>
        <w:rPr>
          <w:b/>
        </w:rPr>
        <w:t>II</w:t>
      </w:r>
      <w:r w:rsidR="008463F3">
        <w:rPr>
          <w:b/>
        </w:rPr>
        <w:t xml:space="preserve">. </w:t>
      </w:r>
      <w:r w:rsidR="00D85B79" w:rsidRPr="00D85B79">
        <w:rPr>
          <w:b/>
        </w:rPr>
        <w:t>WHAT DID THE WIPO GENERAL ASSEMBLY ADOPT?</w:t>
      </w:r>
    </w:p>
    <w:p w:rsidR="00672371" w:rsidRDefault="00672371" w:rsidP="003A71C9">
      <w:pPr>
        <w:rPr>
          <w:rFonts w:cs="Times New Roman"/>
          <w:color w:val="3B3B3B"/>
        </w:rPr>
      </w:pPr>
    </w:p>
    <w:p w:rsidR="00672371" w:rsidRPr="00672371" w:rsidRDefault="00C95A8A" w:rsidP="003A71C9">
      <w:pPr>
        <w:rPr>
          <w:rFonts w:cs="Times New Roman"/>
          <w:b/>
          <w:i/>
          <w:color w:val="3B3B3B"/>
        </w:rPr>
      </w:pPr>
      <w:r>
        <w:rPr>
          <w:rFonts w:cs="Times New Roman"/>
          <w:b/>
          <w:i/>
          <w:color w:val="3B3B3B"/>
        </w:rPr>
        <w:t xml:space="preserve">(a) </w:t>
      </w:r>
      <w:r w:rsidR="00672371" w:rsidRPr="00672371">
        <w:rPr>
          <w:rFonts w:cs="Times New Roman"/>
          <w:b/>
          <w:i/>
          <w:color w:val="3B3B3B"/>
        </w:rPr>
        <w:t>Decision:</w:t>
      </w:r>
    </w:p>
    <w:p w:rsidR="00C95A8A" w:rsidRDefault="00C95A8A" w:rsidP="0086706F">
      <w:pPr>
        <w:rPr>
          <w:rFonts w:cs="Times New Roman"/>
          <w:color w:val="3B3B3B"/>
        </w:rPr>
      </w:pPr>
    </w:p>
    <w:p w:rsidR="00C174B8" w:rsidRPr="0086706F" w:rsidRDefault="00672371" w:rsidP="0086706F">
      <w:pPr>
        <w:rPr>
          <w:b/>
        </w:rPr>
      </w:pPr>
      <w:r w:rsidRPr="00672371">
        <w:rPr>
          <w:rFonts w:cs="Times New Roman"/>
          <w:color w:val="3B3B3B"/>
        </w:rPr>
        <w:t>“</w:t>
      </w:r>
      <w:r w:rsidR="00C174B8" w:rsidRPr="00672371">
        <w:rPr>
          <w:rFonts w:cs="Times New Roman"/>
          <w:color w:val="3B3B3B"/>
        </w:rPr>
        <w:t>The General Assembly adopted the recommendation of the SCT with respect to the names and acronyms of IGOs, namely that the UDRP be modified to provide for complaints to be filed by an IGO</w:t>
      </w:r>
      <w:r w:rsidR="0086706F">
        <w:rPr>
          <w:rFonts w:cs="Times New Roman"/>
          <w:color w:val="3B3B3B"/>
        </w:rPr>
        <w:t xml:space="preserve">. </w:t>
      </w:r>
      <w:r w:rsidR="00C174B8" w:rsidRPr="00672371">
        <w:rPr>
          <w:rFonts w:cs="Times New Roman"/>
          <w:color w:val="3B3B3B"/>
        </w:rPr>
        <w:t>The Delegation of the United States of America dissociated itself from this recommendation.</w:t>
      </w:r>
      <w:r w:rsidRPr="00672371">
        <w:rPr>
          <w:rFonts w:cs="Times New Roman"/>
          <w:color w:val="3B3B3B"/>
        </w:rPr>
        <w:t>”</w:t>
      </w:r>
    </w:p>
    <w:p w:rsidR="00C174B8" w:rsidRPr="00672371" w:rsidRDefault="00C174B8" w:rsidP="00C174B8">
      <w:pPr>
        <w:rPr>
          <w:rFonts w:eastAsia="Times New Roman" w:cs="Times New Roman"/>
        </w:rPr>
      </w:pPr>
    </w:p>
    <w:p w:rsidR="00672371" w:rsidRPr="00672371" w:rsidRDefault="00C95A8A" w:rsidP="00C174B8">
      <w:pPr>
        <w:rPr>
          <w:rFonts w:eastAsia="Times New Roman" w:cs="Times New Roman"/>
          <w:b/>
          <w:i/>
        </w:rPr>
      </w:pPr>
      <w:r>
        <w:rPr>
          <w:rFonts w:eastAsia="Times New Roman" w:cs="Times New Roman"/>
          <w:b/>
          <w:i/>
        </w:rPr>
        <w:t>(b) The s</w:t>
      </w:r>
      <w:r w:rsidR="00672371">
        <w:rPr>
          <w:rFonts w:eastAsia="Times New Roman" w:cs="Times New Roman"/>
          <w:b/>
          <w:i/>
        </w:rPr>
        <w:t xml:space="preserve">pecific </w:t>
      </w:r>
      <w:r>
        <w:rPr>
          <w:rFonts w:eastAsia="Times New Roman" w:cs="Times New Roman"/>
          <w:b/>
          <w:i/>
        </w:rPr>
        <w:t>recommendation from WIPO’s</w:t>
      </w:r>
      <w:r w:rsidR="00672371">
        <w:rPr>
          <w:rFonts w:eastAsia="Times New Roman" w:cs="Times New Roman"/>
          <w:b/>
          <w:i/>
        </w:rPr>
        <w:t xml:space="preserve"> </w:t>
      </w:r>
      <w:r w:rsidR="00672371" w:rsidRPr="00672371">
        <w:rPr>
          <w:rFonts w:eastAsia="Times New Roman" w:cs="Times New Roman"/>
          <w:b/>
          <w:i/>
        </w:rPr>
        <w:t>S</w:t>
      </w:r>
      <w:r w:rsidR="00672371">
        <w:rPr>
          <w:rFonts w:eastAsia="Times New Roman" w:cs="Times New Roman"/>
          <w:b/>
          <w:i/>
        </w:rPr>
        <w:t>tanding Committee on</w:t>
      </w:r>
      <w:r w:rsidR="00606F76">
        <w:rPr>
          <w:rFonts w:eastAsia="Times New Roman" w:cs="Times New Roman"/>
          <w:b/>
          <w:i/>
        </w:rPr>
        <w:t xml:space="preserve"> the Law of</w:t>
      </w:r>
      <w:r w:rsidR="00672371">
        <w:rPr>
          <w:rFonts w:eastAsia="Times New Roman" w:cs="Times New Roman"/>
          <w:b/>
          <w:i/>
        </w:rPr>
        <w:t xml:space="preserve"> Trademarks</w:t>
      </w:r>
      <w:r w:rsidR="00606F76">
        <w:rPr>
          <w:rFonts w:eastAsia="Times New Roman" w:cs="Times New Roman"/>
          <w:b/>
          <w:i/>
        </w:rPr>
        <w:t>, Industrial Designs &amp; Geographical Indications</w:t>
      </w:r>
      <w:r w:rsidR="00672371">
        <w:rPr>
          <w:rFonts w:eastAsia="Times New Roman" w:cs="Times New Roman"/>
          <w:b/>
          <w:i/>
        </w:rPr>
        <w:t xml:space="preserve"> (</w:t>
      </w:r>
      <w:r w:rsidR="00672371" w:rsidRPr="00672371">
        <w:rPr>
          <w:rFonts w:eastAsia="Times New Roman" w:cs="Times New Roman"/>
          <w:b/>
          <w:i/>
        </w:rPr>
        <w:t>SCT):</w:t>
      </w:r>
    </w:p>
    <w:p w:rsidR="00672371" w:rsidRDefault="00672371" w:rsidP="00C174B8">
      <w:pPr>
        <w:rPr>
          <w:rFonts w:eastAsia="Times New Roman" w:cs="Times New Roman"/>
        </w:rPr>
      </w:pPr>
    </w:p>
    <w:p w:rsidR="00672371" w:rsidRPr="00672371" w:rsidRDefault="0086706F" w:rsidP="00672371">
      <w:pPr>
        <w:rPr>
          <w:rFonts w:eastAsia="Times New Roman" w:cs="Times New Roman"/>
        </w:rPr>
      </w:pPr>
      <w:r>
        <w:rPr>
          <w:rFonts w:eastAsia="Times New Roman" w:cs="Times New Roman"/>
        </w:rPr>
        <w:t>“</w:t>
      </w:r>
      <w:r w:rsidR="00672371" w:rsidRPr="00672371">
        <w:rPr>
          <w:rFonts w:eastAsia="Times New Roman" w:cs="Times New Roman"/>
        </w:rPr>
        <w:t>1. The Special Session recommends that the UDRP be modified to provide</w:t>
      </w:r>
      <w:r>
        <w:rPr>
          <w:rFonts w:eastAsia="Times New Roman" w:cs="Times New Roman"/>
        </w:rPr>
        <w:t xml:space="preserve"> </w:t>
      </w:r>
      <w:r w:rsidR="00672371" w:rsidRPr="00672371">
        <w:rPr>
          <w:rFonts w:eastAsia="Times New Roman" w:cs="Times New Roman"/>
        </w:rPr>
        <w:t>for complaints to be filed by an international intergovernmental organization (IGO)</w:t>
      </w:r>
      <w:r>
        <w:rPr>
          <w:rFonts w:eastAsia="Times New Roman" w:cs="Times New Roman"/>
        </w:rPr>
        <w:t>:</w:t>
      </w:r>
    </w:p>
    <w:p w:rsidR="00672371" w:rsidRPr="00672371" w:rsidRDefault="00672371" w:rsidP="00672371">
      <w:pPr>
        <w:rPr>
          <w:rFonts w:eastAsia="Times New Roman" w:cs="Times New Roman"/>
        </w:rPr>
      </w:pPr>
    </w:p>
    <w:p w:rsidR="00672371" w:rsidRPr="00DE2F35" w:rsidRDefault="0086706F" w:rsidP="0086706F">
      <w:pPr>
        <w:ind w:left="720"/>
        <w:rPr>
          <w:rFonts w:eastAsia="Times New Roman" w:cs="Times New Roman"/>
          <w:i/>
        </w:rPr>
      </w:pPr>
      <w:r w:rsidRPr="00DE2F35">
        <w:rPr>
          <w:rFonts w:eastAsia="Times New Roman" w:cs="Times New Roman"/>
          <w:i/>
        </w:rPr>
        <w:t>A. O</w:t>
      </w:r>
      <w:r w:rsidR="00672371" w:rsidRPr="00DE2F35">
        <w:rPr>
          <w:rFonts w:eastAsia="Times New Roman" w:cs="Times New Roman"/>
          <w:i/>
        </w:rPr>
        <w:t>n the ground that the registration or use, as a domain name, of the name</w:t>
      </w:r>
      <w:r w:rsidRPr="00DE2F35">
        <w:rPr>
          <w:rFonts w:eastAsia="Times New Roman" w:cs="Times New Roman"/>
          <w:i/>
        </w:rPr>
        <w:t xml:space="preserve"> </w:t>
      </w:r>
      <w:r w:rsidR="00672371" w:rsidRPr="00DE2F35">
        <w:rPr>
          <w:rFonts w:eastAsia="Times New Roman" w:cs="Times New Roman"/>
          <w:i/>
        </w:rPr>
        <w:t xml:space="preserve">or abbreviation of the </w:t>
      </w:r>
      <w:r w:rsidR="00672371" w:rsidRPr="00DE2F35">
        <w:rPr>
          <w:rFonts w:eastAsia="Times New Roman" w:cs="Times New Roman"/>
          <w:i/>
          <w:u w:val="single"/>
        </w:rPr>
        <w:t>IGO that has been communicated under Article 6ter of the Paris</w:t>
      </w:r>
      <w:r w:rsidRPr="00DE2F35">
        <w:rPr>
          <w:rFonts w:eastAsia="Times New Roman" w:cs="Times New Roman"/>
          <w:i/>
          <w:u w:val="single"/>
        </w:rPr>
        <w:t xml:space="preserve"> </w:t>
      </w:r>
      <w:r w:rsidR="00672371" w:rsidRPr="00DE2F35">
        <w:rPr>
          <w:rFonts w:eastAsia="Times New Roman" w:cs="Times New Roman"/>
          <w:i/>
          <w:u w:val="single"/>
        </w:rPr>
        <w:t>Convention</w:t>
      </w:r>
      <w:r w:rsidR="00672371" w:rsidRPr="00DE2F35">
        <w:rPr>
          <w:rFonts w:eastAsia="Times New Roman" w:cs="Times New Roman"/>
          <w:i/>
        </w:rPr>
        <w:t xml:space="preserve"> is of a nature</w:t>
      </w:r>
    </w:p>
    <w:p w:rsidR="00672371" w:rsidRPr="00DE2F35" w:rsidRDefault="00672371" w:rsidP="0086706F">
      <w:pPr>
        <w:ind w:left="720"/>
        <w:rPr>
          <w:rFonts w:eastAsia="Times New Roman" w:cs="Times New Roman"/>
          <w:i/>
        </w:rPr>
      </w:pPr>
    </w:p>
    <w:p w:rsidR="00672371" w:rsidRPr="00DE2F35" w:rsidRDefault="00672371" w:rsidP="0086706F">
      <w:pPr>
        <w:ind w:left="1440"/>
        <w:rPr>
          <w:rFonts w:eastAsia="Times New Roman" w:cs="Times New Roman"/>
          <w:i/>
        </w:rPr>
      </w:pPr>
      <w:r w:rsidRPr="00DE2F35">
        <w:rPr>
          <w:rFonts w:eastAsia="Times New Roman" w:cs="Times New Roman"/>
          <w:i/>
        </w:rPr>
        <w:t>(</w:t>
      </w:r>
      <w:proofErr w:type="spellStart"/>
      <w:r w:rsidRPr="00DE2F35">
        <w:rPr>
          <w:rFonts w:eastAsia="Times New Roman" w:cs="Times New Roman"/>
          <w:i/>
        </w:rPr>
        <w:t>i</w:t>
      </w:r>
      <w:proofErr w:type="spellEnd"/>
      <w:r w:rsidRPr="00DE2F35">
        <w:rPr>
          <w:rFonts w:eastAsia="Times New Roman" w:cs="Times New Roman"/>
          <w:i/>
        </w:rPr>
        <w:t xml:space="preserve">) </w:t>
      </w:r>
      <w:proofErr w:type="gramStart"/>
      <w:r w:rsidRPr="00DE2F35">
        <w:rPr>
          <w:rFonts w:eastAsia="Times New Roman" w:cs="Times New Roman"/>
          <w:i/>
        </w:rPr>
        <w:t>to</w:t>
      </w:r>
      <w:proofErr w:type="gramEnd"/>
      <w:r w:rsidRPr="00DE2F35">
        <w:rPr>
          <w:rFonts w:eastAsia="Times New Roman" w:cs="Times New Roman"/>
          <w:i/>
        </w:rPr>
        <w:t xml:space="preserve"> </w:t>
      </w:r>
      <w:r w:rsidRPr="00DE2F35">
        <w:rPr>
          <w:rFonts w:eastAsia="Times New Roman" w:cs="Times New Roman"/>
          <w:i/>
          <w:u w:val="single"/>
        </w:rPr>
        <w:t>suggest to the public that a connection exists</w:t>
      </w:r>
      <w:r w:rsidRPr="00DE2F35">
        <w:rPr>
          <w:rFonts w:eastAsia="Times New Roman" w:cs="Times New Roman"/>
          <w:i/>
        </w:rPr>
        <w:t xml:space="preserve"> between the domain name</w:t>
      </w:r>
      <w:r w:rsidR="0086706F" w:rsidRPr="00DE2F35">
        <w:rPr>
          <w:rFonts w:eastAsia="Times New Roman" w:cs="Times New Roman"/>
          <w:i/>
        </w:rPr>
        <w:t xml:space="preserve"> </w:t>
      </w:r>
      <w:r w:rsidRPr="00DE2F35">
        <w:rPr>
          <w:rFonts w:eastAsia="Times New Roman" w:cs="Times New Roman"/>
          <w:i/>
        </w:rPr>
        <w:t>holder and the IGO; or</w:t>
      </w:r>
    </w:p>
    <w:p w:rsidR="0086706F" w:rsidRPr="00DE2F35" w:rsidRDefault="0086706F" w:rsidP="0086706F">
      <w:pPr>
        <w:ind w:left="1440"/>
        <w:rPr>
          <w:rFonts w:eastAsia="Times New Roman" w:cs="Times New Roman"/>
          <w:i/>
        </w:rPr>
      </w:pPr>
    </w:p>
    <w:p w:rsidR="00672371" w:rsidRPr="00DE2F35" w:rsidRDefault="00672371" w:rsidP="0086706F">
      <w:pPr>
        <w:ind w:left="1440"/>
        <w:rPr>
          <w:rFonts w:eastAsia="Times New Roman" w:cs="Times New Roman"/>
          <w:i/>
        </w:rPr>
      </w:pPr>
      <w:r w:rsidRPr="00DE2F35">
        <w:rPr>
          <w:rFonts w:eastAsia="Times New Roman" w:cs="Times New Roman"/>
          <w:i/>
        </w:rPr>
        <w:t xml:space="preserve">(ii) </w:t>
      </w:r>
      <w:proofErr w:type="gramStart"/>
      <w:r w:rsidRPr="00DE2F35">
        <w:rPr>
          <w:rFonts w:eastAsia="Times New Roman" w:cs="Times New Roman"/>
          <w:i/>
        </w:rPr>
        <w:t>to</w:t>
      </w:r>
      <w:proofErr w:type="gramEnd"/>
      <w:r w:rsidRPr="00DE2F35">
        <w:rPr>
          <w:rFonts w:eastAsia="Times New Roman" w:cs="Times New Roman"/>
          <w:i/>
        </w:rPr>
        <w:t xml:space="preserve"> </w:t>
      </w:r>
      <w:r w:rsidRPr="00DE2F35">
        <w:rPr>
          <w:rFonts w:eastAsia="Times New Roman" w:cs="Times New Roman"/>
          <w:i/>
          <w:u w:val="single"/>
        </w:rPr>
        <w:t>mislead the public as to the existence of a connection</w:t>
      </w:r>
      <w:r w:rsidRPr="00DE2F35">
        <w:rPr>
          <w:rFonts w:eastAsia="Times New Roman" w:cs="Times New Roman"/>
          <w:i/>
        </w:rPr>
        <w:t xml:space="preserve"> between the</w:t>
      </w:r>
      <w:r w:rsidR="0086706F" w:rsidRPr="00DE2F35">
        <w:rPr>
          <w:rFonts w:eastAsia="Times New Roman" w:cs="Times New Roman"/>
          <w:i/>
        </w:rPr>
        <w:t xml:space="preserve"> </w:t>
      </w:r>
      <w:r w:rsidRPr="00DE2F35">
        <w:rPr>
          <w:rFonts w:eastAsia="Times New Roman" w:cs="Times New Roman"/>
          <w:i/>
        </w:rPr>
        <w:t>do</w:t>
      </w:r>
      <w:r w:rsidR="0086706F" w:rsidRPr="00DE2F35">
        <w:rPr>
          <w:rFonts w:eastAsia="Times New Roman" w:cs="Times New Roman"/>
          <w:i/>
        </w:rPr>
        <w:t>main name holder and the IGO;</w:t>
      </w:r>
    </w:p>
    <w:p w:rsidR="00672371" w:rsidRPr="00DE2F35" w:rsidRDefault="00672371" w:rsidP="0086706F">
      <w:pPr>
        <w:ind w:left="720"/>
        <w:rPr>
          <w:rFonts w:eastAsia="Times New Roman" w:cs="Times New Roman"/>
          <w:i/>
        </w:rPr>
      </w:pPr>
    </w:p>
    <w:p w:rsidR="0086706F" w:rsidRPr="00DE2F35" w:rsidRDefault="0086706F" w:rsidP="0086706F">
      <w:pPr>
        <w:ind w:left="720"/>
        <w:rPr>
          <w:rFonts w:eastAsia="Times New Roman" w:cs="Times New Roman"/>
          <w:i/>
        </w:rPr>
      </w:pPr>
      <w:proofErr w:type="gramStart"/>
      <w:r w:rsidRPr="00DE2F35">
        <w:rPr>
          <w:rFonts w:eastAsia="Times New Roman" w:cs="Times New Roman"/>
          <w:i/>
        </w:rPr>
        <w:t>or</w:t>
      </w:r>
      <w:proofErr w:type="gramEnd"/>
      <w:r w:rsidRPr="00DE2F35">
        <w:rPr>
          <w:rFonts w:eastAsia="Times New Roman" w:cs="Times New Roman"/>
          <w:i/>
        </w:rPr>
        <w:t xml:space="preserve"> </w:t>
      </w:r>
    </w:p>
    <w:p w:rsidR="0086706F" w:rsidRPr="00DE2F35" w:rsidRDefault="0086706F" w:rsidP="0086706F">
      <w:pPr>
        <w:ind w:left="720"/>
        <w:rPr>
          <w:rFonts w:eastAsia="Times New Roman" w:cs="Times New Roman"/>
          <w:i/>
        </w:rPr>
      </w:pPr>
    </w:p>
    <w:p w:rsidR="00672371" w:rsidRPr="00672371" w:rsidRDefault="0086706F" w:rsidP="0086706F">
      <w:pPr>
        <w:ind w:left="720"/>
        <w:rPr>
          <w:rFonts w:eastAsia="Times New Roman" w:cs="Times New Roman"/>
        </w:rPr>
      </w:pPr>
      <w:r w:rsidRPr="00DE2F35">
        <w:rPr>
          <w:rFonts w:eastAsia="Times New Roman" w:cs="Times New Roman"/>
          <w:i/>
        </w:rPr>
        <w:t>B. O</w:t>
      </w:r>
      <w:r w:rsidR="00672371" w:rsidRPr="00DE2F35">
        <w:rPr>
          <w:rFonts w:eastAsia="Times New Roman" w:cs="Times New Roman"/>
          <w:i/>
        </w:rPr>
        <w:t>n the ground that the registration or use, as a domain name, of a name or</w:t>
      </w:r>
      <w:r w:rsidRPr="00DE2F35">
        <w:rPr>
          <w:rFonts w:eastAsia="Times New Roman" w:cs="Times New Roman"/>
          <w:i/>
        </w:rPr>
        <w:t xml:space="preserve"> </w:t>
      </w:r>
      <w:r w:rsidR="00672371" w:rsidRPr="00DE2F35">
        <w:rPr>
          <w:rFonts w:eastAsia="Times New Roman" w:cs="Times New Roman"/>
          <w:i/>
        </w:rPr>
        <w:t>abbreviation protected under an international treaty violates the terms of that treaty.</w:t>
      </w:r>
    </w:p>
    <w:p w:rsidR="00672371" w:rsidRPr="00672371" w:rsidRDefault="00672371" w:rsidP="00672371">
      <w:pPr>
        <w:rPr>
          <w:rFonts w:eastAsia="Times New Roman" w:cs="Times New Roman"/>
        </w:rPr>
      </w:pPr>
    </w:p>
    <w:p w:rsidR="00672371" w:rsidRPr="00672371" w:rsidRDefault="00672371" w:rsidP="0086706F">
      <w:pPr>
        <w:rPr>
          <w:rFonts w:eastAsia="Times New Roman" w:cs="Times New Roman"/>
        </w:rPr>
      </w:pPr>
      <w:r w:rsidRPr="00672371">
        <w:rPr>
          <w:rFonts w:eastAsia="Times New Roman" w:cs="Times New Roman"/>
        </w:rPr>
        <w:t>2. The Special Session further recommends that the UDRP should also be</w:t>
      </w:r>
      <w:r w:rsidR="0086706F">
        <w:rPr>
          <w:rFonts w:eastAsia="Times New Roman" w:cs="Times New Roman"/>
        </w:rPr>
        <w:t xml:space="preserve"> </w:t>
      </w:r>
      <w:r w:rsidRPr="00672371">
        <w:rPr>
          <w:rFonts w:eastAsia="Times New Roman" w:cs="Times New Roman"/>
        </w:rPr>
        <w:t>modified</w:t>
      </w:r>
      <w:r w:rsidR="0086706F">
        <w:rPr>
          <w:rFonts w:eastAsia="Times New Roman" w:cs="Times New Roman"/>
        </w:rPr>
        <w:t xml:space="preserve"> … </w:t>
      </w:r>
      <w:r w:rsidRPr="00672371">
        <w:rPr>
          <w:rFonts w:eastAsia="Times New Roman" w:cs="Times New Roman"/>
        </w:rPr>
        <w:t>to take account of</w:t>
      </w:r>
      <w:r w:rsidR="0086706F">
        <w:rPr>
          <w:rFonts w:eastAsia="Times New Roman" w:cs="Times New Roman"/>
        </w:rPr>
        <w:t xml:space="preserve"> </w:t>
      </w:r>
      <w:r w:rsidRPr="00672371">
        <w:rPr>
          <w:rFonts w:eastAsia="Times New Roman" w:cs="Times New Roman"/>
        </w:rPr>
        <w:t>and respect the privileges and immunities of IGOs in international law. In this respect,</w:t>
      </w:r>
      <w:r w:rsidR="0086706F">
        <w:rPr>
          <w:rFonts w:eastAsia="Times New Roman" w:cs="Times New Roman"/>
        </w:rPr>
        <w:t xml:space="preserve"> </w:t>
      </w:r>
      <w:r w:rsidRPr="0086706F">
        <w:rPr>
          <w:rFonts w:eastAsia="Times New Roman" w:cs="Times New Roman"/>
          <w:u w:val="single"/>
        </w:rPr>
        <w:t>IGOs should not be required, in using the UDRP, to submit to the jurisdiction of</w:t>
      </w:r>
      <w:r w:rsidR="0086706F" w:rsidRPr="0086706F">
        <w:rPr>
          <w:rFonts w:eastAsia="Times New Roman" w:cs="Times New Roman"/>
          <w:u w:val="single"/>
        </w:rPr>
        <w:t xml:space="preserve"> </w:t>
      </w:r>
      <w:r w:rsidRPr="0086706F">
        <w:rPr>
          <w:rFonts w:eastAsia="Times New Roman" w:cs="Times New Roman"/>
          <w:u w:val="single"/>
        </w:rPr>
        <w:t>national courts</w:t>
      </w:r>
      <w:r w:rsidRPr="00672371">
        <w:rPr>
          <w:rFonts w:eastAsia="Times New Roman" w:cs="Times New Roman"/>
        </w:rPr>
        <w:t>. However, it should be provided that decisions given in a complaint</w:t>
      </w:r>
      <w:r w:rsidR="0086706F">
        <w:rPr>
          <w:rFonts w:eastAsia="Times New Roman" w:cs="Times New Roman"/>
        </w:rPr>
        <w:t xml:space="preserve"> </w:t>
      </w:r>
      <w:r w:rsidR="0086706F" w:rsidRPr="0086706F">
        <w:rPr>
          <w:rFonts w:eastAsia="Times New Roman" w:cs="Times New Roman"/>
        </w:rPr>
        <w:t>filed under the modified UDRP by an IGO should be subject, at the request of either</w:t>
      </w:r>
      <w:r w:rsidR="0086706F">
        <w:rPr>
          <w:rFonts w:eastAsia="Times New Roman" w:cs="Times New Roman"/>
        </w:rPr>
        <w:t xml:space="preserve"> </w:t>
      </w:r>
      <w:r w:rsidR="0086706F" w:rsidRPr="0086706F">
        <w:rPr>
          <w:rFonts w:eastAsia="Times New Roman" w:cs="Times New Roman"/>
        </w:rPr>
        <w:t xml:space="preserve">party to the dispute, to </w:t>
      </w:r>
      <w:r w:rsidR="0086706F" w:rsidRPr="0086706F">
        <w:rPr>
          <w:rFonts w:eastAsia="Times New Roman" w:cs="Times New Roman"/>
          <w:u w:val="single"/>
        </w:rPr>
        <w:t>de novo review through binding arbitration</w:t>
      </w:r>
      <w:r w:rsidR="0086706F" w:rsidRPr="0086706F">
        <w:rPr>
          <w:rFonts w:eastAsia="Times New Roman" w:cs="Times New Roman"/>
        </w:rPr>
        <w:t>.</w:t>
      </w:r>
      <w:r w:rsidR="0086706F">
        <w:rPr>
          <w:rFonts w:eastAsia="Times New Roman" w:cs="Times New Roman"/>
        </w:rPr>
        <w:t>”</w:t>
      </w:r>
    </w:p>
    <w:p w:rsidR="00D85B79" w:rsidRPr="00672371" w:rsidRDefault="00D85B79">
      <w:pPr>
        <w:pBdr>
          <w:bottom w:val="single" w:sz="12" w:space="1" w:color="auto"/>
        </w:pBdr>
      </w:pPr>
    </w:p>
    <w:p w:rsidR="00606F76" w:rsidRDefault="00606F76"/>
    <w:p w:rsidR="00606F76" w:rsidRPr="00672371" w:rsidRDefault="00606F76"/>
    <w:p w:rsidR="00C95A8A" w:rsidRDefault="00C95A8A">
      <w:pPr>
        <w:rPr>
          <w:b/>
        </w:rPr>
        <w:sectPr w:rsidR="00C95A8A" w:rsidSect="00D16ED3">
          <w:pgSz w:w="12240" w:h="15840"/>
          <w:pgMar w:top="1440" w:right="1800" w:bottom="1440" w:left="1800" w:header="720" w:footer="720" w:gutter="0"/>
          <w:cols w:space="720"/>
          <w:docGrid w:linePitch="360"/>
        </w:sectPr>
      </w:pPr>
    </w:p>
    <w:p w:rsidR="007D7D42" w:rsidRPr="0086706F" w:rsidRDefault="00606F76">
      <w:pPr>
        <w:rPr>
          <w:b/>
        </w:rPr>
      </w:pPr>
      <w:r>
        <w:rPr>
          <w:b/>
        </w:rPr>
        <w:t xml:space="preserve">III. </w:t>
      </w:r>
      <w:r w:rsidR="0086706F" w:rsidRPr="0086706F">
        <w:rPr>
          <w:b/>
        </w:rPr>
        <w:t>WHAT DID</w:t>
      </w:r>
      <w:r>
        <w:rPr>
          <w:b/>
        </w:rPr>
        <w:t xml:space="preserve"> THE </w:t>
      </w:r>
      <w:r w:rsidR="0086706F" w:rsidRPr="0086706F">
        <w:rPr>
          <w:b/>
        </w:rPr>
        <w:t>ICANN</w:t>
      </w:r>
      <w:r>
        <w:rPr>
          <w:b/>
        </w:rPr>
        <w:t xml:space="preserve"> PRESIDENT</w:t>
      </w:r>
      <w:r w:rsidR="0086706F" w:rsidRPr="0086706F">
        <w:rPr>
          <w:b/>
        </w:rPr>
        <w:t>’S JOINT WORKING GROUP RECOMMEND IN 2004?</w:t>
      </w:r>
    </w:p>
    <w:p w:rsidR="007D7D42" w:rsidRDefault="007D7D42"/>
    <w:p w:rsidR="002D7246" w:rsidRPr="002D7246" w:rsidRDefault="00C95A8A">
      <w:pPr>
        <w:rPr>
          <w:b/>
          <w:i/>
        </w:rPr>
      </w:pPr>
      <w:r>
        <w:rPr>
          <w:b/>
          <w:i/>
        </w:rPr>
        <w:t xml:space="preserve">(a) </w:t>
      </w:r>
      <w:r w:rsidR="002D7246" w:rsidRPr="002D7246">
        <w:rPr>
          <w:b/>
          <w:i/>
        </w:rPr>
        <w:t>Outcome:</w:t>
      </w:r>
    </w:p>
    <w:p w:rsidR="002D7246" w:rsidRDefault="002D7246"/>
    <w:p w:rsidR="007D7D42" w:rsidRDefault="00606F76">
      <w:r w:rsidRPr="00DE2F35">
        <w:rPr>
          <w:u w:val="single"/>
        </w:rPr>
        <w:t>No consensus</w:t>
      </w:r>
      <w:r>
        <w:t xml:space="preserve"> on adopting the WIPO-2 Recommendation to modify the UDRP</w:t>
      </w:r>
    </w:p>
    <w:p w:rsidR="00606F76" w:rsidRDefault="00606F76"/>
    <w:p w:rsidR="002D7246" w:rsidRPr="002D7246" w:rsidRDefault="00C95A8A">
      <w:pPr>
        <w:rPr>
          <w:b/>
          <w:i/>
        </w:rPr>
      </w:pPr>
      <w:r>
        <w:rPr>
          <w:b/>
          <w:i/>
        </w:rPr>
        <w:t xml:space="preserve">(b) </w:t>
      </w:r>
      <w:r w:rsidR="002D7246" w:rsidRPr="002D7246">
        <w:rPr>
          <w:b/>
          <w:i/>
        </w:rPr>
        <w:t>Arguments opposing adoption:</w:t>
      </w:r>
    </w:p>
    <w:p w:rsidR="002D7246" w:rsidRDefault="002D7246" w:rsidP="002D7246">
      <w:pPr>
        <w:ind w:left="720"/>
      </w:pPr>
      <w:r>
        <w:t xml:space="preserve">1)"the UDRP is flawed...fix it first before amending or adding" </w:t>
      </w:r>
    </w:p>
    <w:p w:rsidR="002D7246" w:rsidRDefault="002D7246" w:rsidP="002D7246">
      <w:pPr>
        <w:ind w:left="720"/>
      </w:pPr>
    </w:p>
    <w:p w:rsidR="002D7246" w:rsidRDefault="002D7246" w:rsidP="002D7246">
      <w:pPr>
        <w:ind w:left="720"/>
      </w:pPr>
      <w:r>
        <w:t xml:space="preserve">2)"There is no support in International law for protecting country names in any manner or forum and ICANN does not and should not have the power to create what amounts to international law" </w:t>
      </w:r>
    </w:p>
    <w:p w:rsidR="002D7246" w:rsidRDefault="002D7246" w:rsidP="002D7246">
      <w:pPr>
        <w:ind w:left="720"/>
      </w:pPr>
    </w:p>
    <w:p w:rsidR="002D7246" w:rsidRDefault="002D7246" w:rsidP="002D7246">
      <w:pPr>
        <w:ind w:left="720"/>
      </w:pPr>
      <w:r>
        <w:t xml:space="preserve">3)"many trade marks for country names and the acronyms of IGOs are already registered in many countries legally and in keeping with both national law and international treaties (Paris Union)" </w:t>
      </w:r>
    </w:p>
    <w:p w:rsidR="002D7246" w:rsidRDefault="002D7246" w:rsidP="002D7246">
      <w:pPr>
        <w:ind w:left="720"/>
      </w:pPr>
    </w:p>
    <w:p w:rsidR="002D7246" w:rsidRDefault="002D7246" w:rsidP="002D7246">
      <w:pPr>
        <w:ind w:left="720"/>
      </w:pPr>
      <w:r>
        <w:t xml:space="preserve">4)"Denying access to the Courts is a fundamental (breach) change in the original bargain negotiated between the constituencies of the GNSO (DNSO) and the Board" </w:t>
      </w:r>
    </w:p>
    <w:p w:rsidR="002D7246" w:rsidRDefault="002D7246" w:rsidP="002D7246">
      <w:pPr>
        <w:ind w:left="720"/>
      </w:pPr>
    </w:p>
    <w:p w:rsidR="00606F76" w:rsidRDefault="002D7246" w:rsidP="002D7246">
      <w:pPr>
        <w:ind w:left="720"/>
      </w:pPr>
      <w:r>
        <w:t>5)"The GNSO has already said ...No"</w:t>
      </w:r>
    </w:p>
    <w:p w:rsidR="007D7D42" w:rsidRDefault="007D7D42"/>
    <w:p w:rsidR="002D7246" w:rsidRPr="002D7246" w:rsidRDefault="00C95A8A">
      <w:pPr>
        <w:rPr>
          <w:b/>
          <w:i/>
        </w:rPr>
      </w:pPr>
      <w:r>
        <w:rPr>
          <w:b/>
          <w:i/>
        </w:rPr>
        <w:t xml:space="preserve">(c) </w:t>
      </w:r>
      <w:r w:rsidR="002D7246" w:rsidRPr="002D7246">
        <w:rPr>
          <w:b/>
          <w:i/>
        </w:rPr>
        <w:t>Arguments in favor of adoption:</w:t>
      </w:r>
    </w:p>
    <w:p w:rsidR="002D7246" w:rsidRDefault="002D7246"/>
    <w:p w:rsidR="002D7246" w:rsidRDefault="002D7246">
      <w:r>
        <w:t>Essentially, a GAC (government) recommendation so question</w:t>
      </w:r>
      <w:r w:rsidR="00DE2F35">
        <w:t xml:space="preserve"> for ICANN</w:t>
      </w:r>
      <w:r>
        <w:t xml:space="preserve"> is not WHETHER but rather HOW:</w:t>
      </w:r>
    </w:p>
    <w:p w:rsidR="002D7246" w:rsidRDefault="002D7246"/>
    <w:p w:rsidR="002D7246" w:rsidRDefault="002D7246" w:rsidP="002D7246">
      <w:pPr>
        <w:ind w:left="720"/>
      </w:pPr>
      <w:r>
        <w:t>1) “There is no support in International law for the existing UDRP. ICANN simply came up with a set of rules through consultation with WIPO and the GNSO (DNSO) and incorporated them into its contracts. It can amend same if it chooses to do so as long as it does not 'break' national or international law”</w:t>
      </w:r>
    </w:p>
    <w:p w:rsidR="002D7246" w:rsidRDefault="002D7246" w:rsidP="002D7246">
      <w:pPr>
        <w:ind w:left="720"/>
      </w:pPr>
    </w:p>
    <w:p w:rsidR="002D7246" w:rsidRDefault="002D7246" w:rsidP="002D7246">
      <w:pPr>
        <w:ind w:left="720"/>
      </w:pPr>
      <w:r>
        <w:t>2) “Arbitration is a long well established form of dispute resolution and in this case solves the problem of jurisdiction which in the case of Governments would be very tricky under a Court based Appeal system”</w:t>
      </w:r>
    </w:p>
    <w:p w:rsidR="002D7246" w:rsidRDefault="002D7246" w:rsidP="002D7246">
      <w:pPr>
        <w:ind w:left="720"/>
      </w:pPr>
    </w:p>
    <w:p w:rsidR="002D7246" w:rsidRDefault="002D7246" w:rsidP="002D7246">
      <w:pPr>
        <w:ind w:left="720"/>
      </w:pPr>
      <w:r>
        <w:t>3) “The system is "bad faith" based and therefore is not an unfair interference with existing or future registrations of trademarks or domain names which happen to coincide with an IGO or country name (unless there is a reserve list which they generally do not approve)”</w:t>
      </w:r>
    </w:p>
    <w:p w:rsidR="002D7246" w:rsidRDefault="002D7246" w:rsidP="002D7246">
      <w:pPr>
        <w:ind w:left="720"/>
      </w:pPr>
    </w:p>
    <w:p w:rsidR="002D7246" w:rsidRDefault="002D7246" w:rsidP="002D7246">
      <w:pPr>
        <w:ind w:left="720"/>
      </w:pPr>
      <w:r>
        <w:t xml:space="preserve">4) “It is open to the Board to accept this recommendation despite the GNSO, and, where it has a commitment in its Charter to the GAC this is such a case where the importance of the matter requires the Board to make its decision without being bound by the GNSO position” </w:t>
      </w:r>
    </w:p>
    <w:p w:rsidR="002D7246" w:rsidRDefault="002D7246" w:rsidP="002D7246">
      <w:pPr>
        <w:ind w:left="720"/>
      </w:pPr>
    </w:p>
    <w:p w:rsidR="002D7246" w:rsidRDefault="002D7246" w:rsidP="002D7246">
      <w:pPr>
        <w:ind w:left="720"/>
      </w:pPr>
      <w:r>
        <w:t>5) “This is a serious problem for many countries and needs to be addressed quickly just as domain name cybersquatting was originally dealt with using the existing UDRP”</w:t>
      </w:r>
    </w:p>
    <w:p w:rsidR="002D7246" w:rsidRDefault="002D7246" w:rsidP="002D7246">
      <w:pPr>
        <w:pBdr>
          <w:bottom w:val="single" w:sz="12" w:space="1" w:color="auto"/>
        </w:pBdr>
      </w:pPr>
    </w:p>
    <w:p w:rsidR="002D7246" w:rsidRDefault="002D7246" w:rsidP="002D7246"/>
    <w:p w:rsidR="00606F76" w:rsidRDefault="00606F76"/>
    <w:p w:rsidR="007D7D42" w:rsidRPr="002D7246" w:rsidRDefault="002D7246">
      <w:pPr>
        <w:rPr>
          <w:b/>
        </w:rPr>
      </w:pPr>
      <w:r>
        <w:rPr>
          <w:b/>
        </w:rPr>
        <w:t xml:space="preserve">IV. </w:t>
      </w:r>
      <w:r w:rsidRPr="002D7246">
        <w:rPr>
          <w:b/>
        </w:rPr>
        <w:t>WHAT DID THE GNSO ISSUE REPORT ON DISPUTE HANDLING FOR IGO NAMES &amp; ABBREVIATIONS RECOMMEND IN 2007?</w:t>
      </w:r>
    </w:p>
    <w:p w:rsidR="007D7D42" w:rsidRDefault="007D7D42"/>
    <w:p w:rsidR="007D7D42" w:rsidRPr="00112021" w:rsidRDefault="00112021">
      <w:pPr>
        <w:rPr>
          <w:b/>
          <w:i/>
        </w:rPr>
      </w:pPr>
      <w:r w:rsidRPr="00112021">
        <w:rPr>
          <w:b/>
          <w:i/>
        </w:rPr>
        <w:t>(a) Background:</w:t>
      </w:r>
    </w:p>
    <w:p w:rsidR="00112021" w:rsidRDefault="00112021"/>
    <w:p w:rsidR="00112021" w:rsidRDefault="00112021">
      <w:r>
        <w:t xml:space="preserve">The </w:t>
      </w:r>
      <w:proofErr w:type="gramStart"/>
      <w:r>
        <w:t>Issue Report had been requested by the GNSO Council pursuant to an IPC request</w:t>
      </w:r>
      <w:proofErr w:type="gramEnd"/>
      <w:r>
        <w:t xml:space="preserve">. The </w:t>
      </w:r>
      <w:proofErr w:type="gramStart"/>
      <w:r>
        <w:t>IPC’s request had been opposed by the Registries Constituency</w:t>
      </w:r>
      <w:proofErr w:type="gramEnd"/>
      <w:r>
        <w:t>.</w:t>
      </w:r>
    </w:p>
    <w:p w:rsidR="00112021" w:rsidRDefault="00112021"/>
    <w:p w:rsidR="00112021" w:rsidRDefault="00112021">
      <w:r>
        <w:t xml:space="preserve">Note also that the </w:t>
      </w:r>
      <w:r w:rsidR="00E334FA" w:rsidRPr="00E334FA">
        <w:rPr>
          <w:u w:val="single"/>
        </w:rPr>
        <w:t xml:space="preserve">2007 </w:t>
      </w:r>
      <w:r w:rsidRPr="00E334FA">
        <w:rPr>
          <w:u w:val="single"/>
        </w:rPr>
        <w:t>GAC P</w:t>
      </w:r>
      <w:r w:rsidR="00E334FA" w:rsidRPr="00E334FA">
        <w:rPr>
          <w:u w:val="single"/>
        </w:rPr>
        <w:t xml:space="preserve">rinciples on New </w:t>
      </w:r>
      <w:proofErr w:type="spellStart"/>
      <w:r w:rsidR="00E334FA" w:rsidRPr="00E334FA">
        <w:rPr>
          <w:u w:val="single"/>
        </w:rPr>
        <w:t>gTLDs</w:t>
      </w:r>
      <w:proofErr w:type="spellEnd"/>
      <w:r w:rsidR="00E334FA">
        <w:t xml:space="preserve"> contains</w:t>
      </w:r>
      <w:r>
        <w:t xml:space="preserve"> the following principles:</w:t>
      </w:r>
    </w:p>
    <w:p w:rsidR="00112021" w:rsidRDefault="00112021"/>
    <w:p w:rsidR="00112021" w:rsidRPr="00112021" w:rsidRDefault="00112021" w:rsidP="00112021">
      <w:pPr>
        <w:ind w:left="720"/>
        <w:rPr>
          <w:i/>
        </w:rPr>
      </w:pPr>
      <w:r w:rsidRPr="00112021">
        <w:rPr>
          <w:i/>
        </w:rPr>
        <w:t xml:space="preserve">“2.3 The process for introducing new </w:t>
      </w:r>
      <w:proofErr w:type="spellStart"/>
      <w:r w:rsidRPr="00112021">
        <w:rPr>
          <w:i/>
        </w:rPr>
        <w:t>gTLDs</w:t>
      </w:r>
      <w:proofErr w:type="spellEnd"/>
      <w:r w:rsidRPr="00112021">
        <w:rPr>
          <w:i/>
        </w:rPr>
        <w:t xml:space="preserve"> must make proper allowance for prior third party rights, in particular trademark rights as well as rights in the names and acronyms of inter-governmental organizations (IGOs). </w:t>
      </w:r>
    </w:p>
    <w:p w:rsidR="00112021" w:rsidRPr="00112021" w:rsidRDefault="00112021" w:rsidP="00112021">
      <w:pPr>
        <w:ind w:left="720"/>
        <w:rPr>
          <w:i/>
        </w:rPr>
      </w:pPr>
      <w:r w:rsidRPr="00112021">
        <w:rPr>
          <w:i/>
        </w:rPr>
        <w:t xml:space="preserve"> </w:t>
      </w:r>
    </w:p>
    <w:p w:rsidR="00112021" w:rsidRPr="00112021" w:rsidRDefault="00112021" w:rsidP="00112021">
      <w:pPr>
        <w:ind w:left="720"/>
        <w:rPr>
          <w:i/>
        </w:rPr>
      </w:pPr>
      <w:r w:rsidRPr="00112021">
        <w:rPr>
          <w:i/>
        </w:rPr>
        <w:t xml:space="preserve">2.7 Applicant registries for new </w:t>
      </w:r>
      <w:proofErr w:type="spellStart"/>
      <w:r w:rsidRPr="00112021">
        <w:rPr>
          <w:i/>
        </w:rPr>
        <w:t>gTLDs</w:t>
      </w:r>
      <w:proofErr w:type="spellEnd"/>
      <w:r w:rsidRPr="00112021">
        <w:rPr>
          <w:i/>
        </w:rPr>
        <w:t xml:space="preserve"> should pledge to: </w:t>
      </w:r>
    </w:p>
    <w:p w:rsidR="00112021" w:rsidRPr="00112021" w:rsidRDefault="00112021" w:rsidP="00112021">
      <w:pPr>
        <w:ind w:left="720"/>
        <w:rPr>
          <w:i/>
        </w:rPr>
      </w:pPr>
    </w:p>
    <w:p w:rsidR="00112021" w:rsidRPr="00112021" w:rsidRDefault="00112021" w:rsidP="00112021">
      <w:pPr>
        <w:ind w:left="720"/>
        <w:rPr>
          <w:i/>
        </w:rPr>
      </w:pPr>
      <w:r w:rsidRPr="00112021">
        <w:rPr>
          <w:i/>
        </w:rPr>
        <w:t xml:space="preserve">(a) Adopt, before the new </w:t>
      </w:r>
      <w:proofErr w:type="spellStart"/>
      <w:r w:rsidRPr="00112021">
        <w:rPr>
          <w:i/>
        </w:rPr>
        <w:t>gTLD</w:t>
      </w:r>
      <w:proofErr w:type="spellEnd"/>
      <w:r w:rsidRPr="00112021">
        <w:rPr>
          <w:i/>
        </w:rPr>
        <w:t xml:space="preserve"> is introduced, appropriate procedures for blocking, at no cost and upon demand of governments, public authorities or IGOs, names with national or geographic significance at the second level of any new </w:t>
      </w:r>
      <w:proofErr w:type="spellStart"/>
      <w:r w:rsidRPr="00112021">
        <w:rPr>
          <w:i/>
        </w:rPr>
        <w:t>gTLD</w:t>
      </w:r>
      <w:proofErr w:type="spellEnd"/>
      <w:r w:rsidRPr="00112021">
        <w:rPr>
          <w:i/>
        </w:rPr>
        <w:t xml:space="preserve">.  </w:t>
      </w:r>
    </w:p>
    <w:p w:rsidR="00112021" w:rsidRPr="00112021" w:rsidRDefault="00112021" w:rsidP="00112021">
      <w:pPr>
        <w:ind w:left="720"/>
        <w:rPr>
          <w:i/>
        </w:rPr>
      </w:pPr>
    </w:p>
    <w:p w:rsidR="00112021" w:rsidRDefault="00112021" w:rsidP="00112021">
      <w:pPr>
        <w:ind w:left="720"/>
      </w:pPr>
      <w:r w:rsidRPr="00112021">
        <w:rPr>
          <w:i/>
        </w:rPr>
        <w:t xml:space="preserve">(b) Ensure procedures to allow governments, public authorities or IGOs to challenge abuses of names with national or geographic significance at the second level of any new </w:t>
      </w:r>
      <w:proofErr w:type="spellStart"/>
      <w:r w:rsidRPr="00112021">
        <w:rPr>
          <w:i/>
        </w:rPr>
        <w:t>gTLD</w:t>
      </w:r>
      <w:proofErr w:type="spellEnd"/>
      <w:r w:rsidRPr="00112021">
        <w:rPr>
          <w:i/>
        </w:rPr>
        <w:t>.”</w:t>
      </w:r>
    </w:p>
    <w:p w:rsidR="00112021" w:rsidRDefault="00112021" w:rsidP="00112021"/>
    <w:p w:rsidR="00E334FA" w:rsidRDefault="00E334FA" w:rsidP="00112021">
      <w:r>
        <w:t>This issue was not dealt with by the GNSO Reserved Names Working Group in its Final Report.</w:t>
      </w:r>
    </w:p>
    <w:p w:rsidR="00112021" w:rsidRDefault="00112021" w:rsidP="00112021"/>
    <w:p w:rsidR="00112021" w:rsidRPr="00112021" w:rsidRDefault="00112021">
      <w:pPr>
        <w:rPr>
          <w:b/>
          <w:i/>
        </w:rPr>
      </w:pPr>
      <w:r>
        <w:rPr>
          <w:b/>
          <w:i/>
        </w:rPr>
        <w:t xml:space="preserve">(b) </w:t>
      </w:r>
      <w:r w:rsidR="00E334FA">
        <w:rPr>
          <w:b/>
          <w:i/>
        </w:rPr>
        <w:t xml:space="preserve">Staff </w:t>
      </w:r>
      <w:r w:rsidRPr="00112021">
        <w:rPr>
          <w:b/>
          <w:i/>
        </w:rPr>
        <w:t>Recommendation</w:t>
      </w:r>
      <w:r w:rsidR="00E334FA">
        <w:rPr>
          <w:b/>
          <w:i/>
        </w:rPr>
        <w:t xml:space="preserve"> in the Issue Report</w:t>
      </w:r>
      <w:r w:rsidRPr="00112021">
        <w:rPr>
          <w:b/>
          <w:i/>
        </w:rPr>
        <w:t>:</w:t>
      </w:r>
    </w:p>
    <w:p w:rsidR="007D7D42" w:rsidRDefault="007D7D42"/>
    <w:p w:rsidR="00E334FA" w:rsidRDefault="00E334FA" w:rsidP="00B73A7C">
      <w:pPr>
        <w:pStyle w:val="ListParagraph"/>
        <w:numPr>
          <w:ilvl w:val="0"/>
          <w:numId w:val="1"/>
        </w:numPr>
        <w:spacing w:after="120"/>
        <w:contextualSpacing w:val="0"/>
      </w:pPr>
      <w:r>
        <w:t xml:space="preserve">“Staff does not recommend a PDP on the protection of IGO names and abbreviations at this time. </w:t>
      </w:r>
    </w:p>
    <w:p w:rsidR="00E334FA" w:rsidRDefault="00E334FA" w:rsidP="00B73A7C">
      <w:pPr>
        <w:pStyle w:val="ListParagraph"/>
        <w:numPr>
          <w:ilvl w:val="0"/>
          <w:numId w:val="1"/>
        </w:numPr>
        <w:spacing w:after="120"/>
        <w:contextualSpacing w:val="0"/>
      </w:pPr>
      <w:r>
        <w:t xml:space="preserve">Staff recommends that </w:t>
      </w:r>
      <w:r w:rsidRPr="00E334FA">
        <w:rPr>
          <w:u w:val="single"/>
        </w:rPr>
        <w:t xml:space="preserve">new </w:t>
      </w:r>
      <w:proofErr w:type="spellStart"/>
      <w:r w:rsidRPr="00E334FA">
        <w:rPr>
          <w:u w:val="single"/>
        </w:rPr>
        <w:t>gTLD</w:t>
      </w:r>
      <w:proofErr w:type="spellEnd"/>
      <w:r w:rsidRPr="00E334FA">
        <w:rPr>
          <w:u w:val="single"/>
        </w:rPr>
        <w:t xml:space="preserve"> agreements may provide for protection of IGO names and abbreviations as a contractual condition for new </w:t>
      </w:r>
      <w:proofErr w:type="spellStart"/>
      <w:r w:rsidRPr="00E334FA">
        <w:rPr>
          <w:u w:val="single"/>
        </w:rPr>
        <w:t>gTLDs</w:t>
      </w:r>
      <w:proofErr w:type="spellEnd"/>
      <w:r>
        <w:t xml:space="preserve">. </w:t>
      </w:r>
    </w:p>
    <w:p w:rsidR="00E334FA" w:rsidRDefault="00E334FA" w:rsidP="00B73A7C">
      <w:pPr>
        <w:pStyle w:val="ListParagraph"/>
        <w:numPr>
          <w:ilvl w:val="0"/>
          <w:numId w:val="1"/>
        </w:numPr>
        <w:spacing w:after="120"/>
        <w:contextualSpacing w:val="0"/>
      </w:pPr>
      <w:r>
        <w:t xml:space="preserve">Staff recommends that </w:t>
      </w:r>
      <w:r w:rsidRPr="00E334FA">
        <w:rPr>
          <w:u w:val="single"/>
        </w:rPr>
        <w:t xml:space="preserve">a separate Dispute Resolution Procedure be developed for IGO names and abbreviations as domain names at the second or third level in new </w:t>
      </w:r>
      <w:proofErr w:type="spellStart"/>
      <w:r w:rsidRPr="00E334FA">
        <w:rPr>
          <w:u w:val="single"/>
        </w:rPr>
        <w:t>gTLDs</w:t>
      </w:r>
      <w:proofErr w:type="spellEnd"/>
      <w:r w:rsidRPr="00E334FA">
        <w:rPr>
          <w:u w:val="single"/>
        </w:rPr>
        <w:t xml:space="preserve"> and that a framework be developed for handling objections or challenges related to IGO names and abbreviations in the upcoming application round</w:t>
      </w:r>
      <w:r>
        <w:t xml:space="preserve"> for new </w:t>
      </w:r>
      <w:proofErr w:type="spellStart"/>
      <w:r>
        <w:t>gTLDs</w:t>
      </w:r>
      <w:proofErr w:type="spellEnd"/>
      <w:r>
        <w:t xml:space="preserve">. </w:t>
      </w:r>
    </w:p>
    <w:p w:rsidR="00E334FA" w:rsidRDefault="00E334FA" w:rsidP="00B73A7C">
      <w:pPr>
        <w:pStyle w:val="ListParagraph"/>
        <w:numPr>
          <w:ilvl w:val="0"/>
          <w:numId w:val="1"/>
        </w:numPr>
        <w:spacing w:after="120"/>
        <w:contextualSpacing w:val="0"/>
      </w:pPr>
      <w:r>
        <w:t xml:space="preserve">Once the DRP has been developed, staff recommends that the GNSO Council consider launching a PDP to investigate its application to existing </w:t>
      </w:r>
      <w:proofErr w:type="spellStart"/>
      <w:r>
        <w:t>gTLDs</w:t>
      </w:r>
    </w:p>
    <w:p w:rsidR="00E334FA" w:rsidRDefault="00E334FA" w:rsidP="00B73A7C">
      <w:pPr>
        <w:pStyle w:val="ListParagraph"/>
        <w:numPr>
          <w:ilvl w:val="0"/>
          <w:numId w:val="1"/>
        </w:numPr>
        <w:spacing w:after="120"/>
        <w:contextualSpacing w:val="0"/>
      </w:pPr>
      <w:proofErr w:type="spellEnd"/>
      <w:r>
        <w:t xml:space="preserve">In the alternative, the GNSO Council may consider forming a Working Group or assistance group to collaborate on a DRP for IGO names and abbreviations and conduct a PDP for application of the DRP to existing </w:t>
      </w:r>
      <w:proofErr w:type="spellStart"/>
      <w:r>
        <w:t>gTLDs</w:t>
      </w:r>
      <w:proofErr w:type="spellEnd"/>
      <w:r>
        <w:t xml:space="preserve">. </w:t>
      </w:r>
    </w:p>
    <w:p w:rsidR="00112021" w:rsidRDefault="00E334FA" w:rsidP="00B73A7C">
      <w:pPr>
        <w:pStyle w:val="ListParagraph"/>
        <w:numPr>
          <w:ilvl w:val="0"/>
          <w:numId w:val="1"/>
        </w:numPr>
        <w:spacing w:after="120"/>
        <w:contextualSpacing w:val="0"/>
      </w:pPr>
      <w:r>
        <w:t>The GNSO Council may also consider extending the work of the Protections of Rights of Others (PRO) Working Group to develop a DRP for IGO names and abbreviations.</w:t>
      </w:r>
    </w:p>
    <w:p w:rsidR="00E334FA" w:rsidRDefault="00E334FA" w:rsidP="00E334FA"/>
    <w:p w:rsidR="00B73A7C" w:rsidRPr="00D40C40" w:rsidRDefault="00D40C40" w:rsidP="00E334FA">
      <w:pPr>
        <w:rPr>
          <w:b/>
          <w:i/>
        </w:rPr>
      </w:pPr>
      <w:r w:rsidRPr="00D40C40">
        <w:rPr>
          <w:b/>
          <w:i/>
        </w:rPr>
        <w:t>(c) Outcome</w:t>
      </w:r>
      <w:r>
        <w:rPr>
          <w:b/>
          <w:i/>
        </w:rPr>
        <w:t>:</w:t>
      </w:r>
    </w:p>
    <w:p w:rsidR="00D40C40" w:rsidRDefault="00D40C40" w:rsidP="00E334FA"/>
    <w:p w:rsidR="00D40C40" w:rsidRDefault="00D40C40" w:rsidP="00E334FA">
      <w:r>
        <w:t>No further work was undertaken by the GNSO as a motion failed to carry in the GNSO Council due to lack of votes.</w:t>
      </w:r>
    </w:p>
    <w:p w:rsidR="00D40C40" w:rsidRDefault="00D40C40" w:rsidP="00E334FA">
      <w:pPr>
        <w:pBdr>
          <w:bottom w:val="single" w:sz="12" w:space="1" w:color="auto"/>
        </w:pBdr>
      </w:pPr>
    </w:p>
    <w:p w:rsidR="00D40C40" w:rsidRDefault="00D40C40" w:rsidP="00E334FA"/>
    <w:p w:rsidR="007D7D42" w:rsidRDefault="007D7D42"/>
    <w:sectPr w:rsidR="007D7D42"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C32" w:rsidRDefault="00150C32" w:rsidP="00150C32">
      <w:r>
        <w:separator/>
      </w:r>
    </w:p>
  </w:endnote>
  <w:endnote w:type="continuationSeparator" w:id="0">
    <w:p w:rsidR="00150C32" w:rsidRDefault="00150C32" w:rsidP="0015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C32" w:rsidRDefault="00150C32" w:rsidP="00150C32">
      <w:r>
        <w:separator/>
      </w:r>
    </w:p>
  </w:footnote>
  <w:footnote w:type="continuationSeparator" w:id="0">
    <w:p w:rsidR="00150C32" w:rsidRDefault="00150C32" w:rsidP="00150C32">
      <w:r>
        <w:continuationSeparator/>
      </w:r>
    </w:p>
  </w:footnote>
  <w:footnote w:id="1">
    <w:p w:rsidR="00150C32" w:rsidRPr="00150C32" w:rsidRDefault="00150C32">
      <w:pPr>
        <w:pStyle w:val="FootnoteText"/>
        <w:rPr>
          <w:sz w:val="20"/>
          <w:szCs w:val="20"/>
        </w:rPr>
      </w:pPr>
      <w:r w:rsidRPr="00150C32">
        <w:rPr>
          <w:rStyle w:val="FootnoteReference"/>
          <w:sz w:val="20"/>
          <w:szCs w:val="20"/>
        </w:rPr>
        <w:footnoteRef/>
      </w:r>
      <w:r w:rsidRPr="00150C32">
        <w:rPr>
          <w:sz w:val="20"/>
          <w:szCs w:val="20"/>
        </w:rPr>
        <w:t xml:space="preserve"> Note that staff has underlined key passages, quotes, excerpts and recommendations that the Sub-Group or the full WG may wish to discuss further.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E6FF3"/>
    <w:multiLevelType w:val="hybridMultilevel"/>
    <w:tmpl w:val="07B2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D42"/>
    <w:rsid w:val="00112021"/>
    <w:rsid w:val="00150C32"/>
    <w:rsid w:val="002D7246"/>
    <w:rsid w:val="003A71C9"/>
    <w:rsid w:val="005C035F"/>
    <w:rsid w:val="00606F76"/>
    <w:rsid w:val="00672371"/>
    <w:rsid w:val="00771DE5"/>
    <w:rsid w:val="007D7D42"/>
    <w:rsid w:val="008463F3"/>
    <w:rsid w:val="0086706F"/>
    <w:rsid w:val="008B16E0"/>
    <w:rsid w:val="008D7BBD"/>
    <w:rsid w:val="00A9584F"/>
    <w:rsid w:val="00B73A7C"/>
    <w:rsid w:val="00BD748C"/>
    <w:rsid w:val="00C174B8"/>
    <w:rsid w:val="00C95A8A"/>
    <w:rsid w:val="00D16ED3"/>
    <w:rsid w:val="00D40C40"/>
    <w:rsid w:val="00D85B79"/>
    <w:rsid w:val="00DE2F35"/>
    <w:rsid w:val="00E33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4B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334FA"/>
    <w:pPr>
      <w:ind w:left="720"/>
      <w:contextualSpacing/>
    </w:pPr>
  </w:style>
  <w:style w:type="paragraph" w:styleId="FootnoteText">
    <w:name w:val="footnote text"/>
    <w:basedOn w:val="Normal"/>
    <w:link w:val="FootnoteTextChar"/>
    <w:uiPriority w:val="99"/>
    <w:unhideWhenUsed/>
    <w:rsid w:val="00150C32"/>
  </w:style>
  <w:style w:type="character" w:customStyle="1" w:styleId="FootnoteTextChar">
    <w:name w:val="Footnote Text Char"/>
    <w:basedOn w:val="DefaultParagraphFont"/>
    <w:link w:val="FootnoteText"/>
    <w:uiPriority w:val="99"/>
    <w:rsid w:val="00150C32"/>
  </w:style>
  <w:style w:type="character" w:styleId="FootnoteReference">
    <w:name w:val="footnote reference"/>
    <w:basedOn w:val="DefaultParagraphFont"/>
    <w:uiPriority w:val="99"/>
    <w:unhideWhenUsed/>
    <w:rsid w:val="00150C3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4B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334FA"/>
    <w:pPr>
      <w:ind w:left="720"/>
      <w:contextualSpacing/>
    </w:pPr>
  </w:style>
  <w:style w:type="paragraph" w:styleId="FootnoteText">
    <w:name w:val="footnote text"/>
    <w:basedOn w:val="Normal"/>
    <w:link w:val="FootnoteTextChar"/>
    <w:uiPriority w:val="99"/>
    <w:unhideWhenUsed/>
    <w:rsid w:val="00150C32"/>
  </w:style>
  <w:style w:type="character" w:customStyle="1" w:styleId="FootnoteTextChar">
    <w:name w:val="Footnote Text Char"/>
    <w:basedOn w:val="DefaultParagraphFont"/>
    <w:link w:val="FootnoteText"/>
    <w:uiPriority w:val="99"/>
    <w:rsid w:val="00150C32"/>
  </w:style>
  <w:style w:type="character" w:styleId="FootnoteReference">
    <w:name w:val="footnote reference"/>
    <w:basedOn w:val="DefaultParagraphFont"/>
    <w:uiPriority w:val="99"/>
    <w:unhideWhenUsed/>
    <w:rsid w:val="00150C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940263">
      <w:bodyDiv w:val="1"/>
      <w:marLeft w:val="0"/>
      <w:marRight w:val="0"/>
      <w:marTop w:val="0"/>
      <w:marBottom w:val="0"/>
      <w:divBdr>
        <w:top w:val="none" w:sz="0" w:space="0" w:color="auto"/>
        <w:left w:val="none" w:sz="0" w:space="0" w:color="auto"/>
        <w:bottom w:val="none" w:sz="0" w:space="0" w:color="auto"/>
        <w:right w:val="none" w:sz="0" w:space="0" w:color="auto"/>
      </w:divBdr>
      <w:divsChild>
        <w:div w:id="768894989">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1665</Words>
  <Characters>9494</Characters>
  <Application>Microsoft Macintosh Word</Application>
  <DocSecurity>0</DocSecurity>
  <Lines>79</Lines>
  <Paragraphs>22</Paragraphs>
  <ScaleCrop>false</ScaleCrop>
  <Company>ICANN</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2014-09-30T21:04:00Z</dcterms:created>
  <dcterms:modified xsi:type="dcterms:W3CDTF">2014-09-30T21:04:00Z</dcterms:modified>
</cp:coreProperties>
</file>