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2B6" w:rsidRDefault="008E52B6" w:rsidP="008E52B6">
      <w:pPr>
        <w:rPr>
          <w:b/>
        </w:rPr>
      </w:pPr>
      <w:r w:rsidRPr="008E52B6">
        <w:rPr>
          <w:b/>
        </w:rPr>
        <w:t>BRIEFING NOTE ON SOVEREIGN IMMUNITY AND INTERNATIONAL ORGANIZATIONS (IOs)</w:t>
      </w:r>
    </w:p>
    <w:p w:rsidR="007214C7" w:rsidRDefault="007214C7" w:rsidP="008E52B6">
      <w:pPr>
        <w:rPr>
          <w:b/>
        </w:rPr>
      </w:pPr>
    </w:p>
    <w:p w:rsidR="003710C7" w:rsidRDefault="003710C7" w:rsidP="008E52B6">
      <w:pPr>
        <w:ind w:firstLine="720"/>
      </w:pPr>
      <w:r>
        <w:t xml:space="preserve">There are several aspects to sovereign immunity, ranging from immunity from jurisdiction to immunity from enforcement. In the context of the work of the IGO-INGO Curative Rights Working Group, the focus is on </w:t>
      </w:r>
      <w:r w:rsidRPr="007214C7">
        <w:rPr>
          <w:i/>
        </w:rPr>
        <w:t>jurisdictional immunity</w:t>
      </w:r>
      <w:r>
        <w:t>.</w:t>
      </w:r>
    </w:p>
    <w:p w:rsidR="003710C7" w:rsidRDefault="003710C7" w:rsidP="008E52B6">
      <w:pPr>
        <w:ind w:firstLine="720"/>
      </w:pPr>
    </w:p>
    <w:p w:rsidR="003710C7" w:rsidRDefault="007214C7" w:rsidP="008E52B6">
      <w:pPr>
        <w:ind w:firstLine="720"/>
      </w:pPr>
      <w:r>
        <w:t>T</w:t>
      </w:r>
      <w:r w:rsidR="00AB2870">
        <w:t>he WG’s task may be complicated by the fact that t</w:t>
      </w:r>
      <w:r w:rsidR="003710C7">
        <w:t xml:space="preserve">here is </w:t>
      </w:r>
      <w:r w:rsidR="003710C7" w:rsidRPr="007214C7">
        <w:rPr>
          <w:b/>
          <w:i/>
        </w:rPr>
        <w:t>no unive</w:t>
      </w:r>
      <w:r w:rsidR="008D3794">
        <w:rPr>
          <w:b/>
          <w:i/>
        </w:rPr>
        <w:t>rsal</w:t>
      </w:r>
      <w:bookmarkStart w:id="0" w:name="_GoBack"/>
      <w:bookmarkEnd w:id="0"/>
      <w:r w:rsidR="008D3794">
        <w:rPr>
          <w:b/>
          <w:i/>
        </w:rPr>
        <w:t xml:space="preserve"> legal rul</w:t>
      </w:r>
      <w:r w:rsidR="003710C7" w:rsidRPr="007214C7">
        <w:rPr>
          <w:b/>
          <w:i/>
        </w:rPr>
        <w:t>e that defines a single scope of jurisdictional immunity</w:t>
      </w:r>
      <w:r w:rsidR="003710C7">
        <w:t>.  Modern public international law has evolved such that the concept of “absolute” immunity has largely given way to the more nuanced idea of “restricted”</w:t>
      </w:r>
      <w:r w:rsidR="00555642">
        <w:t xml:space="preserve"> (or qualified) immunity, where the distinction will generally be drawn between whether the act in quest</w:t>
      </w:r>
      <w:r w:rsidR="00AB2870">
        <w:t xml:space="preserve">ion </w:t>
      </w:r>
      <w:r w:rsidR="00555642">
        <w:t xml:space="preserve">is a public </w:t>
      </w:r>
      <w:r w:rsidR="00AB2870">
        <w:t xml:space="preserve">(or official) </w:t>
      </w:r>
      <w:r w:rsidR="00555642">
        <w:t xml:space="preserve">act or one of a more private character, e.g. </w:t>
      </w:r>
      <w:r>
        <w:t xml:space="preserve">involving </w:t>
      </w:r>
      <w:r w:rsidR="00555642">
        <w:t xml:space="preserve">a commercial transaction. </w:t>
      </w:r>
      <w:r>
        <w:t>It would appear that</w:t>
      </w:r>
      <w:r w:rsidR="00AB2870">
        <w:t xml:space="preserve"> while States generally accept the abstract concept of sovereign immunity, they differ on the extent to which they will grant the immunity in particular cases.</w:t>
      </w:r>
      <w:r w:rsidR="006B2C43">
        <w:t xml:space="preserve"> Where IOs are concerned, an increasing number of countries now consider </w:t>
      </w:r>
      <w:r>
        <w:t>such</w:t>
      </w:r>
      <w:r w:rsidR="006B2C43">
        <w:t xml:space="preserve"> immunity to be functional only, i.e. to the extent necessary </w:t>
      </w:r>
      <w:r>
        <w:t>for the IO to perform its functions and fulfill its</w:t>
      </w:r>
      <w:r w:rsidR="006B2C43">
        <w:t xml:space="preserve"> objectives.</w:t>
      </w:r>
    </w:p>
    <w:p w:rsidR="00555642" w:rsidRDefault="00555642" w:rsidP="008E52B6">
      <w:pPr>
        <w:ind w:firstLine="720"/>
      </w:pPr>
    </w:p>
    <w:p w:rsidR="006B2C43" w:rsidRDefault="007214C7" w:rsidP="008E52B6">
      <w:pPr>
        <w:ind w:firstLine="720"/>
      </w:pPr>
      <w:r>
        <w:t>Additionally, a</w:t>
      </w:r>
      <w:r w:rsidR="00555642">
        <w:t xml:space="preserve"> distinction</w:t>
      </w:r>
      <w:r>
        <w:t xml:space="preserve"> may need to be drawn</w:t>
      </w:r>
      <w:r w:rsidR="00555642">
        <w:t xml:space="preserve"> between a State (or government) and an IO, </w:t>
      </w:r>
      <w:r w:rsidR="006B2C43">
        <w:t>given their different natures and the diversity of types of IOs. The distinction may matter in issues such as the source of</w:t>
      </w:r>
      <w:r w:rsidR="00555642">
        <w:t xml:space="preserve"> jurisdictional immunity – such as whether this is derived from treaty or from customary international law</w:t>
      </w:r>
      <w:r w:rsidR="00555642">
        <w:rPr>
          <w:rStyle w:val="FootnoteReference"/>
        </w:rPr>
        <w:footnoteReference w:id="1"/>
      </w:r>
      <w:r w:rsidR="00555642">
        <w:t xml:space="preserve"> – and </w:t>
      </w:r>
      <w:r w:rsidR="00AB2870">
        <w:t xml:space="preserve">in relation </w:t>
      </w:r>
      <w:r w:rsidR="00555642">
        <w:t>to spe</w:t>
      </w:r>
      <w:r w:rsidR="00AB2870">
        <w:t xml:space="preserve">cific questions such as when </w:t>
      </w:r>
      <w:r w:rsidR="00555642">
        <w:t>a</w:t>
      </w:r>
      <w:r w:rsidR="00AB2870">
        <w:t xml:space="preserve"> particular IO will be recognized by a particular national court</w:t>
      </w:r>
      <w:r w:rsidR="00555642">
        <w:t xml:space="preserve"> as possessing legal personality within that country.</w:t>
      </w:r>
      <w:r w:rsidR="006B2C43">
        <w:t xml:space="preserve"> </w:t>
      </w:r>
    </w:p>
    <w:p w:rsidR="006B2C43" w:rsidRDefault="006B2C43" w:rsidP="008E52B6">
      <w:pPr>
        <w:ind w:firstLine="720"/>
      </w:pPr>
    </w:p>
    <w:p w:rsidR="00AB2870" w:rsidRDefault="00AB2870" w:rsidP="008E52B6">
      <w:pPr>
        <w:ind w:firstLine="720"/>
      </w:pPr>
      <w:r>
        <w:t xml:space="preserve">Several countries have enacted legislation governing the issue of sovereign immunity for foreign States as well as for IOs. These include: </w:t>
      </w:r>
    </w:p>
    <w:p w:rsidR="00AB2870" w:rsidRDefault="00AB2870" w:rsidP="008E52B6">
      <w:pPr>
        <w:ind w:firstLine="720"/>
      </w:pPr>
    </w:p>
    <w:p w:rsidR="00AB2870" w:rsidRDefault="00AB2870" w:rsidP="008E52B6">
      <w:pPr>
        <w:ind w:firstLine="720"/>
      </w:pPr>
      <w:r w:rsidRPr="007214C7">
        <w:rPr>
          <w:b/>
          <w:i/>
        </w:rPr>
        <w:t>Australia</w:t>
      </w:r>
      <w:r>
        <w:t xml:space="preserve"> – the </w:t>
      </w:r>
      <w:r w:rsidRPr="007214C7">
        <w:rPr>
          <w:i/>
        </w:rPr>
        <w:t>Foreign States Immunities Act</w:t>
      </w:r>
      <w:r>
        <w:t xml:space="preserve"> (1985), granting immunity t</w:t>
      </w:r>
      <w:r w:rsidR="002937F4">
        <w:t xml:space="preserve">o foreign States as well as individuals or corporations that are </w:t>
      </w:r>
      <w:r>
        <w:t>their agencies and instrumentalities</w:t>
      </w:r>
      <w:r w:rsidR="002937F4">
        <w:t>,</w:t>
      </w:r>
      <w:r>
        <w:t xml:space="preserve"> subject to certain exceptions</w:t>
      </w:r>
      <w:r w:rsidR="002937F4">
        <w:t xml:space="preserve"> (including a “commercial transactions” exception)</w:t>
      </w:r>
    </w:p>
    <w:p w:rsidR="002937F4" w:rsidRDefault="002937F4" w:rsidP="008E52B6">
      <w:pPr>
        <w:ind w:firstLine="720"/>
      </w:pPr>
    </w:p>
    <w:p w:rsidR="002937F4" w:rsidRDefault="002937F4" w:rsidP="008E52B6">
      <w:pPr>
        <w:ind w:firstLine="720"/>
      </w:pPr>
      <w:r w:rsidRPr="007214C7">
        <w:rPr>
          <w:b/>
          <w:i/>
        </w:rPr>
        <w:t>Canada</w:t>
      </w:r>
      <w:r>
        <w:t xml:space="preserve"> – the </w:t>
      </w:r>
      <w:r w:rsidRPr="007214C7">
        <w:rPr>
          <w:i/>
        </w:rPr>
        <w:t>State Immunity Act</w:t>
      </w:r>
      <w:r>
        <w:t xml:space="preserve"> (1985), granting immunity to foreign States, their political subdivisions and agencies, subject to certain exceptions (including a “commercial activity” exception)</w:t>
      </w:r>
    </w:p>
    <w:p w:rsidR="005C4923" w:rsidRDefault="005C4923" w:rsidP="008E52B6">
      <w:pPr>
        <w:ind w:firstLine="720"/>
      </w:pPr>
    </w:p>
    <w:p w:rsidR="005C4923" w:rsidRDefault="005C4923" w:rsidP="008E52B6">
      <w:pPr>
        <w:ind w:firstLine="720"/>
      </w:pPr>
      <w:r w:rsidRPr="005C4923">
        <w:rPr>
          <w:b/>
          <w:i/>
        </w:rPr>
        <w:t>Malaysia</w:t>
      </w:r>
      <w:r>
        <w:t xml:space="preserve"> – the International Organizations (Privileges and Immunities) Act (1992), applying the two Conventions protecting the UN and its specialized agencies </w:t>
      </w:r>
      <w:r>
        <w:lastRenderedPageBreak/>
        <w:t>(see below) as well as extending protection to other international organizations to be designated from time to time by the Minister for Foreign Affairs</w:t>
      </w:r>
    </w:p>
    <w:p w:rsidR="008E1455" w:rsidRDefault="008E1455" w:rsidP="008E52B6">
      <w:pPr>
        <w:ind w:firstLine="720"/>
      </w:pPr>
    </w:p>
    <w:p w:rsidR="008E1455" w:rsidRDefault="008E1455" w:rsidP="008E52B6">
      <w:pPr>
        <w:ind w:firstLine="720"/>
      </w:pPr>
      <w:r w:rsidRPr="008E1455">
        <w:rPr>
          <w:b/>
          <w:i/>
        </w:rPr>
        <w:t>The United Kingdom</w:t>
      </w:r>
      <w:r>
        <w:t xml:space="preserve"> – the International </w:t>
      </w:r>
      <w:proofErr w:type="spellStart"/>
      <w:r>
        <w:t>Organisations</w:t>
      </w:r>
      <w:proofErr w:type="spellEnd"/>
      <w:r>
        <w:t xml:space="preserve"> Act (19</w:t>
      </w:r>
      <w:r w:rsidR="003F08E8">
        <w:t>68</w:t>
      </w:r>
      <w:r>
        <w:t>), granting immunity to those IOs that the UK is a member of and that have been recognized to have legal personality by an Order in Council</w:t>
      </w:r>
    </w:p>
    <w:p w:rsidR="002937F4" w:rsidRDefault="002937F4" w:rsidP="008E52B6">
      <w:pPr>
        <w:ind w:firstLine="720"/>
      </w:pPr>
    </w:p>
    <w:p w:rsidR="002937F4" w:rsidRDefault="002937F4" w:rsidP="008E52B6">
      <w:pPr>
        <w:ind w:firstLine="720"/>
      </w:pPr>
      <w:r w:rsidRPr="007214C7">
        <w:rPr>
          <w:b/>
          <w:i/>
        </w:rPr>
        <w:t>The United States</w:t>
      </w:r>
      <w:r>
        <w:t xml:space="preserve"> – the Foreign Sovereign Immunities Act (1976), granting immunity to foreign States, their political subdivisions, agencies and instrumentalities, subject to certain exceptions (including a “commercial activity” exception)</w:t>
      </w:r>
    </w:p>
    <w:p w:rsidR="006B2C43" w:rsidRDefault="006B2C43" w:rsidP="008E52B6">
      <w:pPr>
        <w:ind w:firstLine="720"/>
      </w:pPr>
    </w:p>
    <w:p w:rsidR="006B2C43" w:rsidRDefault="006B2C43" w:rsidP="008E52B6">
      <w:pPr>
        <w:ind w:firstLine="720"/>
        <w:rPr>
          <w:rFonts w:eastAsia="Times New Roman" w:cs="Times New Roman"/>
        </w:rPr>
      </w:pPr>
      <w:r w:rsidRPr="007214C7">
        <w:rPr>
          <w:b/>
          <w:u w:val="single"/>
        </w:rPr>
        <w:t>Note</w:t>
      </w:r>
      <w:r>
        <w:t xml:space="preserve">: the United States has a separate statute covering IO immunity, the </w:t>
      </w:r>
      <w:r w:rsidRPr="007214C7">
        <w:rPr>
          <w:i/>
        </w:rPr>
        <w:t>International Organizations Immunities Act</w:t>
      </w:r>
      <w:r>
        <w:t xml:space="preserve"> (1945), granting IOs </w:t>
      </w:r>
      <w:r>
        <w:rPr>
          <w:rFonts w:eastAsia="Times New Roman" w:cs="Times New Roman"/>
        </w:rPr>
        <w:t>“the same immunity from suit and every form of judicial process as is enjoyed by foreign governments”. Because the IOIA predates the FSIA, there is some disagreement amongst US courts and academics as to whether the more restrictive provisions of the FSIA n</w:t>
      </w:r>
      <w:r w:rsidR="007214C7">
        <w:rPr>
          <w:rFonts w:eastAsia="Times New Roman" w:cs="Times New Roman"/>
        </w:rPr>
        <w:t xml:space="preserve">ow apply also to IOs – this arises because </w:t>
      </w:r>
      <w:r>
        <w:rPr>
          <w:rFonts w:eastAsia="Times New Roman" w:cs="Times New Roman"/>
        </w:rPr>
        <w:t>the IOIA was enacted</w:t>
      </w:r>
      <w:r w:rsidR="007214C7">
        <w:rPr>
          <w:rFonts w:eastAsia="Times New Roman" w:cs="Times New Roman"/>
        </w:rPr>
        <w:t xml:space="preserve"> when</w:t>
      </w:r>
      <w:r>
        <w:rPr>
          <w:rFonts w:eastAsia="Times New Roman" w:cs="Times New Roman"/>
        </w:rPr>
        <w:t xml:space="preserve"> the prevailing theory of immunity was more </w:t>
      </w:r>
      <w:r w:rsidR="007214C7">
        <w:rPr>
          <w:rFonts w:eastAsia="Times New Roman" w:cs="Times New Roman"/>
        </w:rPr>
        <w:t xml:space="preserve">of an </w:t>
      </w:r>
      <w:r>
        <w:rPr>
          <w:rFonts w:eastAsia="Times New Roman" w:cs="Times New Roman"/>
        </w:rPr>
        <w:t>absolute</w:t>
      </w:r>
      <w:r w:rsidR="007214C7">
        <w:rPr>
          <w:rFonts w:eastAsia="Times New Roman" w:cs="Times New Roman"/>
        </w:rPr>
        <w:t xml:space="preserve"> one</w:t>
      </w:r>
      <w:r>
        <w:rPr>
          <w:rFonts w:eastAsia="Times New Roman" w:cs="Times New Roman"/>
        </w:rPr>
        <w:t xml:space="preserve">). </w:t>
      </w:r>
    </w:p>
    <w:p w:rsidR="007214C7" w:rsidRDefault="007214C7" w:rsidP="008E52B6">
      <w:pPr>
        <w:ind w:firstLine="720"/>
        <w:rPr>
          <w:rFonts w:eastAsia="Times New Roman" w:cs="Times New Roman"/>
        </w:rPr>
      </w:pPr>
    </w:p>
    <w:p w:rsidR="007214C7" w:rsidRDefault="005C4923" w:rsidP="008E52B6">
      <w:pPr>
        <w:ind w:firstLine="720"/>
        <w:rPr>
          <w:rFonts w:eastAsia="Times New Roman" w:cs="Times New Roman"/>
        </w:rPr>
      </w:pPr>
      <w:r>
        <w:rPr>
          <w:rFonts w:eastAsia="Times New Roman" w:cs="Times New Roman"/>
        </w:rPr>
        <w:t>Some relevant international treaties:</w:t>
      </w:r>
    </w:p>
    <w:p w:rsidR="005C4923" w:rsidRDefault="005C4923" w:rsidP="008E52B6">
      <w:pPr>
        <w:ind w:firstLine="720"/>
        <w:rPr>
          <w:rFonts w:eastAsia="Times New Roman" w:cs="Times New Roman"/>
        </w:rPr>
      </w:pPr>
    </w:p>
    <w:p w:rsidR="00857562" w:rsidRPr="003F08E8" w:rsidRDefault="00857562" w:rsidP="003F08E8">
      <w:pPr>
        <w:pStyle w:val="ListParagraph"/>
        <w:numPr>
          <w:ilvl w:val="0"/>
          <w:numId w:val="1"/>
        </w:numPr>
        <w:rPr>
          <w:rFonts w:eastAsia="Times New Roman" w:cs="Times New Roman"/>
        </w:rPr>
      </w:pPr>
      <w:r w:rsidRPr="003F08E8">
        <w:rPr>
          <w:rFonts w:eastAsia="Times New Roman" w:cs="Times New Roman"/>
        </w:rPr>
        <w:t xml:space="preserve">Vienna Convention on the Law of Treaties (1969): </w:t>
      </w:r>
      <w:hyperlink r:id="rId8" w:history="1">
        <w:r w:rsidRPr="003F08E8">
          <w:rPr>
            <w:rStyle w:val="Hyperlink"/>
            <w:rFonts w:eastAsia="Times New Roman" w:cs="Times New Roman"/>
          </w:rPr>
          <w:t>http://legal.un.org/ilc/texts/instruments/english/conventions/1_1_1969.pdf</w:t>
        </w:r>
      </w:hyperlink>
      <w:r w:rsidRPr="003F08E8">
        <w:rPr>
          <w:rFonts w:eastAsia="Times New Roman" w:cs="Times New Roman"/>
        </w:rPr>
        <w:t xml:space="preserve"> (in force from 1980</w:t>
      </w:r>
      <w:r w:rsidR="005E0AA0" w:rsidRPr="003F08E8">
        <w:rPr>
          <w:rFonts w:eastAsia="Times New Roman" w:cs="Times New Roman"/>
        </w:rPr>
        <w:t>; governs the negotiation, entry, reservation and interpretation of treaties</w:t>
      </w:r>
      <w:r w:rsidRPr="003F08E8">
        <w:rPr>
          <w:rFonts w:eastAsia="Times New Roman" w:cs="Times New Roman"/>
        </w:rPr>
        <w:t>)</w:t>
      </w:r>
    </w:p>
    <w:p w:rsidR="00857562" w:rsidRDefault="00857562" w:rsidP="008E52B6">
      <w:pPr>
        <w:ind w:firstLine="720"/>
        <w:rPr>
          <w:rFonts w:eastAsia="Times New Roman" w:cs="Times New Roman"/>
        </w:rPr>
      </w:pPr>
    </w:p>
    <w:p w:rsidR="005C4923" w:rsidRPr="003F08E8" w:rsidRDefault="005C4923" w:rsidP="003F08E8">
      <w:pPr>
        <w:pStyle w:val="ListParagraph"/>
        <w:numPr>
          <w:ilvl w:val="0"/>
          <w:numId w:val="1"/>
        </w:numPr>
        <w:rPr>
          <w:rFonts w:eastAsia="Times New Roman" w:cs="Times New Roman"/>
        </w:rPr>
      </w:pPr>
      <w:r w:rsidRPr="003F08E8">
        <w:rPr>
          <w:rFonts w:eastAsia="Times New Roman" w:cs="Times New Roman"/>
        </w:rPr>
        <w:t>Vienna Convention</w:t>
      </w:r>
      <w:r w:rsidR="00857562" w:rsidRPr="003F08E8">
        <w:rPr>
          <w:rFonts w:eastAsia="Times New Roman" w:cs="Times New Roman"/>
        </w:rPr>
        <w:t xml:space="preserve"> on the Law of Treaties between States and International Organizations or between International Organizations (1986): </w:t>
      </w:r>
      <w:hyperlink r:id="rId9" w:history="1">
        <w:r w:rsidR="00857562" w:rsidRPr="003F08E8">
          <w:rPr>
            <w:rStyle w:val="Hyperlink"/>
            <w:rFonts w:eastAsia="Times New Roman" w:cs="Times New Roman"/>
          </w:rPr>
          <w:t>http://legal.un.org/ilc/texts/instruments/english/conventions/1_2_1986.pdf</w:t>
        </w:r>
      </w:hyperlink>
      <w:r w:rsidR="00857562" w:rsidRPr="003F08E8">
        <w:rPr>
          <w:rFonts w:eastAsia="Times New Roman" w:cs="Times New Roman"/>
        </w:rPr>
        <w:t xml:space="preserve"> (not yet in force</w:t>
      </w:r>
      <w:r w:rsidR="005E0AA0" w:rsidRPr="003F08E8">
        <w:rPr>
          <w:rFonts w:eastAsia="Times New Roman" w:cs="Times New Roman"/>
        </w:rPr>
        <w:t>; would extend VCLTI to IOs</w:t>
      </w:r>
      <w:r w:rsidR="00857562" w:rsidRPr="003F08E8">
        <w:rPr>
          <w:rFonts w:eastAsia="Times New Roman" w:cs="Times New Roman"/>
        </w:rPr>
        <w:t>)</w:t>
      </w:r>
    </w:p>
    <w:p w:rsidR="005C4923" w:rsidRDefault="005C4923" w:rsidP="008E52B6">
      <w:pPr>
        <w:ind w:firstLine="720"/>
        <w:rPr>
          <w:rFonts w:eastAsia="Times New Roman" w:cs="Times New Roman"/>
        </w:rPr>
      </w:pPr>
    </w:p>
    <w:p w:rsidR="005C4923" w:rsidRPr="003F08E8" w:rsidRDefault="005C4923" w:rsidP="003F08E8">
      <w:pPr>
        <w:pStyle w:val="ListParagraph"/>
        <w:numPr>
          <w:ilvl w:val="0"/>
          <w:numId w:val="1"/>
        </w:numPr>
        <w:rPr>
          <w:rFonts w:eastAsia="Times New Roman" w:cs="Times New Roman"/>
        </w:rPr>
      </w:pPr>
      <w:r w:rsidRPr="003F08E8">
        <w:rPr>
          <w:rFonts w:eastAsia="Times New Roman" w:cs="Times New Roman"/>
        </w:rPr>
        <w:t>Convention on the Privileges and Immunities of the United Nations (1946)</w:t>
      </w:r>
      <w:r w:rsidR="008E1455">
        <w:rPr>
          <w:rStyle w:val="FootnoteReference"/>
          <w:rFonts w:eastAsia="Times New Roman" w:cs="Times New Roman"/>
        </w:rPr>
        <w:footnoteReference w:id="2"/>
      </w:r>
      <w:r w:rsidRPr="003F08E8">
        <w:rPr>
          <w:rFonts w:eastAsia="Times New Roman" w:cs="Times New Roman"/>
        </w:rPr>
        <w:t xml:space="preserve">: </w:t>
      </w:r>
      <w:hyperlink r:id="rId10" w:history="1">
        <w:r w:rsidRPr="003F08E8">
          <w:rPr>
            <w:rStyle w:val="Hyperlink"/>
            <w:rFonts w:eastAsia="Times New Roman" w:cs="Times New Roman"/>
          </w:rPr>
          <w:t>http://www.un.org/en/ethics/pdf/convention.pdf</w:t>
        </w:r>
      </w:hyperlink>
      <w:r w:rsidRPr="003F08E8">
        <w:rPr>
          <w:rFonts w:eastAsia="Times New Roman" w:cs="Times New Roman"/>
        </w:rPr>
        <w:t xml:space="preserve"> (this confirms the “functional immunity” principle, at least as it applies to the UN)</w:t>
      </w:r>
    </w:p>
    <w:p w:rsidR="005C4923" w:rsidRDefault="005C4923" w:rsidP="008E52B6">
      <w:pPr>
        <w:ind w:firstLine="720"/>
        <w:rPr>
          <w:rFonts w:eastAsia="Times New Roman" w:cs="Times New Roman"/>
        </w:rPr>
      </w:pPr>
    </w:p>
    <w:p w:rsidR="005C4923" w:rsidRPr="003F08E8" w:rsidRDefault="005C4923" w:rsidP="003F08E8">
      <w:pPr>
        <w:pStyle w:val="ListParagraph"/>
        <w:numPr>
          <w:ilvl w:val="0"/>
          <w:numId w:val="1"/>
        </w:numPr>
        <w:rPr>
          <w:rFonts w:eastAsia="Times New Roman" w:cs="Times New Roman"/>
        </w:rPr>
      </w:pPr>
      <w:r w:rsidRPr="003F08E8">
        <w:rPr>
          <w:rFonts w:eastAsia="Times New Roman" w:cs="Times New Roman"/>
        </w:rPr>
        <w:t xml:space="preserve">Convention on Privileges and Immunities of the Specialized Agencies of the UN (1947): </w:t>
      </w:r>
      <w:hyperlink r:id="rId11" w:history="1">
        <w:r w:rsidRPr="003F08E8">
          <w:rPr>
            <w:rStyle w:val="Hyperlink"/>
            <w:rFonts w:eastAsia="Times New Roman" w:cs="Times New Roman"/>
          </w:rPr>
          <w:t>http://untreaty.un.org/unts/1_60000/1/35/00001733.pdf</w:t>
        </w:r>
      </w:hyperlink>
      <w:r w:rsidRPr="003F08E8">
        <w:rPr>
          <w:rFonts w:eastAsia="Times New Roman" w:cs="Times New Roman"/>
        </w:rPr>
        <w:t xml:space="preserve"> (extending the same principle to the UN’s specialized agencies)</w:t>
      </w:r>
    </w:p>
    <w:p w:rsidR="007214C7" w:rsidRDefault="007214C7" w:rsidP="007214C7">
      <w:pPr>
        <w:jc w:val="center"/>
        <w:rPr>
          <w:rFonts w:eastAsia="Times New Roman" w:cs="Times New Roman"/>
        </w:rPr>
      </w:pPr>
      <w:r>
        <w:rPr>
          <w:rFonts w:eastAsia="Times New Roman" w:cs="Times New Roman"/>
        </w:rPr>
        <w:t>________________________________________</w:t>
      </w:r>
    </w:p>
    <w:p w:rsidR="007214C7" w:rsidRDefault="007214C7" w:rsidP="007214C7">
      <w:pPr>
        <w:rPr>
          <w:rFonts w:eastAsia="Times New Roman" w:cs="Times New Roman"/>
        </w:rPr>
      </w:pPr>
    </w:p>
    <w:p w:rsidR="007214C7" w:rsidRDefault="007214C7" w:rsidP="008E52B6">
      <w:pPr>
        <w:ind w:firstLine="720"/>
        <w:rPr>
          <w:rFonts w:eastAsia="Times New Roman" w:cs="Times New Roman"/>
        </w:rPr>
      </w:pPr>
    </w:p>
    <w:p w:rsidR="007214C7" w:rsidRDefault="007214C7" w:rsidP="008E52B6">
      <w:pPr>
        <w:ind w:firstLine="720"/>
        <w:rPr>
          <w:rFonts w:eastAsia="Times New Roman" w:cs="Times New Roman"/>
        </w:rPr>
      </w:pPr>
    </w:p>
    <w:p w:rsidR="007214C7" w:rsidRDefault="007214C7" w:rsidP="008E52B6">
      <w:pPr>
        <w:ind w:firstLine="720"/>
        <w:rPr>
          <w:rFonts w:eastAsia="Times New Roman" w:cs="Times New Roman"/>
        </w:rPr>
      </w:pPr>
    </w:p>
    <w:p w:rsidR="007214C7" w:rsidRDefault="007214C7" w:rsidP="008E52B6">
      <w:pPr>
        <w:ind w:firstLine="720"/>
        <w:rPr>
          <w:rFonts w:eastAsia="Times New Roman" w:cs="Times New Roman"/>
        </w:rPr>
      </w:pPr>
    </w:p>
    <w:p w:rsidR="007214C7" w:rsidRDefault="007214C7" w:rsidP="008E52B6">
      <w:pPr>
        <w:ind w:firstLine="720"/>
      </w:pPr>
    </w:p>
    <w:p w:rsidR="002937F4" w:rsidRDefault="002937F4" w:rsidP="008E52B6">
      <w:pPr>
        <w:ind w:firstLine="720"/>
      </w:pPr>
    </w:p>
    <w:p w:rsidR="002937F4" w:rsidRDefault="002937F4" w:rsidP="008E52B6">
      <w:pPr>
        <w:ind w:firstLine="720"/>
      </w:pPr>
    </w:p>
    <w:p w:rsidR="00AB2870" w:rsidRDefault="00AB2870" w:rsidP="008E52B6">
      <w:pPr>
        <w:ind w:firstLine="720"/>
      </w:pPr>
    </w:p>
    <w:p w:rsidR="00AB2870" w:rsidRDefault="00AB2870" w:rsidP="008E52B6">
      <w:pPr>
        <w:ind w:firstLine="720"/>
      </w:pPr>
    </w:p>
    <w:p w:rsidR="003710C7" w:rsidRDefault="003710C7" w:rsidP="008E52B6">
      <w:pPr>
        <w:ind w:firstLine="720"/>
      </w:pPr>
    </w:p>
    <w:p w:rsidR="00EE51B4" w:rsidRDefault="00EE51B4" w:rsidP="008E52B6">
      <w:pPr>
        <w:ind w:firstLine="720"/>
      </w:pPr>
    </w:p>
    <w:p w:rsidR="00EE51B4" w:rsidRDefault="00EE51B4" w:rsidP="008E52B6">
      <w:pPr>
        <w:ind w:firstLine="720"/>
      </w:pPr>
    </w:p>
    <w:p w:rsidR="00EE51B4" w:rsidRDefault="00EE51B4" w:rsidP="008E52B6">
      <w:pPr>
        <w:ind w:firstLine="720"/>
      </w:pPr>
    </w:p>
    <w:p w:rsidR="00EE51B4" w:rsidRDefault="00EE51B4" w:rsidP="008E52B6">
      <w:pPr>
        <w:ind w:firstLine="720"/>
      </w:pPr>
    </w:p>
    <w:sectPr w:rsidR="00EE51B4"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455" w:rsidRDefault="008E1455" w:rsidP="00555642">
      <w:r>
        <w:separator/>
      </w:r>
    </w:p>
  </w:endnote>
  <w:endnote w:type="continuationSeparator" w:id="0">
    <w:p w:rsidR="008E1455" w:rsidRDefault="008E1455" w:rsidP="0055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455" w:rsidRDefault="008E1455" w:rsidP="00555642">
      <w:r>
        <w:separator/>
      </w:r>
    </w:p>
  </w:footnote>
  <w:footnote w:type="continuationSeparator" w:id="0">
    <w:p w:rsidR="008E1455" w:rsidRDefault="008E1455" w:rsidP="00555642">
      <w:r>
        <w:continuationSeparator/>
      </w:r>
    </w:p>
  </w:footnote>
  <w:footnote w:id="1">
    <w:p w:rsidR="008E1455" w:rsidRPr="00555642" w:rsidRDefault="008E1455">
      <w:pPr>
        <w:pStyle w:val="FootnoteText"/>
        <w:rPr>
          <w:sz w:val="20"/>
          <w:szCs w:val="20"/>
        </w:rPr>
      </w:pPr>
      <w:r>
        <w:rPr>
          <w:rStyle w:val="FootnoteReference"/>
        </w:rPr>
        <w:footnoteRef/>
      </w:r>
      <w:r>
        <w:t xml:space="preserve"> </w:t>
      </w:r>
      <w:r>
        <w:rPr>
          <w:sz w:val="20"/>
          <w:szCs w:val="20"/>
        </w:rPr>
        <w:t>Our limited research on t</w:t>
      </w:r>
      <w:r w:rsidRPr="00555642">
        <w:rPr>
          <w:sz w:val="20"/>
          <w:szCs w:val="20"/>
        </w:rPr>
        <w:t xml:space="preserve">he case law on this seems to </w:t>
      </w:r>
      <w:r>
        <w:rPr>
          <w:sz w:val="20"/>
          <w:szCs w:val="20"/>
        </w:rPr>
        <w:t>show the position to be</w:t>
      </w:r>
      <w:r w:rsidRPr="00555642">
        <w:rPr>
          <w:sz w:val="20"/>
          <w:szCs w:val="20"/>
        </w:rPr>
        <w:t xml:space="preserve"> rather fragmented, with conflicting decisions in some countries (e.g. Belgium, France, Germany, Italy) and a prevalent view in others (e.g. the Netherlands courts have tended to base IO immunity on customary international law).</w:t>
      </w:r>
    </w:p>
  </w:footnote>
  <w:footnote w:id="2">
    <w:p w:rsidR="008E1455" w:rsidRPr="008E1455" w:rsidRDefault="008E1455">
      <w:pPr>
        <w:pStyle w:val="FootnoteText"/>
        <w:rPr>
          <w:sz w:val="20"/>
          <w:szCs w:val="20"/>
        </w:rPr>
      </w:pPr>
      <w:r w:rsidRPr="008E1455">
        <w:rPr>
          <w:rStyle w:val="FootnoteReference"/>
          <w:sz w:val="20"/>
          <w:szCs w:val="20"/>
        </w:rPr>
        <w:footnoteRef/>
      </w:r>
      <w:r w:rsidRPr="008E1455">
        <w:rPr>
          <w:sz w:val="20"/>
          <w:szCs w:val="20"/>
        </w:rPr>
        <w:t xml:space="preserve"> Similar treaties have been concluded with regard to entities such as the Council of Europe and the Organization of American States.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058A1"/>
    <w:multiLevelType w:val="hybridMultilevel"/>
    <w:tmpl w:val="9B56C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B4"/>
    <w:rsid w:val="002937F4"/>
    <w:rsid w:val="003710C7"/>
    <w:rsid w:val="003F08E8"/>
    <w:rsid w:val="00555642"/>
    <w:rsid w:val="005C4923"/>
    <w:rsid w:val="005E0AA0"/>
    <w:rsid w:val="006B2C43"/>
    <w:rsid w:val="007214C7"/>
    <w:rsid w:val="00857562"/>
    <w:rsid w:val="008D3794"/>
    <w:rsid w:val="008E1455"/>
    <w:rsid w:val="008E52B6"/>
    <w:rsid w:val="00A5271A"/>
    <w:rsid w:val="00A9584F"/>
    <w:rsid w:val="00AB2870"/>
    <w:rsid w:val="00D16ED3"/>
    <w:rsid w:val="00EE5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55642"/>
  </w:style>
  <w:style w:type="character" w:customStyle="1" w:styleId="FootnoteTextChar">
    <w:name w:val="Footnote Text Char"/>
    <w:basedOn w:val="DefaultParagraphFont"/>
    <w:link w:val="FootnoteText"/>
    <w:uiPriority w:val="99"/>
    <w:rsid w:val="00555642"/>
  </w:style>
  <w:style w:type="character" w:styleId="FootnoteReference">
    <w:name w:val="footnote reference"/>
    <w:basedOn w:val="DefaultParagraphFont"/>
    <w:uiPriority w:val="99"/>
    <w:unhideWhenUsed/>
    <w:rsid w:val="00555642"/>
    <w:rPr>
      <w:vertAlign w:val="superscript"/>
    </w:rPr>
  </w:style>
  <w:style w:type="character" w:styleId="Hyperlink">
    <w:name w:val="Hyperlink"/>
    <w:basedOn w:val="DefaultParagraphFont"/>
    <w:uiPriority w:val="99"/>
    <w:unhideWhenUsed/>
    <w:rsid w:val="005C4923"/>
    <w:rPr>
      <w:color w:val="0000FF" w:themeColor="hyperlink"/>
      <w:u w:val="single"/>
    </w:rPr>
  </w:style>
  <w:style w:type="paragraph" w:styleId="ListParagraph">
    <w:name w:val="List Paragraph"/>
    <w:basedOn w:val="Normal"/>
    <w:uiPriority w:val="34"/>
    <w:qFormat/>
    <w:rsid w:val="003F08E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55642"/>
  </w:style>
  <w:style w:type="character" w:customStyle="1" w:styleId="FootnoteTextChar">
    <w:name w:val="Footnote Text Char"/>
    <w:basedOn w:val="DefaultParagraphFont"/>
    <w:link w:val="FootnoteText"/>
    <w:uiPriority w:val="99"/>
    <w:rsid w:val="00555642"/>
  </w:style>
  <w:style w:type="character" w:styleId="FootnoteReference">
    <w:name w:val="footnote reference"/>
    <w:basedOn w:val="DefaultParagraphFont"/>
    <w:uiPriority w:val="99"/>
    <w:unhideWhenUsed/>
    <w:rsid w:val="00555642"/>
    <w:rPr>
      <w:vertAlign w:val="superscript"/>
    </w:rPr>
  </w:style>
  <w:style w:type="character" w:styleId="Hyperlink">
    <w:name w:val="Hyperlink"/>
    <w:basedOn w:val="DefaultParagraphFont"/>
    <w:uiPriority w:val="99"/>
    <w:unhideWhenUsed/>
    <w:rsid w:val="005C4923"/>
    <w:rPr>
      <w:color w:val="0000FF" w:themeColor="hyperlink"/>
      <w:u w:val="single"/>
    </w:rPr>
  </w:style>
  <w:style w:type="paragraph" w:styleId="ListParagraph">
    <w:name w:val="List Paragraph"/>
    <w:basedOn w:val="Normal"/>
    <w:uiPriority w:val="34"/>
    <w:qFormat/>
    <w:rsid w:val="003F0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7397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untreaty.un.org/unts/1_60000/1/35/00001733.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legal.un.org/ilc/texts/instruments/english/conventions/1_1_1969.pdf" TargetMode="External"/><Relationship Id="rId9" Type="http://schemas.openxmlformats.org/officeDocument/2006/relationships/hyperlink" Target="http://legal.un.org/ilc/texts/instruments/english/conventions/1_2_1986.pdf" TargetMode="External"/><Relationship Id="rId10" Type="http://schemas.openxmlformats.org/officeDocument/2006/relationships/hyperlink" Target="http://www.un.org/en/ethics/pdf/conven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4150</Characters>
  <Application>Microsoft Macintosh Word</Application>
  <DocSecurity>0</DocSecurity>
  <Lines>34</Lines>
  <Paragraphs>9</Paragraphs>
  <ScaleCrop>false</ScaleCrop>
  <Company>ICANN</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2015-03-11T20:41:00Z</dcterms:created>
  <dcterms:modified xsi:type="dcterms:W3CDTF">2015-03-11T20:41:00Z</dcterms:modified>
</cp:coreProperties>
</file>