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0A" w:rsidRPr="002E280A" w:rsidRDefault="002E280A" w:rsidP="00D6605E">
      <w:pPr>
        <w:rPr>
          <w:rFonts w:asciiTheme="majorHAnsi" w:hAnsiTheme="majorHAnsi"/>
          <w:b/>
          <w:sz w:val="22"/>
          <w:szCs w:val="22"/>
        </w:rPr>
      </w:pPr>
      <w:r w:rsidRPr="002E280A">
        <w:rPr>
          <w:rFonts w:asciiTheme="majorHAnsi" w:hAnsiTheme="majorHAnsi"/>
          <w:b/>
          <w:sz w:val="22"/>
          <w:szCs w:val="22"/>
        </w:rPr>
        <w:t xml:space="preserve">GNSO COUNCIL BRIEFING NOTE TO THE </w:t>
      </w:r>
      <w:r w:rsidR="00064DF4">
        <w:rPr>
          <w:rFonts w:asciiTheme="majorHAnsi" w:hAnsiTheme="majorHAnsi"/>
          <w:b/>
          <w:sz w:val="22"/>
          <w:szCs w:val="22"/>
        </w:rPr>
        <w:t>ICANN BOARD</w:t>
      </w:r>
      <w:r w:rsidRPr="002E280A">
        <w:rPr>
          <w:rFonts w:asciiTheme="majorHAnsi" w:hAnsiTheme="majorHAnsi"/>
          <w:b/>
          <w:sz w:val="22"/>
          <w:szCs w:val="22"/>
        </w:rPr>
        <w:t xml:space="preserve"> NEW </w:t>
      </w:r>
      <w:proofErr w:type="spellStart"/>
      <w:r w:rsidRPr="002E280A">
        <w:rPr>
          <w:rFonts w:asciiTheme="majorHAnsi" w:hAnsiTheme="majorHAnsi"/>
          <w:b/>
          <w:sz w:val="22"/>
          <w:szCs w:val="22"/>
        </w:rPr>
        <w:t>gTLD</w:t>
      </w:r>
      <w:proofErr w:type="spellEnd"/>
      <w:r w:rsidRPr="002E280A">
        <w:rPr>
          <w:rFonts w:asciiTheme="majorHAnsi" w:hAnsiTheme="majorHAnsi"/>
          <w:b/>
          <w:sz w:val="22"/>
          <w:szCs w:val="22"/>
        </w:rPr>
        <w:t xml:space="preserve"> PROGRAM COMMITTEE </w:t>
      </w:r>
      <w:r w:rsidR="00064DF4">
        <w:rPr>
          <w:rFonts w:asciiTheme="majorHAnsi" w:hAnsiTheme="majorHAnsi"/>
          <w:b/>
          <w:sz w:val="22"/>
          <w:szCs w:val="22"/>
        </w:rPr>
        <w:t>REGARDING</w:t>
      </w:r>
      <w:r w:rsidRPr="002E280A">
        <w:rPr>
          <w:rFonts w:asciiTheme="majorHAnsi" w:hAnsiTheme="majorHAnsi"/>
          <w:b/>
          <w:sz w:val="22"/>
          <w:szCs w:val="22"/>
        </w:rPr>
        <w:t xml:space="preserve"> PROGRESS OF THE NEW POLICY DEVELOPMENT PROCESS TO </w:t>
      </w:r>
      <w:r w:rsidR="00064DF4">
        <w:rPr>
          <w:rFonts w:asciiTheme="majorHAnsi" w:hAnsiTheme="majorHAnsi"/>
          <w:b/>
          <w:sz w:val="22"/>
          <w:szCs w:val="22"/>
        </w:rPr>
        <w:t xml:space="preserve">EXPLORE ACCESS TO </w:t>
      </w:r>
      <w:r w:rsidRPr="002E280A">
        <w:rPr>
          <w:rFonts w:asciiTheme="majorHAnsi" w:hAnsiTheme="majorHAnsi"/>
          <w:b/>
          <w:sz w:val="22"/>
          <w:szCs w:val="22"/>
        </w:rPr>
        <w:t>CURATIVE RIGHTS PROTECTION MECHANISMS</w:t>
      </w:r>
      <w:r w:rsidR="00064DF4">
        <w:rPr>
          <w:rFonts w:asciiTheme="majorHAnsi" w:hAnsiTheme="majorHAnsi"/>
          <w:b/>
          <w:sz w:val="22"/>
          <w:szCs w:val="22"/>
        </w:rPr>
        <w:t xml:space="preserve"> BY CERTAIN INTERNATIONAL ORGANIZATIONS</w:t>
      </w:r>
    </w:p>
    <w:p w:rsidR="002E280A" w:rsidRPr="002E280A" w:rsidRDefault="002E280A" w:rsidP="00D6605E">
      <w:pPr>
        <w:rPr>
          <w:rFonts w:asciiTheme="majorHAnsi" w:hAnsiTheme="majorHAnsi"/>
          <w:sz w:val="22"/>
          <w:szCs w:val="22"/>
        </w:rPr>
      </w:pPr>
    </w:p>
    <w:p w:rsidR="002E280A" w:rsidRPr="002E280A" w:rsidRDefault="002E280A" w:rsidP="00D6605E">
      <w:pPr>
        <w:rPr>
          <w:rFonts w:asciiTheme="majorHAnsi" w:hAnsiTheme="majorHAnsi"/>
          <w:b/>
          <w:sz w:val="22"/>
          <w:szCs w:val="22"/>
        </w:rPr>
      </w:pPr>
      <w:r w:rsidRPr="002E280A">
        <w:rPr>
          <w:rFonts w:asciiTheme="majorHAnsi" w:hAnsiTheme="majorHAnsi"/>
          <w:b/>
          <w:sz w:val="22"/>
          <w:szCs w:val="22"/>
        </w:rPr>
        <w:t>Summary &amp; Key Dates</w:t>
      </w:r>
    </w:p>
    <w:p w:rsidR="002E280A" w:rsidRPr="002E280A" w:rsidRDefault="002E280A" w:rsidP="00D6605E">
      <w:pPr>
        <w:rPr>
          <w:rFonts w:asciiTheme="majorHAnsi" w:hAnsiTheme="majorHAnsi"/>
          <w:sz w:val="22"/>
          <w:szCs w:val="22"/>
        </w:rPr>
      </w:pPr>
    </w:p>
    <w:p w:rsidR="002E280A" w:rsidRPr="002E280A" w:rsidRDefault="002E280A" w:rsidP="005E6CD8">
      <w:pPr>
        <w:ind w:firstLine="720"/>
        <w:rPr>
          <w:rFonts w:asciiTheme="majorHAnsi" w:hAnsiTheme="majorHAnsi"/>
          <w:sz w:val="22"/>
          <w:szCs w:val="22"/>
        </w:rPr>
      </w:pPr>
      <w:r w:rsidRPr="002E280A">
        <w:rPr>
          <w:rFonts w:asciiTheme="majorHAnsi" w:hAnsiTheme="majorHAnsi"/>
          <w:sz w:val="22"/>
          <w:szCs w:val="22"/>
        </w:rPr>
        <w:t xml:space="preserve">On </w:t>
      </w:r>
      <w:r w:rsidR="00CB67A4">
        <w:rPr>
          <w:rFonts w:asciiTheme="majorHAnsi" w:hAnsiTheme="majorHAnsi"/>
          <w:b/>
          <w:sz w:val="22"/>
          <w:szCs w:val="22"/>
        </w:rPr>
        <w:t>5</w:t>
      </w:r>
      <w:r w:rsidRPr="002E280A">
        <w:rPr>
          <w:rFonts w:asciiTheme="majorHAnsi" w:hAnsiTheme="majorHAnsi"/>
          <w:b/>
          <w:sz w:val="22"/>
          <w:szCs w:val="22"/>
        </w:rPr>
        <w:t xml:space="preserve"> June 2014</w:t>
      </w:r>
      <w:r w:rsidRPr="002E280A">
        <w:rPr>
          <w:rFonts w:asciiTheme="majorHAnsi" w:hAnsiTheme="majorHAnsi"/>
          <w:sz w:val="22"/>
          <w:szCs w:val="22"/>
        </w:rPr>
        <w:t xml:space="preserve"> the GNSO Council voted to initiate a new Policy Development Process (PDP), to explore possible amendments to the Uniform Dispute Resolution Policy (UDRP) and the Uniform Rapid Suspension (URS) procedure in order to enable access to and use of such curative rights protection mechanisms by protected International Governmental Organizations (IGOs) and International Non-Governmental Organizations (INGOs). On </w:t>
      </w:r>
      <w:r w:rsidRPr="002E280A">
        <w:rPr>
          <w:rFonts w:asciiTheme="majorHAnsi" w:hAnsiTheme="majorHAnsi"/>
          <w:b/>
          <w:sz w:val="22"/>
          <w:szCs w:val="22"/>
        </w:rPr>
        <w:t>25 June 2014</w:t>
      </w:r>
      <w:r w:rsidRPr="002E280A">
        <w:rPr>
          <w:rFonts w:asciiTheme="majorHAnsi" w:hAnsiTheme="majorHAnsi"/>
          <w:sz w:val="22"/>
          <w:szCs w:val="22"/>
        </w:rPr>
        <w:t xml:space="preserve"> the GNSO Council approved the </w:t>
      </w:r>
      <w:hyperlink r:id="rId8" w:history="1">
        <w:r w:rsidR="00F326C2">
          <w:rPr>
            <w:rStyle w:val="Hyperlink"/>
            <w:rFonts w:asciiTheme="majorHAnsi" w:eastAsia="Times New Roman" w:hAnsiTheme="majorHAnsi" w:cs="Arial"/>
            <w:sz w:val="22"/>
            <w:szCs w:val="22"/>
            <w:shd w:val="clear" w:color="auto" w:fill="FFFFFF"/>
          </w:rPr>
          <w:t>Charter</w:t>
        </w:r>
      </w:hyperlink>
      <w:r w:rsidR="00F326C2">
        <w:rPr>
          <w:rStyle w:val="Hyperlink"/>
          <w:rFonts w:asciiTheme="majorHAnsi" w:eastAsia="Times New Roman" w:hAnsiTheme="majorHAnsi" w:cs="Arial"/>
          <w:sz w:val="22"/>
          <w:szCs w:val="22"/>
          <w:shd w:val="clear" w:color="auto" w:fill="FFFFFF"/>
        </w:rPr>
        <w:t xml:space="preserve"> </w:t>
      </w:r>
      <w:r w:rsidRPr="002E280A">
        <w:rPr>
          <w:rFonts w:asciiTheme="majorHAnsi" w:hAnsiTheme="majorHAnsi"/>
          <w:sz w:val="22"/>
          <w:szCs w:val="22"/>
        </w:rPr>
        <w:t xml:space="preserve">for the new Working Group </w:t>
      </w:r>
      <w:r w:rsidR="002A7410">
        <w:rPr>
          <w:rFonts w:asciiTheme="majorHAnsi" w:hAnsiTheme="majorHAnsi"/>
          <w:sz w:val="22"/>
          <w:szCs w:val="22"/>
        </w:rPr>
        <w:t xml:space="preserve">(WG) </w:t>
      </w:r>
      <w:r w:rsidRPr="002E280A">
        <w:rPr>
          <w:rFonts w:asciiTheme="majorHAnsi" w:hAnsiTheme="majorHAnsi"/>
          <w:sz w:val="22"/>
          <w:szCs w:val="22"/>
        </w:rPr>
        <w:t xml:space="preserve">to be formed for this PDP. The first meeting of the new WG is scheduled for </w:t>
      </w:r>
      <w:r w:rsidRPr="002E280A">
        <w:rPr>
          <w:rFonts w:asciiTheme="majorHAnsi" w:hAnsiTheme="majorHAnsi"/>
          <w:b/>
          <w:sz w:val="22"/>
          <w:szCs w:val="22"/>
        </w:rPr>
        <w:t>11 August 2014</w:t>
      </w:r>
      <w:r w:rsidRPr="002E280A">
        <w:rPr>
          <w:rFonts w:asciiTheme="majorHAnsi" w:hAnsiTheme="majorHAnsi"/>
          <w:sz w:val="22"/>
          <w:szCs w:val="22"/>
        </w:rPr>
        <w:t>.</w:t>
      </w:r>
    </w:p>
    <w:p w:rsidR="002E280A" w:rsidRPr="002E280A" w:rsidRDefault="002E280A" w:rsidP="00D6605E">
      <w:pPr>
        <w:rPr>
          <w:rFonts w:asciiTheme="majorHAnsi" w:hAnsiTheme="majorHAnsi"/>
          <w:sz w:val="22"/>
          <w:szCs w:val="22"/>
        </w:rPr>
      </w:pPr>
    </w:p>
    <w:p w:rsidR="002E280A" w:rsidRPr="002E280A" w:rsidRDefault="002E280A" w:rsidP="00D6605E">
      <w:pPr>
        <w:rPr>
          <w:rFonts w:asciiTheme="majorHAnsi" w:hAnsiTheme="majorHAnsi"/>
          <w:b/>
          <w:sz w:val="22"/>
          <w:szCs w:val="22"/>
        </w:rPr>
      </w:pPr>
      <w:r w:rsidRPr="002E280A">
        <w:rPr>
          <w:rFonts w:asciiTheme="majorHAnsi" w:hAnsiTheme="majorHAnsi"/>
          <w:b/>
          <w:sz w:val="22"/>
          <w:szCs w:val="22"/>
        </w:rPr>
        <w:t>Background</w:t>
      </w:r>
    </w:p>
    <w:p w:rsidR="002E280A" w:rsidRPr="002E280A" w:rsidRDefault="002E280A" w:rsidP="00D6605E">
      <w:pPr>
        <w:rPr>
          <w:rFonts w:asciiTheme="majorHAnsi" w:hAnsiTheme="majorHAnsi"/>
          <w:sz w:val="22"/>
          <w:szCs w:val="22"/>
        </w:rPr>
      </w:pPr>
    </w:p>
    <w:p w:rsidR="002E280A" w:rsidRPr="002E280A" w:rsidRDefault="002E280A" w:rsidP="005E6CD8">
      <w:pPr>
        <w:ind w:firstLine="720"/>
        <w:rPr>
          <w:rFonts w:asciiTheme="majorHAnsi" w:hAnsiTheme="majorHAnsi"/>
          <w:sz w:val="22"/>
          <w:szCs w:val="22"/>
        </w:rPr>
      </w:pPr>
      <w:r w:rsidRPr="002E280A">
        <w:rPr>
          <w:rFonts w:asciiTheme="majorHAnsi" w:hAnsiTheme="majorHAnsi"/>
          <w:sz w:val="22"/>
          <w:szCs w:val="22"/>
        </w:rPr>
        <w:t xml:space="preserve">One of the consensus recommendations from the GNSO’s Working Group on the Protection of International Organization Names in All </w:t>
      </w:r>
      <w:proofErr w:type="spellStart"/>
      <w:r w:rsidRPr="002E280A">
        <w:rPr>
          <w:rFonts w:asciiTheme="majorHAnsi" w:hAnsiTheme="majorHAnsi"/>
          <w:sz w:val="22"/>
          <w:szCs w:val="22"/>
        </w:rPr>
        <w:t>gTLDs</w:t>
      </w:r>
      <w:proofErr w:type="spellEnd"/>
      <w:r w:rsidRPr="002E280A">
        <w:rPr>
          <w:rFonts w:asciiTheme="majorHAnsi" w:hAnsiTheme="majorHAnsi"/>
          <w:sz w:val="22"/>
          <w:szCs w:val="22"/>
        </w:rPr>
        <w:t xml:space="preserve"> (IGO-INGO WG) was for the GNSO Council to request an Issue Report, in accordance with the ICANN Bylaws as a mandatory preceding step to a possible PDP relating to the access to and use of curative rights protection mechanisms by IGOs and INGOs. This was one of the consensus recommendations unanimously adopted by the GNSO Council in November 2013.  </w:t>
      </w:r>
    </w:p>
    <w:p w:rsidR="002E280A" w:rsidRPr="002E280A" w:rsidRDefault="002E280A" w:rsidP="00D6605E">
      <w:pPr>
        <w:rPr>
          <w:rFonts w:asciiTheme="majorHAnsi" w:hAnsiTheme="majorHAnsi"/>
          <w:sz w:val="22"/>
          <w:szCs w:val="22"/>
        </w:rPr>
      </w:pPr>
      <w:r w:rsidRPr="002E280A">
        <w:rPr>
          <w:rFonts w:asciiTheme="majorHAnsi" w:hAnsiTheme="majorHAnsi"/>
          <w:sz w:val="22"/>
          <w:szCs w:val="22"/>
        </w:rPr>
        <w:t xml:space="preserve"> </w:t>
      </w:r>
    </w:p>
    <w:p w:rsidR="002E280A" w:rsidRDefault="002E280A" w:rsidP="005E6CD8">
      <w:pPr>
        <w:ind w:firstLine="720"/>
        <w:rPr>
          <w:rFonts w:asciiTheme="majorHAnsi" w:hAnsiTheme="majorHAnsi"/>
          <w:sz w:val="22"/>
          <w:szCs w:val="22"/>
        </w:rPr>
      </w:pPr>
      <w:r w:rsidRPr="002E280A">
        <w:rPr>
          <w:rFonts w:asciiTheme="majorHAnsi" w:hAnsiTheme="majorHAnsi"/>
          <w:sz w:val="22"/>
          <w:szCs w:val="22"/>
        </w:rPr>
        <w:t xml:space="preserve">The Preliminary Issue Report was </w:t>
      </w:r>
      <w:hyperlink r:id="rId9" w:history="1">
        <w:r w:rsidRPr="002E280A">
          <w:rPr>
            <w:rStyle w:val="Hyperlink"/>
            <w:rFonts w:asciiTheme="majorHAnsi" w:hAnsiTheme="majorHAnsi"/>
            <w:sz w:val="22"/>
            <w:szCs w:val="22"/>
          </w:rPr>
          <w:t>published for public comment</w:t>
        </w:r>
      </w:hyperlink>
      <w:r w:rsidRPr="002E280A">
        <w:rPr>
          <w:rFonts w:asciiTheme="majorHAnsi" w:hAnsiTheme="majorHAnsi"/>
          <w:sz w:val="22"/>
          <w:szCs w:val="22"/>
        </w:rPr>
        <w:t xml:space="preserve"> on 10 March 2014, and a </w:t>
      </w:r>
      <w:hyperlink r:id="rId10" w:history="1">
        <w:r w:rsidRPr="002E280A">
          <w:rPr>
            <w:rStyle w:val="Hyperlink"/>
            <w:rFonts w:asciiTheme="majorHAnsi" w:hAnsiTheme="majorHAnsi"/>
            <w:sz w:val="22"/>
            <w:szCs w:val="22"/>
          </w:rPr>
          <w:t>Final Issue Report</w:t>
        </w:r>
      </w:hyperlink>
      <w:r w:rsidRPr="002E280A">
        <w:rPr>
          <w:rFonts w:asciiTheme="majorHAnsi" w:hAnsiTheme="majorHAnsi"/>
          <w:sz w:val="22"/>
          <w:szCs w:val="22"/>
        </w:rPr>
        <w:t xml:space="preserve"> taking into account all public comments received was prepared</w:t>
      </w:r>
      <w:r w:rsidR="002A7410">
        <w:rPr>
          <w:rFonts w:asciiTheme="majorHAnsi" w:hAnsiTheme="majorHAnsi"/>
          <w:sz w:val="22"/>
          <w:szCs w:val="22"/>
        </w:rPr>
        <w:t xml:space="preserve"> for the GNSO Council</w:t>
      </w:r>
      <w:r w:rsidR="00CB67A4">
        <w:rPr>
          <w:rFonts w:asciiTheme="majorHAnsi" w:hAnsiTheme="majorHAnsi"/>
          <w:sz w:val="22"/>
          <w:szCs w:val="22"/>
        </w:rPr>
        <w:t>. On 5</w:t>
      </w:r>
      <w:r w:rsidRPr="002E280A">
        <w:rPr>
          <w:rFonts w:asciiTheme="majorHAnsi" w:hAnsiTheme="majorHAnsi"/>
          <w:sz w:val="22"/>
          <w:szCs w:val="22"/>
        </w:rPr>
        <w:t xml:space="preserve"> June 2014 the GNSO Council </w:t>
      </w:r>
      <w:hyperlink r:id="rId11" w:anchor="201406" w:history="1">
        <w:r w:rsidRPr="002E280A">
          <w:rPr>
            <w:rStyle w:val="Hyperlink"/>
            <w:rFonts w:asciiTheme="majorHAnsi" w:hAnsiTheme="majorHAnsi"/>
            <w:sz w:val="22"/>
            <w:szCs w:val="22"/>
          </w:rPr>
          <w:t>resolved</w:t>
        </w:r>
      </w:hyperlink>
      <w:r w:rsidRPr="002E280A">
        <w:rPr>
          <w:rFonts w:asciiTheme="majorHAnsi" w:hAnsiTheme="majorHAnsi"/>
          <w:sz w:val="22"/>
          <w:szCs w:val="22"/>
        </w:rPr>
        <w:t xml:space="preserve"> to initiate the PDP, and on 25 June 2014 the GNSO Council </w:t>
      </w:r>
      <w:hyperlink r:id="rId12" w:anchor="201406" w:history="1">
        <w:r w:rsidRPr="002E280A">
          <w:rPr>
            <w:rStyle w:val="Hyperlink"/>
            <w:rFonts w:asciiTheme="majorHAnsi" w:hAnsiTheme="majorHAnsi"/>
            <w:sz w:val="22"/>
            <w:szCs w:val="22"/>
          </w:rPr>
          <w:t>adopted</w:t>
        </w:r>
      </w:hyperlink>
      <w:r w:rsidRPr="002E280A">
        <w:rPr>
          <w:rFonts w:asciiTheme="majorHAnsi" w:hAnsiTheme="majorHAnsi"/>
          <w:sz w:val="22"/>
          <w:szCs w:val="22"/>
        </w:rPr>
        <w:t xml:space="preserve"> the charter for the PDP Working Group to be formed. </w:t>
      </w:r>
      <w:r>
        <w:rPr>
          <w:rFonts w:asciiTheme="majorHAnsi" w:hAnsiTheme="majorHAnsi"/>
          <w:sz w:val="22"/>
          <w:szCs w:val="22"/>
        </w:rPr>
        <w:t>Following this, a</w:t>
      </w:r>
      <w:r w:rsidRPr="002E280A">
        <w:rPr>
          <w:rFonts w:asciiTheme="majorHAnsi" w:hAnsiTheme="majorHAnsi"/>
          <w:sz w:val="22"/>
          <w:szCs w:val="22"/>
        </w:rPr>
        <w:t xml:space="preserve"> </w:t>
      </w:r>
      <w:hyperlink r:id="rId13" w:history="1">
        <w:r>
          <w:rPr>
            <w:rStyle w:val="Hyperlink"/>
            <w:rFonts w:asciiTheme="majorHAnsi" w:hAnsiTheme="majorHAnsi"/>
            <w:sz w:val="22"/>
            <w:szCs w:val="22"/>
          </w:rPr>
          <w:t>Call for Volunteers</w:t>
        </w:r>
      </w:hyperlink>
      <w:r>
        <w:rPr>
          <w:rFonts w:asciiTheme="majorHAnsi" w:hAnsiTheme="majorHAnsi"/>
          <w:sz w:val="22"/>
          <w:szCs w:val="22"/>
        </w:rPr>
        <w:t xml:space="preserve"> </w:t>
      </w:r>
      <w:r w:rsidRPr="002E280A">
        <w:rPr>
          <w:rFonts w:asciiTheme="majorHAnsi" w:hAnsiTheme="majorHAnsi"/>
          <w:sz w:val="22"/>
          <w:szCs w:val="22"/>
        </w:rPr>
        <w:t>to participate in the Working Group (WG) was sent out to all ICANN Supporting Organizations and Advisory Committees, and published on the GNSO website as well as through other ICANN-supported communications channels, including social media networks.  The first meeting of the new WG is scheduled for Monday 11 August 2014.</w:t>
      </w:r>
    </w:p>
    <w:p w:rsidR="002E280A" w:rsidRDefault="002E280A" w:rsidP="00D6605E">
      <w:pPr>
        <w:rPr>
          <w:rFonts w:asciiTheme="majorHAnsi" w:hAnsiTheme="majorHAnsi"/>
          <w:sz w:val="22"/>
          <w:szCs w:val="22"/>
        </w:rPr>
      </w:pPr>
    </w:p>
    <w:p w:rsidR="002E280A" w:rsidRPr="002E280A" w:rsidRDefault="002E280A" w:rsidP="00D6605E">
      <w:pPr>
        <w:rPr>
          <w:rFonts w:asciiTheme="majorHAnsi" w:hAnsiTheme="majorHAnsi"/>
          <w:b/>
          <w:sz w:val="22"/>
          <w:szCs w:val="22"/>
        </w:rPr>
      </w:pPr>
      <w:r w:rsidRPr="002E280A">
        <w:rPr>
          <w:rFonts w:asciiTheme="majorHAnsi" w:hAnsiTheme="majorHAnsi"/>
          <w:b/>
          <w:sz w:val="22"/>
          <w:szCs w:val="22"/>
        </w:rPr>
        <w:t>Scope of the PDP</w:t>
      </w:r>
    </w:p>
    <w:p w:rsidR="002E280A" w:rsidRDefault="002E280A" w:rsidP="00D6605E">
      <w:pPr>
        <w:rPr>
          <w:rFonts w:asciiTheme="majorHAnsi" w:hAnsiTheme="majorHAnsi"/>
          <w:sz w:val="22"/>
          <w:szCs w:val="22"/>
        </w:rPr>
      </w:pPr>
    </w:p>
    <w:p w:rsidR="002E280A" w:rsidRDefault="002E280A" w:rsidP="005E6CD8">
      <w:pPr>
        <w:ind w:firstLine="720"/>
        <w:rPr>
          <w:rFonts w:asciiTheme="majorHAnsi" w:hAnsiTheme="majorHAnsi"/>
          <w:sz w:val="22"/>
          <w:szCs w:val="22"/>
        </w:rPr>
      </w:pPr>
      <w:r>
        <w:rPr>
          <w:rFonts w:asciiTheme="majorHAnsi" w:hAnsiTheme="majorHAnsi"/>
          <w:sz w:val="22"/>
          <w:szCs w:val="22"/>
        </w:rPr>
        <w:t xml:space="preserve">The original IGO-INGO WG had previously drawn up a list of IGO and INGO names and acronyms for which certain protections, either at the top or the second level, were </w:t>
      </w:r>
      <w:hyperlink r:id="rId14" w:history="1">
        <w:r w:rsidR="002A7410">
          <w:rPr>
            <w:rStyle w:val="Hyperlink"/>
            <w:rFonts w:asciiTheme="majorHAnsi" w:hAnsiTheme="majorHAnsi"/>
            <w:sz w:val="22"/>
            <w:szCs w:val="22"/>
          </w:rPr>
          <w:t>recommended</w:t>
        </w:r>
      </w:hyperlink>
      <w:r w:rsidR="002A7410">
        <w:rPr>
          <w:rFonts w:asciiTheme="majorHAnsi" w:hAnsiTheme="majorHAnsi"/>
          <w:sz w:val="22"/>
          <w:szCs w:val="22"/>
        </w:rPr>
        <w:t xml:space="preserve">. </w:t>
      </w:r>
      <w:r>
        <w:rPr>
          <w:rFonts w:asciiTheme="majorHAnsi" w:hAnsiTheme="majorHAnsi"/>
          <w:sz w:val="22"/>
          <w:szCs w:val="22"/>
        </w:rPr>
        <w:t>As the current PDP stems from and is based on the consensus recommendations of that WG, the scope of this PDP is limited to considering only those IGO and INGO names and acronyms for which the IGO-INGO WG had agreed would be accorded protection.</w:t>
      </w:r>
    </w:p>
    <w:p w:rsidR="002E280A" w:rsidRDefault="002E280A" w:rsidP="00D6605E">
      <w:pPr>
        <w:rPr>
          <w:rFonts w:asciiTheme="majorHAnsi" w:hAnsiTheme="majorHAnsi"/>
          <w:sz w:val="22"/>
          <w:szCs w:val="22"/>
        </w:rPr>
      </w:pPr>
    </w:p>
    <w:p w:rsidR="00DE02FF" w:rsidRDefault="002E280A" w:rsidP="005E6CD8">
      <w:pPr>
        <w:ind w:firstLine="720"/>
        <w:rPr>
          <w:rFonts w:asciiTheme="majorHAnsi" w:eastAsia="Times New Roman" w:hAnsiTheme="majorHAnsi" w:cs="Arial"/>
          <w:sz w:val="22"/>
          <w:szCs w:val="22"/>
          <w:shd w:val="clear" w:color="auto" w:fill="FFFFFF"/>
        </w:rPr>
      </w:pPr>
      <w:r>
        <w:rPr>
          <w:rFonts w:asciiTheme="majorHAnsi" w:hAnsiTheme="majorHAnsi"/>
          <w:sz w:val="22"/>
          <w:szCs w:val="22"/>
        </w:rPr>
        <w:t>This new PDP WG was expressly chartered by the GNSO Council to “</w:t>
      </w:r>
      <w:r w:rsidRPr="002E280A">
        <w:rPr>
          <w:rFonts w:asciiTheme="majorHAnsi" w:eastAsia="Times New Roman" w:hAnsiTheme="majorHAnsi" w:cs="Arial"/>
          <w:sz w:val="22"/>
          <w:szCs w:val="22"/>
          <w:shd w:val="clear" w:color="auto" w:fill="FFFFFF"/>
        </w:rPr>
        <w:t>evaluate: (</w:t>
      </w:r>
      <w:proofErr w:type="spellStart"/>
      <w:r w:rsidRPr="002E280A">
        <w:rPr>
          <w:rFonts w:asciiTheme="majorHAnsi" w:eastAsia="Times New Roman" w:hAnsiTheme="majorHAnsi" w:cs="Arial"/>
          <w:sz w:val="22"/>
          <w:szCs w:val="22"/>
          <w:shd w:val="clear" w:color="auto" w:fill="FFFFFF"/>
        </w:rPr>
        <w:t>i</w:t>
      </w:r>
      <w:proofErr w:type="spellEnd"/>
      <w:r w:rsidRPr="002E280A">
        <w:rPr>
          <w:rFonts w:asciiTheme="majorHAnsi" w:eastAsia="Times New Roman" w:hAnsiTheme="majorHAnsi" w:cs="Arial"/>
          <w:sz w:val="22"/>
          <w:szCs w:val="22"/>
          <w:shd w:val="clear" w:color="auto" w:fill="FFFFFF"/>
        </w:rPr>
        <w:t>) whether the UDRP and/or URS should be amended (to enable their access and use by IGOs and INGOs whose identifiers had been recommended for protection by the IGO-INGO PDP WG) and if so, in what way; or (ii) whether a separate narrowly-tailored procedure modeled on these curative rights protection measures to apply only to protected IGO and INGO identifiers should be developed.”</w:t>
      </w:r>
      <w:r>
        <w:rPr>
          <w:rFonts w:asciiTheme="majorHAnsi" w:eastAsia="Times New Roman" w:hAnsiTheme="majorHAnsi" w:cs="Arial"/>
          <w:sz w:val="22"/>
          <w:szCs w:val="22"/>
          <w:shd w:val="clear" w:color="auto" w:fill="FFFFFF"/>
        </w:rPr>
        <w:t xml:space="preserve"> The WG’s </w:t>
      </w:r>
      <w:hyperlink r:id="rId15" w:history="1">
        <w:r w:rsidR="00DE02FF">
          <w:rPr>
            <w:rStyle w:val="Hyperlink"/>
            <w:rFonts w:asciiTheme="majorHAnsi" w:eastAsia="Times New Roman" w:hAnsiTheme="majorHAnsi" w:cs="Arial"/>
            <w:sz w:val="22"/>
            <w:szCs w:val="22"/>
            <w:shd w:val="clear" w:color="auto" w:fill="FFFFFF"/>
          </w:rPr>
          <w:t>Charter</w:t>
        </w:r>
      </w:hyperlink>
      <w:r w:rsidR="00DE02FF">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also </w:t>
      </w:r>
      <w:r w:rsidR="00DE02FF">
        <w:rPr>
          <w:rFonts w:asciiTheme="majorHAnsi" w:eastAsia="Times New Roman" w:hAnsiTheme="majorHAnsi" w:cs="Arial"/>
          <w:sz w:val="22"/>
          <w:szCs w:val="22"/>
          <w:shd w:val="clear" w:color="auto" w:fill="FFFFFF"/>
        </w:rPr>
        <w:t>lists</w:t>
      </w:r>
      <w:r>
        <w:rPr>
          <w:rFonts w:asciiTheme="majorHAnsi" w:eastAsia="Times New Roman" w:hAnsiTheme="majorHAnsi" w:cs="Arial"/>
          <w:sz w:val="22"/>
          <w:szCs w:val="22"/>
          <w:shd w:val="clear" w:color="auto" w:fill="FFFFFF"/>
        </w:rPr>
        <w:t xml:space="preserve"> certain early-stage actions</w:t>
      </w:r>
      <w:r w:rsidR="00DE02FF">
        <w:rPr>
          <w:rFonts w:asciiTheme="majorHAnsi" w:eastAsia="Times New Roman" w:hAnsiTheme="majorHAnsi" w:cs="Arial"/>
          <w:sz w:val="22"/>
          <w:szCs w:val="22"/>
          <w:shd w:val="clear" w:color="auto" w:fill="FFFFFF"/>
        </w:rPr>
        <w:t xml:space="preserve"> to be taken by the WG, including gathering data on the number of IGOs that have sought protection under Article 6</w:t>
      </w:r>
      <w:r w:rsidR="00DE02FF" w:rsidRPr="00DE02FF">
        <w:rPr>
          <w:rFonts w:asciiTheme="majorHAnsi" w:eastAsia="Times New Roman" w:hAnsiTheme="majorHAnsi" w:cs="Arial"/>
          <w:i/>
          <w:sz w:val="22"/>
          <w:szCs w:val="22"/>
          <w:shd w:val="clear" w:color="auto" w:fill="FFFFFF"/>
        </w:rPr>
        <w:t>ter</w:t>
      </w:r>
      <w:r w:rsidR="00DE02FF">
        <w:rPr>
          <w:rFonts w:asciiTheme="majorHAnsi" w:eastAsia="Times New Roman" w:hAnsiTheme="majorHAnsi" w:cs="Arial"/>
          <w:sz w:val="22"/>
          <w:szCs w:val="22"/>
          <w:shd w:val="clear" w:color="auto" w:fill="FFFFFF"/>
        </w:rPr>
        <w:t xml:space="preserve"> of the Paris Convention </w:t>
      </w:r>
      <w:r w:rsidR="00CB67A4">
        <w:rPr>
          <w:rFonts w:asciiTheme="majorHAnsi" w:eastAsia="Times New Roman" w:hAnsiTheme="majorHAnsi" w:cs="Arial"/>
          <w:sz w:val="22"/>
          <w:szCs w:val="22"/>
          <w:shd w:val="clear" w:color="auto" w:fill="FFFFFF"/>
        </w:rPr>
        <w:t>for the Protection of</w:t>
      </w:r>
      <w:bookmarkStart w:id="0" w:name="_GoBack"/>
      <w:bookmarkEnd w:id="0"/>
      <w:r w:rsidR="00DE02FF">
        <w:rPr>
          <w:rFonts w:asciiTheme="majorHAnsi" w:eastAsia="Times New Roman" w:hAnsiTheme="majorHAnsi" w:cs="Arial"/>
          <w:sz w:val="22"/>
          <w:szCs w:val="22"/>
          <w:shd w:val="clear" w:color="auto" w:fill="FFFFFF"/>
        </w:rPr>
        <w:t xml:space="preserve"> Industrial Property and the scope of legal </w:t>
      </w:r>
      <w:r w:rsidR="00DE02FF">
        <w:rPr>
          <w:rFonts w:asciiTheme="majorHAnsi" w:eastAsia="Times New Roman" w:hAnsiTheme="majorHAnsi" w:cs="Arial"/>
          <w:sz w:val="22"/>
          <w:szCs w:val="22"/>
          <w:shd w:val="clear" w:color="auto" w:fill="FFFFFF"/>
        </w:rPr>
        <w:lastRenderedPageBreak/>
        <w:t xml:space="preserve">protection thereunder, as well as data on the extent of abusive second level registrations for IGO and INGO identifiers. In addition, the Charter directs the WG to consider prior ICANN community efforts (including the 2003 </w:t>
      </w:r>
      <w:r w:rsidR="002A7410">
        <w:rPr>
          <w:rFonts w:asciiTheme="majorHAnsi" w:eastAsia="Times New Roman" w:hAnsiTheme="majorHAnsi" w:cs="Arial"/>
          <w:sz w:val="22"/>
          <w:szCs w:val="22"/>
          <w:shd w:val="clear" w:color="auto" w:fill="FFFFFF"/>
        </w:rPr>
        <w:t xml:space="preserve">ICANN </w:t>
      </w:r>
      <w:r w:rsidR="00DE02FF">
        <w:rPr>
          <w:rFonts w:asciiTheme="majorHAnsi" w:eastAsia="Times New Roman" w:hAnsiTheme="majorHAnsi" w:cs="Arial"/>
          <w:sz w:val="22"/>
          <w:szCs w:val="22"/>
          <w:shd w:val="clear" w:color="auto" w:fill="FFFFFF"/>
        </w:rPr>
        <w:t>President’s Joint Working Group on the WIPO-2 Process) and reach out to UDRP and URS service providers and panelists for their input.</w:t>
      </w:r>
    </w:p>
    <w:p w:rsidR="00DE02FF" w:rsidRDefault="00DE02FF" w:rsidP="00D6605E">
      <w:pPr>
        <w:rPr>
          <w:rFonts w:asciiTheme="majorHAnsi" w:eastAsia="Times New Roman" w:hAnsiTheme="majorHAnsi" w:cs="Arial"/>
          <w:sz w:val="22"/>
          <w:szCs w:val="22"/>
          <w:shd w:val="clear" w:color="auto" w:fill="FFFFFF"/>
        </w:rPr>
      </w:pPr>
    </w:p>
    <w:p w:rsidR="00D6605E" w:rsidRDefault="00DE02FF" w:rsidP="005E6CD8">
      <w:pPr>
        <w:ind w:firstLine="720"/>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 xml:space="preserve">IGO representatives and various GNSO stakeholders were among those who provided </w:t>
      </w:r>
      <w:hyperlink r:id="rId16" w:history="1">
        <w:r w:rsidR="00D6605E">
          <w:rPr>
            <w:rStyle w:val="Hyperlink"/>
            <w:rFonts w:asciiTheme="majorHAnsi" w:eastAsia="Times New Roman" w:hAnsiTheme="majorHAnsi" w:cs="Arial"/>
            <w:sz w:val="22"/>
            <w:szCs w:val="22"/>
            <w:shd w:val="clear" w:color="auto" w:fill="FFFFFF"/>
          </w:rPr>
          <w:t>public comments</w:t>
        </w:r>
      </w:hyperlink>
      <w:r w:rsidR="00D6605E">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on the Preliminary Issue Report, which were taken into account in the preparation of the Final Issue Report. The GNSO’s </w:t>
      </w:r>
      <w:hyperlink r:id="rId17" w:history="1">
        <w:r w:rsidR="002A7410">
          <w:rPr>
            <w:rStyle w:val="Hyperlink"/>
            <w:rFonts w:asciiTheme="majorHAnsi" w:eastAsia="Times New Roman" w:hAnsiTheme="majorHAnsi" w:cs="Arial"/>
            <w:sz w:val="22"/>
            <w:szCs w:val="22"/>
            <w:shd w:val="clear" w:color="auto" w:fill="FFFFFF"/>
          </w:rPr>
          <w:t>Working Group Guidelines</w:t>
        </w:r>
      </w:hyperlink>
      <w:r w:rsidR="002A7410">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require also that input from ICANN’s Supporting Organizations and Advisory Committees be sought early in the PDP. </w:t>
      </w:r>
      <w:r w:rsidR="00D6605E">
        <w:rPr>
          <w:rFonts w:asciiTheme="majorHAnsi" w:eastAsia="Times New Roman" w:hAnsiTheme="majorHAnsi" w:cs="Arial"/>
          <w:sz w:val="22"/>
          <w:szCs w:val="22"/>
          <w:shd w:val="clear" w:color="auto" w:fill="FFFFFF"/>
        </w:rPr>
        <w:t>The GNSO and the GAC have also committed to exploring options to enable the GAC to engage early in a PDP; actions taken so far include the provision to the GAC of a monthly update on each PDP and other GNSO activity. As part of its ongoing effort to improve the PDP, the GNSO Council recently approved the participation of volunteers as Observers rather than full members of a WG. Observers follow the WG mailing list but do not participate in WG meetings or discussions; they can, however, change their status to member at any time. This IGO-INGO Access to Curative Rights Protection Mechanisms WG will be the first PDP WG to employ this new option.</w:t>
      </w:r>
    </w:p>
    <w:p w:rsidR="00D6605E" w:rsidRDefault="00D6605E" w:rsidP="00D6605E">
      <w:pPr>
        <w:rPr>
          <w:rFonts w:asciiTheme="majorHAnsi" w:eastAsia="Times New Roman" w:hAnsiTheme="majorHAnsi" w:cs="Arial"/>
          <w:sz w:val="22"/>
          <w:szCs w:val="22"/>
          <w:shd w:val="clear" w:color="auto" w:fill="FFFFFF"/>
        </w:rPr>
      </w:pPr>
    </w:p>
    <w:p w:rsidR="00D6605E" w:rsidRPr="00D6605E" w:rsidRDefault="00D6605E" w:rsidP="00D6605E">
      <w:pPr>
        <w:rPr>
          <w:rFonts w:asciiTheme="majorHAnsi" w:eastAsia="Times New Roman" w:hAnsiTheme="majorHAnsi" w:cs="Arial"/>
          <w:b/>
          <w:sz w:val="22"/>
          <w:szCs w:val="22"/>
          <w:shd w:val="clear" w:color="auto" w:fill="FFFFFF"/>
        </w:rPr>
      </w:pPr>
      <w:r w:rsidRPr="00D6605E">
        <w:rPr>
          <w:rFonts w:asciiTheme="majorHAnsi" w:eastAsia="Times New Roman" w:hAnsiTheme="majorHAnsi" w:cs="Arial"/>
          <w:b/>
          <w:sz w:val="22"/>
          <w:szCs w:val="22"/>
          <w:shd w:val="clear" w:color="auto" w:fill="FFFFFF"/>
        </w:rPr>
        <w:t>Timing of the PDP</w:t>
      </w:r>
    </w:p>
    <w:p w:rsidR="00D6605E" w:rsidRDefault="00D6605E" w:rsidP="00D6605E">
      <w:pPr>
        <w:rPr>
          <w:rFonts w:asciiTheme="majorHAnsi" w:eastAsia="Times New Roman" w:hAnsiTheme="majorHAnsi" w:cs="Arial"/>
          <w:sz w:val="22"/>
          <w:szCs w:val="22"/>
          <w:shd w:val="clear" w:color="auto" w:fill="FFFFFF"/>
        </w:rPr>
      </w:pPr>
    </w:p>
    <w:p w:rsidR="002E280A" w:rsidRDefault="00D6605E" w:rsidP="005E6CD8">
      <w:pPr>
        <w:ind w:firstLine="720"/>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 xml:space="preserve">As the PDP has just been launched and the WG formed, it is not possible at this time to provide a </w:t>
      </w:r>
      <w:r w:rsidR="002A7410">
        <w:rPr>
          <w:rFonts w:asciiTheme="majorHAnsi" w:eastAsia="Times New Roman" w:hAnsiTheme="majorHAnsi" w:cs="Arial"/>
          <w:sz w:val="22"/>
          <w:szCs w:val="22"/>
          <w:shd w:val="clear" w:color="auto" w:fill="FFFFFF"/>
        </w:rPr>
        <w:t xml:space="preserve">detailed </w:t>
      </w:r>
      <w:r>
        <w:rPr>
          <w:rFonts w:asciiTheme="majorHAnsi" w:eastAsia="Times New Roman" w:hAnsiTheme="majorHAnsi" w:cs="Arial"/>
          <w:sz w:val="22"/>
          <w:szCs w:val="22"/>
          <w:shd w:val="clear" w:color="auto" w:fill="FFFFFF"/>
        </w:rPr>
        <w:t>time line; however, it should be noted that the GNSO’s WG Guidelines require each WG to prepare a Work Plan at an early stage. The GNSO Council had also expressly requested that this PDP should be conducted in an expedited fashion. It is expected that, in accordance with usual practice, this WG will prepare a Work Plan as one of i</w:t>
      </w:r>
      <w:r w:rsidR="002A7410">
        <w:rPr>
          <w:rFonts w:asciiTheme="majorHAnsi" w:eastAsia="Times New Roman" w:hAnsiTheme="majorHAnsi" w:cs="Arial"/>
          <w:sz w:val="22"/>
          <w:szCs w:val="22"/>
          <w:shd w:val="clear" w:color="auto" w:fill="FFFFFF"/>
        </w:rPr>
        <w:t xml:space="preserve">ts first tasks, including projected </w:t>
      </w:r>
      <w:r>
        <w:rPr>
          <w:rFonts w:asciiTheme="majorHAnsi" w:eastAsia="Times New Roman" w:hAnsiTheme="majorHAnsi" w:cs="Arial"/>
          <w:sz w:val="22"/>
          <w:szCs w:val="22"/>
          <w:shd w:val="clear" w:color="auto" w:fill="FFFFFF"/>
        </w:rPr>
        <w:t>milestones. In addition, the WG will likely also conduct a face-to face community session at the ICANN meeting in Los Angeles in October.</w:t>
      </w:r>
    </w:p>
    <w:p w:rsidR="00D6605E" w:rsidRDefault="00D6605E" w:rsidP="00D6605E">
      <w:pPr>
        <w:rPr>
          <w:rFonts w:asciiTheme="majorHAnsi" w:eastAsia="Times New Roman" w:hAnsiTheme="majorHAnsi" w:cs="Arial"/>
          <w:sz w:val="22"/>
          <w:szCs w:val="22"/>
          <w:shd w:val="clear" w:color="auto" w:fill="FFFFFF"/>
        </w:rPr>
      </w:pPr>
    </w:p>
    <w:p w:rsidR="00D6605E" w:rsidRPr="00D6605E" w:rsidRDefault="00D6605E" w:rsidP="00D6605E">
      <w:pPr>
        <w:rPr>
          <w:rFonts w:asciiTheme="majorHAnsi" w:eastAsia="Times New Roman" w:hAnsiTheme="majorHAnsi" w:cs="Arial"/>
          <w:b/>
          <w:sz w:val="22"/>
          <w:szCs w:val="22"/>
          <w:shd w:val="clear" w:color="auto" w:fill="FFFFFF"/>
        </w:rPr>
      </w:pPr>
      <w:r w:rsidRPr="00D6605E">
        <w:rPr>
          <w:rFonts w:asciiTheme="majorHAnsi" w:eastAsia="Times New Roman" w:hAnsiTheme="majorHAnsi" w:cs="Arial"/>
          <w:b/>
          <w:sz w:val="22"/>
          <w:szCs w:val="22"/>
          <w:shd w:val="clear" w:color="auto" w:fill="FFFFFF"/>
        </w:rPr>
        <w:t>Further Information</w:t>
      </w:r>
    </w:p>
    <w:p w:rsidR="00D6605E" w:rsidRPr="00D6605E" w:rsidRDefault="00D6605E" w:rsidP="00D6605E">
      <w:pPr>
        <w:rPr>
          <w:rFonts w:asciiTheme="majorHAnsi" w:eastAsia="Times New Roman" w:hAnsiTheme="majorHAnsi" w:cs="Arial"/>
          <w:sz w:val="22"/>
          <w:szCs w:val="22"/>
          <w:shd w:val="clear" w:color="auto" w:fill="FFFFFF"/>
        </w:rPr>
      </w:pP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IGO-INGO WG Final Report (Nov 2013): </w:t>
      </w:r>
      <w:hyperlink r:id="rId18" w:history="1">
        <w:r w:rsidRPr="005E6CD8">
          <w:rPr>
            <w:rStyle w:val="Hyperlink"/>
            <w:rFonts w:asciiTheme="majorHAnsi" w:hAnsiTheme="majorHAnsi"/>
            <w:sz w:val="22"/>
            <w:szCs w:val="22"/>
          </w:rPr>
          <w:t>http://gnso.icann.org/en/issues/igo-ingo-final-10nov13-en.pdf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Preliminary Issue Report on IGO-INGO Access to UDRP &amp; URS (March 2014): </w:t>
      </w:r>
      <w:hyperlink r:id="rId19" w:history="1">
        <w:r w:rsidRPr="005E6CD8">
          <w:rPr>
            <w:rStyle w:val="Hyperlink"/>
            <w:rFonts w:asciiTheme="majorHAnsi" w:hAnsiTheme="majorHAnsi"/>
            <w:sz w:val="22"/>
            <w:szCs w:val="22"/>
          </w:rPr>
          <w:t>http://gnso.icann.org/en/issues/igo-ingo-crp-prelim-10mar14-en.pdf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Report of Public Comments received on the Preliminary Issue Report: </w:t>
      </w:r>
      <w:hyperlink r:id="rId20" w:history="1">
        <w:r w:rsidRPr="005E6CD8">
          <w:rPr>
            <w:rStyle w:val="Hyperlink"/>
            <w:rFonts w:asciiTheme="majorHAnsi" w:hAnsiTheme="majorHAnsi"/>
            <w:sz w:val="22"/>
            <w:szCs w:val="22"/>
          </w:rPr>
          <w:t>https://www.icann.org/news/public-comment/report-comments-igo-ingo-crp-prelim-16may14-en.pdf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Final Issue Report on IGO-INGO Access to UDRP &amp; URS (May 2014): </w:t>
      </w:r>
      <w:hyperlink r:id="rId21" w:history="1">
        <w:r w:rsidRPr="005E6CD8">
          <w:rPr>
            <w:rStyle w:val="Hyperlink"/>
            <w:rFonts w:asciiTheme="majorHAnsi" w:hAnsiTheme="majorHAnsi"/>
            <w:sz w:val="22"/>
            <w:szCs w:val="22"/>
          </w:rPr>
          <w:t>http://gnso.icann.org/en/drafts/igo-ingo-crp-final-25may14-en.pdf</w:t>
        </w:r>
      </w:hyperlink>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Charter for new PDP Working Group (as adopted by the GNSO Council on 25 June 2014): </w:t>
      </w:r>
      <w:hyperlink r:id="rId22" w:history="1">
        <w:r w:rsidRPr="005E6CD8">
          <w:rPr>
            <w:rStyle w:val="Hyperlink"/>
            <w:rFonts w:asciiTheme="majorHAnsi" w:hAnsiTheme="majorHAnsi"/>
            <w:sz w:val="22"/>
            <w:szCs w:val="22"/>
          </w:rPr>
          <w:t>http://gnso.icann.org/en/drafts/igo-ingo-crp-access-charter-24jun14-en.pdf</w:t>
        </w:r>
      </w:hyperlink>
    </w:p>
    <w:p w:rsidR="002E280A" w:rsidRDefault="002E280A" w:rsidP="00D6605E">
      <w:pPr>
        <w:rPr>
          <w:rFonts w:asciiTheme="majorHAnsi" w:hAnsiTheme="majorHAnsi"/>
          <w:sz w:val="22"/>
          <w:szCs w:val="22"/>
        </w:rPr>
      </w:pPr>
    </w:p>
    <w:p w:rsidR="005E6CD8" w:rsidRPr="005E6CD8" w:rsidRDefault="005E6CD8" w:rsidP="00D6605E">
      <w:pPr>
        <w:rPr>
          <w:rFonts w:asciiTheme="majorHAnsi" w:hAnsiTheme="majorHAnsi"/>
          <w:b/>
          <w:sz w:val="22"/>
          <w:szCs w:val="22"/>
        </w:rPr>
      </w:pPr>
      <w:r w:rsidRPr="005E6CD8">
        <w:rPr>
          <w:rFonts w:asciiTheme="majorHAnsi" w:hAnsiTheme="majorHAnsi"/>
          <w:b/>
          <w:sz w:val="22"/>
          <w:szCs w:val="22"/>
        </w:rPr>
        <w:t>Policy Staff Contact</w:t>
      </w:r>
    </w:p>
    <w:p w:rsidR="005E6CD8" w:rsidRDefault="005E6CD8" w:rsidP="00D6605E">
      <w:pPr>
        <w:rPr>
          <w:rFonts w:asciiTheme="majorHAnsi" w:hAnsiTheme="majorHAnsi"/>
          <w:sz w:val="22"/>
          <w:szCs w:val="22"/>
        </w:rPr>
      </w:pPr>
    </w:p>
    <w:p w:rsidR="005E6CD8" w:rsidRPr="005E6CD8" w:rsidRDefault="005E6CD8" w:rsidP="005E6CD8">
      <w:pPr>
        <w:pStyle w:val="ListParagraph"/>
        <w:numPr>
          <w:ilvl w:val="0"/>
          <w:numId w:val="2"/>
        </w:numPr>
        <w:rPr>
          <w:rFonts w:asciiTheme="majorHAnsi" w:hAnsiTheme="majorHAnsi"/>
          <w:sz w:val="22"/>
          <w:szCs w:val="22"/>
        </w:rPr>
      </w:pPr>
      <w:proofErr w:type="spellStart"/>
      <w:r w:rsidRPr="005E6CD8">
        <w:rPr>
          <w:rFonts w:asciiTheme="majorHAnsi" w:hAnsiTheme="majorHAnsi"/>
          <w:sz w:val="22"/>
          <w:szCs w:val="22"/>
        </w:rPr>
        <w:t>Marika</w:t>
      </w:r>
      <w:proofErr w:type="spellEnd"/>
      <w:r w:rsidRPr="005E6CD8">
        <w:rPr>
          <w:rFonts w:asciiTheme="majorHAnsi" w:hAnsiTheme="majorHAnsi"/>
          <w:sz w:val="22"/>
          <w:szCs w:val="22"/>
        </w:rPr>
        <w:t xml:space="preserve"> </w:t>
      </w:r>
      <w:proofErr w:type="spellStart"/>
      <w:r w:rsidRPr="005E6CD8">
        <w:rPr>
          <w:rFonts w:asciiTheme="majorHAnsi" w:hAnsiTheme="majorHAnsi"/>
          <w:sz w:val="22"/>
          <w:szCs w:val="22"/>
        </w:rPr>
        <w:t>Konings</w:t>
      </w:r>
      <w:proofErr w:type="spellEnd"/>
      <w:r w:rsidRPr="005E6CD8">
        <w:rPr>
          <w:rFonts w:asciiTheme="majorHAnsi" w:hAnsiTheme="majorHAnsi"/>
          <w:sz w:val="22"/>
          <w:szCs w:val="22"/>
        </w:rPr>
        <w:t xml:space="preserve"> (</w:t>
      </w:r>
      <w:hyperlink r:id="rId23" w:history="1">
        <w:r w:rsidRPr="005E6CD8">
          <w:rPr>
            <w:rStyle w:val="Hyperlink"/>
            <w:rFonts w:asciiTheme="majorHAnsi" w:hAnsiTheme="majorHAnsi"/>
            <w:sz w:val="22"/>
            <w:szCs w:val="22"/>
          </w:rPr>
          <w:t>marika.konings@icann.org</w:t>
        </w:r>
      </w:hyperlink>
      <w:r w:rsidRPr="005E6CD8">
        <w:rPr>
          <w:rFonts w:asciiTheme="majorHAnsi" w:hAnsiTheme="majorHAnsi"/>
          <w:sz w:val="22"/>
          <w:szCs w:val="22"/>
        </w:rPr>
        <w:t>)</w:t>
      </w:r>
    </w:p>
    <w:p w:rsidR="005E6CD8" w:rsidRPr="005E6CD8" w:rsidRDefault="005E6CD8" w:rsidP="005E6CD8">
      <w:pPr>
        <w:pStyle w:val="ListParagraph"/>
        <w:numPr>
          <w:ilvl w:val="0"/>
          <w:numId w:val="2"/>
        </w:numPr>
        <w:rPr>
          <w:rFonts w:asciiTheme="majorHAnsi" w:hAnsiTheme="majorHAnsi"/>
          <w:sz w:val="22"/>
          <w:szCs w:val="22"/>
        </w:rPr>
      </w:pPr>
      <w:r w:rsidRPr="005E6CD8">
        <w:rPr>
          <w:rFonts w:asciiTheme="majorHAnsi" w:hAnsiTheme="majorHAnsi"/>
          <w:sz w:val="22"/>
          <w:szCs w:val="22"/>
        </w:rPr>
        <w:t>Mary Wong (</w:t>
      </w:r>
      <w:hyperlink r:id="rId24" w:history="1">
        <w:r w:rsidRPr="005E6CD8">
          <w:rPr>
            <w:rStyle w:val="Hyperlink"/>
            <w:rFonts w:asciiTheme="majorHAnsi" w:hAnsiTheme="majorHAnsi"/>
            <w:sz w:val="22"/>
            <w:szCs w:val="22"/>
          </w:rPr>
          <w:t>mary.wong@icann.org</w:t>
        </w:r>
      </w:hyperlink>
      <w:r w:rsidRPr="005E6CD8">
        <w:rPr>
          <w:rFonts w:asciiTheme="majorHAnsi" w:hAnsiTheme="majorHAnsi"/>
          <w:sz w:val="22"/>
          <w:szCs w:val="22"/>
        </w:rPr>
        <w:t>)</w:t>
      </w:r>
    </w:p>
    <w:p w:rsidR="002E280A" w:rsidRDefault="002E280A" w:rsidP="00D6605E">
      <w:pPr>
        <w:rPr>
          <w:rFonts w:asciiTheme="majorHAnsi" w:hAnsiTheme="majorHAnsi"/>
          <w:sz w:val="22"/>
          <w:szCs w:val="22"/>
        </w:rPr>
      </w:pPr>
    </w:p>
    <w:p w:rsidR="00F326C2" w:rsidRDefault="00F326C2" w:rsidP="00D6605E">
      <w:pPr>
        <w:rPr>
          <w:rFonts w:asciiTheme="majorHAnsi" w:hAnsiTheme="majorHAnsi"/>
          <w:b/>
          <w:sz w:val="22"/>
          <w:szCs w:val="22"/>
        </w:rPr>
      </w:pPr>
      <w:r w:rsidRPr="00F326C2">
        <w:rPr>
          <w:rFonts w:asciiTheme="majorHAnsi" w:hAnsiTheme="majorHAnsi"/>
          <w:b/>
          <w:sz w:val="22"/>
          <w:szCs w:val="22"/>
        </w:rPr>
        <w:t>List of Protected IGO-INGO Identifiers</w:t>
      </w:r>
      <w:r>
        <w:rPr>
          <w:rFonts w:asciiTheme="majorHAnsi" w:hAnsiTheme="majorHAnsi"/>
          <w:b/>
          <w:sz w:val="22"/>
          <w:szCs w:val="22"/>
        </w:rPr>
        <w:t xml:space="preserve"> (as recommended by the</w:t>
      </w:r>
      <w:r w:rsidRPr="00F326C2">
        <w:rPr>
          <w:rFonts w:asciiTheme="majorHAnsi" w:hAnsiTheme="majorHAnsi"/>
          <w:b/>
          <w:sz w:val="22"/>
          <w:szCs w:val="22"/>
        </w:rPr>
        <w:t xml:space="preserve"> GNSO PDP Working Group on the Protection of IGO &amp; INGO Identifiers in All </w:t>
      </w:r>
      <w:proofErr w:type="spellStart"/>
      <w:r w:rsidRPr="00F326C2">
        <w:rPr>
          <w:rFonts w:asciiTheme="majorHAnsi" w:hAnsiTheme="majorHAnsi"/>
          <w:b/>
          <w:sz w:val="22"/>
          <w:szCs w:val="22"/>
        </w:rPr>
        <w:t>gTLDs</w:t>
      </w:r>
      <w:proofErr w:type="spellEnd"/>
      <w:r>
        <w:rPr>
          <w:rFonts w:asciiTheme="majorHAnsi" w:hAnsiTheme="majorHAnsi"/>
          <w:b/>
          <w:sz w:val="22"/>
          <w:szCs w:val="22"/>
        </w:rPr>
        <w:t xml:space="preserve"> and</w:t>
      </w:r>
      <w:r w:rsidRPr="00F326C2">
        <w:rPr>
          <w:rFonts w:asciiTheme="majorHAnsi" w:hAnsiTheme="majorHAnsi"/>
          <w:b/>
          <w:sz w:val="22"/>
          <w:szCs w:val="22"/>
        </w:rPr>
        <w:t xml:space="preserve"> adopted by t</w:t>
      </w:r>
      <w:r>
        <w:rPr>
          <w:rFonts w:asciiTheme="majorHAnsi" w:hAnsiTheme="majorHAnsi"/>
          <w:b/>
          <w:sz w:val="22"/>
          <w:szCs w:val="22"/>
        </w:rPr>
        <w:t>he GNSO Council</w:t>
      </w:r>
      <w:r w:rsidRPr="00F326C2">
        <w:rPr>
          <w:rFonts w:asciiTheme="majorHAnsi" w:hAnsiTheme="majorHAnsi"/>
          <w:b/>
          <w:sz w:val="22"/>
          <w:szCs w:val="22"/>
        </w:rPr>
        <w:t>)</w:t>
      </w:r>
    </w:p>
    <w:p w:rsidR="00F326C2" w:rsidRDefault="00F326C2" w:rsidP="00D6605E">
      <w:pPr>
        <w:rPr>
          <w:rFonts w:asciiTheme="majorHAnsi" w:hAnsiTheme="majorHAnsi"/>
          <w:b/>
          <w:sz w:val="22"/>
          <w:szCs w:val="22"/>
        </w:rPr>
      </w:pPr>
    </w:p>
    <w:p w:rsidR="00F326C2" w:rsidRPr="00F326C2" w:rsidRDefault="00F326C2" w:rsidP="00D6605E">
      <w:pPr>
        <w:rPr>
          <w:rFonts w:asciiTheme="majorHAnsi" w:hAnsiTheme="majorHAnsi"/>
          <w:i/>
          <w:sz w:val="22"/>
          <w:szCs w:val="22"/>
        </w:rPr>
      </w:pPr>
      <w:r w:rsidRPr="00F326C2">
        <w:rPr>
          <w:rFonts w:asciiTheme="majorHAnsi" w:hAnsiTheme="majorHAnsi"/>
          <w:i/>
          <w:sz w:val="22"/>
          <w:szCs w:val="22"/>
          <w:u w:val="single"/>
        </w:rPr>
        <w:t>Important Note</w:t>
      </w:r>
      <w:r w:rsidRPr="00F326C2">
        <w:rPr>
          <w:rFonts w:asciiTheme="majorHAnsi" w:hAnsiTheme="majorHAnsi"/>
          <w:i/>
          <w:sz w:val="22"/>
          <w:szCs w:val="22"/>
        </w:rPr>
        <w:t xml:space="preserve">: </w:t>
      </w:r>
      <w:r>
        <w:rPr>
          <w:rFonts w:asciiTheme="majorHAnsi" w:hAnsiTheme="majorHAnsi"/>
          <w:i/>
          <w:sz w:val="22"/>
          <w:szCs w:val="22"/>
        </w:rPr>
        <w:t>T</w:t>
      </w:r>
      <w:r w:rsidRPr="00F326C2">
        <w:rPr>
          <w:rFonts w:asciiTheme="majorHAnsi" w:hAnsiTheme="majorHAnsi"/>
          <w:i/>
          <w:sz w:val="22"/>
          <w:szCs w:val="22"/>
        </w:rPr>
        <w:t xml:space="preserve">he scope of protection </w:t>
      </w:r>
      <w:r>
        <w:rPr>
          <w:rFonts w:asciiTheme="majorHAnsi" w:hAnsiTheme="majorHAnsi"/>
          <w:i/>
          <w:sz w:val="22"/>
          <w:szCs w:val="22"/>
        </w:rPr>
        <w:t xml:space="preserve">that </w:t>
      </w:r>
      <w:r w:rsidRPr="00F326C2">
        <w:rPr>
          <w:rFonts w:asciiTheme="majorHAnsi" w:hAnsiTheme="majorHAnsi"/>
          <w:i/>
          <w:sz w:val="22"/>
          <w:szCs w:val="22"/>
        </w:rPr>
        <w:t xml:space="preserve">the WG recommended for the various Scope 1 and Scope 2 identifiers are </w:t>
      </w:r>
      <w:r w:rsidRPr="00F326C2">
        <w:rPr>
          <w:rFonts w:asciiTheme="majorHAnsi" w:hAnsiTheme="majorHAnsi"/>
          <w:i/>
          <w:sz w:val="22"/>
          <w:szCs w:val="22"/>
          <w:u w:val="single"/>
        </w:rPr>
        <w:t>not</w:t>
      </w:r>
      <w:r w:rsidRPr="00F326C2">
        <w:rPr>
          <w:rFonts w:asciiTheme="majorHAnsi" w:hAnsiTheme="majorHAnsi"/>
          <w:i/>
          <w:sz w:val="22"/>
          <w:szCs w:val="22"/>
        </w:rPr>
        <w:t xml:space="preserve"> identical. Where some were recommended for top-level protection (e.g. as Strings Ineligible for Delegation, others were recommended for second-level protection (e.g. through entry into the Trademark Clearinghouse and eligibility for a 90-days claims notification process)</w:t>
      </w:r>
      <w:r>
        <w:rPr>
          <w:rFonts w:asciiTheme="majorHAnsi" w:hAnsiTheme="majorHAnsi"/>
          <w:i/>
          <w:sz w:val="22"/>
          <w:szCs w:val="22"/>
        </w:rPr>
        <w:t xml:space="preserve">. For the full set of protections recommended, see the WG’s </w:t>
      </w:r>
      <w:hyperlink r:id="rId25" w:history="1">
        <w:r>
          <w:rPr>
            <w:rStyle w:val="Hyperlink"/>
            <w:rFonts w:asciiTheme="majorHAnsi" w:hAnsiTheme="majorHAnsi"/>
            <w:i/>
            <w:sz w:val="22"/>
            <w:szCs w:val="22"/>
          </w:rPr>
          <w:t>Final Report</w:t>
        </w:r>
      </w:hyperlink>
      <w:r>
        <w:rPr>
          <w:rFonts w:asciiTheme="majorHAnsi" w:hAnsiTheme="majorHAnsi"/>
          <w:i/>
          <w:sz w:val="22"/>
          <w:szCs w:val="22"/>
        </w:rPr>
        <w:t xml:space="preserve"> of 10 November 2013.</w:t>
      </w:r>
    </w:p>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8483"/>
      </w:tblGrid>
      <w:tr w:rsidR="00F326C2" w:rsidRPr="00F326C2" w:rsidTr="00710520">
        <w:trPr>
          <w:cantSplit/>
          <w:trHeight w:val="296"/>
          <w:tblHeader/>
        </w:trPr>
        <w:tc>
          <w:tcPr>
            <w:tcW w:w="0" w:type="auto"/>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cs="Arial"/>
                <w:b/>
                <w:sz w:val="22"/>
                <w:szCs w:val="22"/>
              </w:rPr>
              <w:t>Red Cross Red Crescent Movement (RCRC) Identifiers</w:t>
            </w:r>
          </w:p>
        </w:tc>
      </w:tr>
      <w:tr w:rsidR="00F326C2" w:rsidRPr="00F326C2" w:rsidTr="00710520">
        <w:trPr>
          <w:cantSplit/>
          <w:trHeight w:val="296"/>
          <w:tblHeader/>
        </w:trPr>
        <w:tc>
          <w:tcPr>
            <w:tcW w:w="8838" w:type="dxa"/>
            <w:gridSpan w:val="2"/>
            <w:shd w:val="clear" w:color="auto" w:fill="BFBFBF"/>
          </w:tcPr>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1 Identifiers</w:t>
            </w:r>
            <w:r w:rsidRPr="00F326C2">
              <w:rPr>
                <w:rStyle w:val="FootnoteReference"/>
                <w:rFonts w:asciiTheme="majorHAnsi" w:hAnsiTheme="majorHAnsi"/>
                <w:b/>
                <w:sz w:val="22"/>
                <w:szCs w:val="22"/>
              </w:rPr>
              <w:footnoteReference w:id="1"/>
            </w:r>
            <w:r w:rsidRPr="00F326C2">
              <w:rPr>
                <w:rFonts w:asciiTheme="majorHAnsi" w:hAnsiTheme="majorHAnsi"/>
                <w:sz w:val="22"/>
                <w:szCs w:val="22"/>
              </w:rPr>
              <w:t>: "Red Cross", "Red Crescent", "Red Lion and Sun" and "Red Crystal" (Language: UN6)</w:t>
            </w:r>
          </w:p>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189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p>
        </w:tc>
      </w:tr>
    </w:tbl>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790"/>
      </w:tblGrid>
      <w:tr w:rsidR="00F326C2" w:rsidRPr="00F326C2" w:rsidTr="00710520">
        <w:trPr>
          <w:cantSplit/>
          <w:trHeight w:val="296"/>
          <w:tblHeader/>
        </w:trPr>
        <w:tc>
          <w:tcPr>
            <w:tcW w:w="0" w:type="auto"/>
            <w:shd w:val="clear" w:color="auto" w:fill="BFBFBF"/>
          </w:tcPr>
          <w:p w:rsidR="00F326C2" w:rsidRPr="00F326C2" w:rsidRDefault="00F326C2" w:rsidP="00710520">
            <w:pPr>
              <w:ind w:left="720"/>
              <w:contextualSpacing/>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cs="Arial"/>
                <w:b/>
                <w:sz w:val="22"/>
                <w:szCs w:val="22"/>
              </w:rPr>
              <w:t>International Olympic Committee (IOC) Identifiers</w:t>
            </w:r>
          </w:p>
        </w:tc>
      </w:tr>
      <w:tr w:rsidR="00F326C2" w:rsidRPr="00F326C2" w:rsidTr="00710520">
        <w:trPr>
          <w:cantSplit/>
          <w:trHeight w:val="296"/>
          <w:tblHeader/>
        </w:trPr>
        <w:tc>
          <w:tcPr>
            <w:tcW w:w="8838" w:type="dxa"/>
            <w:gridSpan w:val="2"/>
            <w:shd w:val="clear" w:color="auto" w:fill="BFBFBF"/>
          </w:tcPr>
          <w:p w:rsidR="00F326C2" w:rsidRPr="00F326C2" w:rsidRDefault="00F326C2" w:rsidP="00710520">
            <w:pPr>
              <w:rPr>
                <w:rFonts w:asciiTheme="majorHAnsi" w:hAnsiTheme="majorHAnsi" w:cs="Arial"/>
                <w:b/>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xml:space="preserve">: </w:t>
            </w:r>
            <w:proofErr w:type="spellStart"/>
            <w:r w:rsidRPr="00F326C2">
              <w:rPr>
                <w:rFonts w:asciiTheme="majorHAnsi" w:hAnsiTheme="majorHAnsi"/>
                <w:sz w:val="22"/>
                <w:szCs w:val="22"/>
              </w:rPr>
              <w:t>olympic</w:t>
            </w:r>
            <w:proofErr w:type="spellEnd"/>
            <w:r w:rsidRPr="00F326C2">
              <w:rPr>
                <w:rFonts w:asciiTheme="majorHAnsi" w:hAnsiTheme="majorHAnsi"/>
                <w:sz w:val="22"/>
                <w:szCs w:val="22"/>
              </w:rPr>
              <w:t xml:space="preserve">, </w:t>
            </w:r>
            <w:proofErr w:type="spellStart"/>
            <w:r w:rsidRPr="00F326C2">
              <w:rPr>
                <w:rFonts w:asciiTheme="majorHAnsi" w:hAnsiTheme="majorHAnsi"/>
                <w:sz w:val="22"/>
                <w:szCs w:val="22"/>
              </w:rPr>
              <w:t>olympiad</w:t>
            </w:r>
            <w:proofErr w:type="spellEnd"/>
            <w:r w:rsidRPr="00F326C2">
              <w:rPr>
                <w:rFonts w:asciiTheme="majorHAnsi" w:hAnsiTheme="majorHAnsi"/>
                <w:sz w:val="22"/>
                <w:szCs w:val="22"/>
              </w:rPr>
              <w:t xml:space="preserve"> (Language: UN6, + German, Greek, and Korean)</w:t>
            </w:r>
            <w:r w:rsidRPr="00F326C2">
              <w:rPr>
                <w:rStyle w:val="FootnoteReference"/>
                <w:rFonts w:asciiTheme="majorHAnsi" w:hAnsiTheme="majorHAnsi" w:cs="Arial"/>
                <w:b/>
                <w:sz w:val="22"/>
                <w:szCs w:val="22"/>
              </w:rPr>
              <w:t xml:space="preserve"> </w:t>
            </w:r>
            <w:r w:rsidRPr="00F326C2">
              <w:rPr>
                <w:rStyle w:val="FootnoteReference"/>
                <w:rFonts w:asciiTheme="majorHAnsi" w:hAnsiTheme="majorHAnsi" w:cs="Arial"/>
                <w:b/>
                <w:sz w:val="22"/>
                <w:szCs w:val="22"/>
              </w:rPr>
              <w:footnoteReference w:id="2"/>
            </w:r>
            <w:r w:rsidRPr="00F326C2">
              <w:rPr>
                <w:rStyle w:val="FootnoteReference"/>
                <w:rFonts w:asciiTheme="majorHAnsi" w:hAnsiTheme="majorHAnsi" w:cs="Arial"/>
                <w:b/>
                <w:sz w:val="22"/>
                <w:szCs w:val="22"/>
              </w:rPr>
              <w:t>,</w:t>
            </w:r>
            <w:r w:rsidRPr="00F326C2">
              <w:rPr>
                <w:rStyle w:val="FootnoteReference"/>
                <w:rFonts w:asciiTheme="majorHAnsi" w:hAnsiTheme="majorHAnsi"/>
                <w:sz w:val="22"/>
                <w:szCs w:val="22"/>
              </w:rPr>
              <w:footnoteReference w:id="3"/>
            </w:r>
          </w:p>
        </w:tc>
      </w:tr>
    </w:tbl>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8483"/>
      </w:tblGrid>
      <w:tr w:rsidR="00F326C2" w:rsidRPr="00F326C2" w:rsidTr="00710520">
        <w:trPr>
          <w:cantSplit/>
          <w:trHeight w:val="296"/>
          <w:tblHeader/>
        </w:trPr>
        <w:tc>
          <w:tcPr>
            <w:tcW w:w="0" w:type="auto"/>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cs="Arial"/>
                <w:b/>
                <w:sz w:val="22"/>
                <w:szCs w:val="22"/>
              </w:rPr>
              <w:t>International Governmental Organization (IGO) Identifiers</w:t>
            </w:r>
          </w:p>
        </w:tc>
      </w:tr>
      <w:tr w:rsidR="00F326C2" w:rsidRPr="00F326C2" w:rsidTr="00710520">
        <w:trPr>
          <w:cantSplit/>
          <w:trHeight w:val="296"/>
          <w:tblHeader/>
        </w:trPr>
        <w:tc>
          <w:tcPr>
            <w:tcW w:w="8838" w:type="dxa"/>
            <w:gridSpan w:val="2"/>
            <w:shd w:val="clear" w:color="auto" w:fill="BFBFBF"/>
          </w:tcPr>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GAC List</w:t>
            </w:r>
            <w:r w:rsidRPr="00F326C2">
              <w:rPr>
                <w:rStyle w:val="FootnoteReference"/>
                <w:rFonts w:asciiTheme="majorHAnsi" w:hAnsiTheme="majorHAnsi"/>
                <w:sz w:val="22"/>
                <w:szCs w:val="22"/>
              </w:rPr>
              <w:footnoteReference w:id="4"/>
            </w:r>
            <w:r w:rsidRPr="00F326C2">
              <w:rPr>
                <w:rFonts w:asciiTheme="majorHAnsi" w:hAnsiTheme="majorHAnsi"/>
                <w:sz w:val="22"/>
                <w:szCs w:val="22"/>
              </w:rPr>
              <w:t xml:space="preserve"> (22 March 2013) - Full Name (Language: Up to two languages</w:t>
            </w:r>
            <w:r w:rsidRPr="00F326C2">
              <w:rPr>
                <w:rStyle w:val="FootnoteReference"/>
                <w:rFonts w:asciiTheme="majorHAnsi" w:hAnsiTheme="majorHAnsi"/>
                <w:sz w:val="22"/>
                <w:szCs w:val="22"/>
              </w:rPr>
              <w:footnoteReference w:id="5"/>
            </w:r>
            <w:r w:rsidRPr="00F326C2">
              <w:rPr>
                <w:rFonts w:asciiTheme="majorHAnsi" w:hAnsiTheme="majorHAnsi"/>
                <w:sz w:val="22"/>
                <w:szCs w:val="22"/>
              </w:rPr>
              <w:t>)</w:t>
            </w:r>
          </w:p>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GAC List (22 March 2013) - Acronym (Language: Up to two languages)</w:t>
            </w:r>
          </w:p>
        </w:tc>
      </w:tr>
    </w:tbl>
    <w:p w:rsidR="00F326C2" w:rsidRPr="00F326C2" w:rsidRDefault="00F326C2" w:rsidP="00D6605E">
      <w:pPr>
        <w:rPr>
          <w:rFonts w:asciiTheme="majorHAnsi" w:hAnsiTheme="majorHAnsi"/>
          <w:sz w:val="22"/>
          <w:szCs w:val="2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792"/>
      </w:tblGrid>
      <w:tr w:rsidR="00F326C2" w:rsidRPr="00F326C2" w:rsidTr="00710520">
        <w:trPr>
          <w:cantSplit/>
          <w:trHeight w:val="296"/>
          <w:tblHeader/>
        </w:trPr>
        <w:tc>
          <w:tcPr>
            <w:tcW w:w="592" w:type="pct"/>
            <w:shd w:val="clear" w:color="auto" w:fill="BFBFBF"/>
          </w:tcPr>
          <w:p w:rsidR="00F326C2" w:rsidRPr="00F326C2" w:rsidRDefault="00F326C2" w:rsidP="00710520">
            <w:pPr>
              <w:ind w:left="720"/>
              <w:contextualSpacing/>
              <w:jc w:val="center"/>
              <w:rPr>
                <w:rFonts w:asciiTheme="majorHAnsi" w:hAnsiTheme="majorHAnsi"/>
                <w:b/>
                <w:sz w:val="22"/>
                <w:szCs w:val="22"/>
              </w:rPr>
            </w:pPr>
            <w:r w:rsidRPr="00F326C2">
              <w:rPr>
                <w:rFonts w:asciiTheme="majorHAnsi" w:hAnsiTheme="majorHAnsi"/>
                <w:b/>
                <w:sz w:val="22"/>
                <w:szCs w:val="22"/>
              </w:rPr>
              <w:t>#</w:t>
            </w:r>
          </w:p>
        </w:tc>
        <w:tc>
          <w:tcPr>
            <w:tcW w:w="4408" w:type="pct"/>
            <w:shd w:val="clear" w:color="auto" w:fill="BFBFBF"/>
          </w:tcPr>
          <w:p w:rsidR="00F326C2" w:rsidRPr="00F326C2" w:rsidRDefault="00F326C2" w:rsidP="00710520">
            <w:pPr>
              <w:jc w:val="center"/>
              <w:rPr>
                <w:rFonts w:asciiTheme="majorHAnsi" w:hAnsiTheme="majorHAnsi"/>
                <w:b/>
                <w:sz w:val="22"/>
                <w:szCs w:val="22"/>
              </w:rPr>
            </w:pPr>
            <w:r w:rsidRPr="00F326C2">
              <w:rPr>
                <w:rFonts w:asciiTheme="majorHAnsi" w:hAnsiTheme="majorHAnsi"/>
                <w:b/>
                <w:sz w:val="22"/>
                <w:szCs w:val="22"/>
              </w:rPr>
              <w:t>International Non-Governmental Organizations (INGO) Identifiers</w:t>
            </w:r>
            <w:r>
              <w:rPr>
                <w:rFonts w:asciiTheme="majorHAnsi" w:hAnsiTheme="majorHAnsi"/>
                <w:b/>
                <w:sz w:val="22"/>
                <w:szCs w:val="22"/>
              </w:rPr>
              <w:t xml:space="preserve"> (other than RCRC &amp; IOC)</w:t>
            </w:r>
          </w:p>
        </w:tc>
      </w:tr>
      <w:tr w:rsidR="00F326C2" w:rsidRPr="00F326C2" w:rsidTr="00710520">
        <w:trPr>
          <w:cantSplit/>
          <w:trHeight w:val="296"/>
          <w:tblHeader/>
        </w:trPr>
        <w:tc>
          <w:tcPr>
            <w:tcW w:w="5000" w:type="pct"/>
            <w:gridSpan w:val="2"/>
            <w:shd w:val="clear" w:color="auto" w:fill="BFBFBF"/>
          </w:tcPr>
          <w:p w:rsidR="00F326C2" w:rsidRPr="00F326C2" w:rsidRDefault="00F326C2" w:rsidP="00F326C2">
            <w:pPr>
              <w:numPr>
                <w:ilvl w:val="1"/>
                <w:numId w:val="3"/>
              </w:numPr>
              <w:ind w:left="540"/>
              <w:rPr>
                <w:rFonts w:asciiTheme="majorHAnsi" w:hAnsiTheme="majorHAnsi"/>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ECOSOC List</w:t>
            </w:r>
            <w:r w:rsidRPr="00F326C2">
              <w:rPr>
                <w:rStyle w:val="FootnoteReference"/>
                <w:rFonts w:asciiTheme="majorHAnsi" w:hAnsiTheme="majorHAnsi"/>
                <w:sz w:val="22"/>
                <w:szCs w:val="22"/>
              </w:rPr>
              <w:footnoteReference w:id="6"/>
            </w:r>
            <w:r w:rsidRPr="00F326C2">
              <w:rPr>
                <w:rFonts w:asciiTheme="majorHAnsi" w:hAnsiTheme="majorHAnsi"/>
                <w:sz w:val="22"/>
                <w:szCs w:val="22"/>
              </w:rPr>
              <w:t xml:space="preserve"> (General Consultative Status) (Language: English only)</w:t>
            </w:r>
          </w:p>
          <w:p w:rsidR="00F326C2" w:rsidRPr="00F326C2" w:rsidRDefault="00F326C2" w:rsidP="00F326C2">
            <w:pPr>
              <w:numPr>
                <w:ilvl w:val="1"/>
                <w:numId w:val="3"/>
              </w:numPr>
              <w:ind w:left="540"/>
              <w:rPr>
                <w:rFonts w:asciiTheme="majorHAnsi" w:hAnsiTheme="majorHAnsi"/>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ECOSOC List (Special Consultative Status) (Language: English only)</w:t>
            </w:r>
          </w:p>
          <w:p w:rsidR="00F326C2" w:rsidRPr="00F326C2" w:rsidRDefault="00F326C2" w:rsidP="00710520">
            <w:pPr>
              <w:rPr>
                <w:rFonts w:asciiTheme="majorHAnsi" w:hAnsiTheme="majorHAnsi"/>
                <w:b/>
                <w:sz w:val="22"/>
                <w:szCs w:val="22"/>
              </w:rPr>
            </w:pPr>
            <w:r>
              <w:rPr>
                <w:rFonts w:asciiTheme="majorHAnsi" w:hAnsiTheme="majorHAnsi"/>
                <w:sz w:val="22"/>
                <w:szCs w:val="22"/>
              </w:rPr>
              <w:t>(</w:t>
            </w:r>
            <w:r w:rsidRPr="00F326C2">
              <w:rPr>
                <w:rFonts w:asciiTheme="majorHAnsi" w:hAnsiTheme="majorHAnsi"/>
                <w:sz w:val="22"/>
                <w:szCs w:val="22"/>
              </w:rPr>
              <w:t xml:space="preserve">See </w:t>
            </w:r>
            <w:hyperlink r:id="rId26" w:history="1">
              <w:r w:rsidRPr="00F326C2">
                <w:rPr>
                  <w:rStyle w:val="Hyperlink"/>
                  <w:rFonts w:asciiTheme="majorHAnsi" w:hAnsiTheme="majorHAnsi"/>
                  <w:sz w:val="22"/>
                  <w:szCs w:val="22"/>
                </w:rPr>
                <w:t>http://csonet.org/content/documents/E2011INF4.pdf</w:t>
              </w:r>
            </w:hyperlink>
            <w:r>
              <w:rPr>
                <w:rStyle w:val="Hyperlink"/>
                <w:rFonts w:asciiTheme="majorHAnsi" w:hAnsiTheme="majorHAnsi"/>
                <w:sz w:val="22"/>
                <w:szCs w:val="22"/>
              </w:rPr>
              <w:t>)</w:t>
            </w:r>
          </w:p>
        </w:tc>
      </w:tr>
    </w:tbl>
    <w:p w:rsidR="00F326C2" w:rsidRPr="00D6605E" w:rsidRDefault="00F326C2" w:rsidP="00F326C2">
      <w:pPr>
        <w:rPr>
          <w:rFonts w:asciiTheme="majorHAnsi" w:hAnsiTheme="majorHAnsi"/>
          <w:sz w:val="22"/>
          <w:szCs w:val="22"/>
        </w:rPr>
      </w:pPr>
    </w:p>
    <w:sectPr w:rsidR="00F326C2" w:rsidRPr="00D6605E"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C2" w:rsidRDefault="00F326C2" w:rsidP="00F326C2">
      <w:r>
        <w:separator/>
      </w:r>
    </w:p>
  </w:endnote>
  <w:endnote w:type="continuationSeparator" w:id="0">
    <w:p w:rsidR="00F326C2" w:rsidRDefault="00F326C2" w:rsidP="00F3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C2" w:rsidRDefault="00F326C2" w:rsidP="00F326C2">
      <w:r>
        <w:separator/>
      </w:r>
    </w:p>
  </w:footnote>
  <w:footnote w:type="continuationSeparator" w:id="0">
    <w:p w:rsidR="00F326C2" w:rsidRDefault="00F326C2" w:rsidP="00F326C2">
      <w:r>
        <w:continuationSeparator/>
      </w:r>
    </w:p>
  </w:footnote>
  <w:footnote w:id="1">
    <w:p w:rsidR="00F326C2" w:rsidRPr="00F326C2" w:rsidRDefault="00F326C2" w:rsidP="00F326C2">
      <w:pPr>
        <w:pStyle w:val="FootnoteText"/>
        <w:spacing w:after="0"/>
        <w:contextualSpacing/>
      </w:pPr>
      <w:r w:rsidRPr="00F326C2">
        <w:rPr>
          <w:rStyle w:val="FootnoteReference"/>
        </w:rPr>
        <w:footnoteRef/>
      </w:r>
      <w:r w:rsidRPr="00F326C2">
        <w:t xml:space="preserve"> The Scope 1 identifiers for RCRC are alrea</w:t>
      </w:r>
      <w:r>
        <w:t>dy placed on the reserved list:</w:t>
      </w:r>
      <w:hyperlink r:id="rId1" w:history="1">
        <w:r w:rsidRPr="00F326C2">
          <w:rPr>
            <w:rStyle w:val="Hyperlink"/>
          </w:rPr>
          <w:t>http://www.icann.org/sites/default/files/packages/reserved-names/ReservedNames.xml</w:t>
        </w:r>
      </w:hyperlink>
      <w:r w:rsidRPr="00F326C2">
        <w:rPr>
          <w:rStyle w:val="Hyperlink"/>
        </w:rPr>
        <w:t xml:space="preserve">. </w:t>
      </w:r>
    </w:p>
  </w:footnote>
  <w:footnote w:id="2">
    <w:p w:rsidR="00F326C2" w:rsidRPr="00F326C2" w:rsidRDefault="00F326C2" w:rsidP="00F326C2">
      <w:pPr>
        <w:pStyle w:val="FootnoteText"/>
        <w:spacing w:after="0"/>
        <w:contextualSpacing/>
      </w:pPr>
      <w:r w:rsidRPr="00F326C2">
        <w:rPr>
          <w:rStyle w:val="FootnoteReference"/>
        </w:rPr>
        <w:footnoteRef/>
      </w:r>
      <w:r w:rsidRPr="00F326C2">
        <w:t xml:space="preserve"> The Scope 1 identifiers for IOC are already placed on the reserved list: </w:t>
      </w:r>
      <w:hyperlink r:id="rId2" w:history="1">
        <w:r w:rsidRPr="00F326C2">
          <w:rPr>
            <w:rStyle w:val="Hyperlink"/>
          </w:rPr>
          <w:t>http://www.icann.org/sites/default/files/packages/reserved-names/ReservedNames.xml</w:t>
        </w:r>
      </w:hyperlink>
      <w:r w:rsidRPr="00F326C2">
        <w:rPr>
          <w:rStyle w:val="Hyperlink"/>
        </w:rPr>
        <w:t xml:space="preserve">. </w:t>
      </w:r>
    </w:p>
  </w:footnote>
  <w:footnote w:id="3">
    <w:p w:rsidR="00F326C2" w:rsidRPr="00F326C2" w:rsidRDefault="00F326C2" w:rsidP="00F326C2">
      <w:pPr>
        <w:pStyle w:val="FootnoteText"/>
        <w:spacing w:after="0"/>
        <w:contextualSpacing/>
      </w:pPr>
      <w:r w:rsidRPr="00F326C2">
        <w:rPr>
          <w:rStyle w:val="FootnoteReference"/>
        </w:rPr>
        <w:footnoteRef/>
      </w:r>
      <w:r w:rsidRPr="00F326C2">
        <w:rPr>
          <w:rStyle w:val="FootnoteReference"/>
        </w:rPr>
        <w:t xml:space="preserve"> </w:t>
      </w:r>
      <w:r>
        <w:t>T</w:t>
      </w:r>
      <w:r w:rsidRPr="00F326C2">
        <w:t>he IOC did not request protections for acronyms.</w:t>
      </w:r>
    </w:p>
  </w:footnote>
  <w:footnote w:id="4">
    <w:p w:rsidR="00F326C2" w:rsidRPr="00F326C2" w:rsidRDefault="00F326C2" w:rsidP="00F326C2">
      <w:pPr>
        <w:pStyle w:val="FootnoteText"/>
        <w:spacing w:after="0"/>
        <w:contextualSpacing/>
      </w:pPr>
      <w:r w:rsidRPr="00F326C2">
        <w:rPr>
          <w:rStyle w:val="FootnoteReference"/>
        </w:rPr>
        <w:footnoteRef/>
      </w:r>
      <w:r w:rsidRPr="00F326C2">
        <w:t xml:space="preserve"> List of IGO Full Name &amp; Acronym (Scope 1 &amp; 2) Identifiers from GAC Advice: </w:t>
      </w:r>
      <w:hyperlink r:id="rId3" w:history="1">
        <w:r w:rsidRPr="00F326C2">
          <w:rPr>
            <w:rStyle w:val="Hyperlink"/>
          </w:rPr>
          <w:t>http://www.icann.org/en/news/correspondence/dryden-to-crocker-chalaby-annex2-22mar13-en.pdf</w:t>
        </w:r>
      </w:hyperlink>
    </w:p>
  </w:footnote>
  <w:footnote w:id="5">
    <w:p w:rsidR="00F326C2" w:rsidRPr="00F326C2" w:rsidRDefault="00F326C2" w:rsidP="00F326C2">
      <w:pPr>
        <w:pStyle w:val="FootnoteText"/>
        <w:spacing w:after="0"/>
        <w:contextualSpacing/>
      </w:pPr>
      <w:r w:rsidRPr="00F326C2">
        <w:rPr>
          <w:rStyle w:val="FootnoteReference"/>
        </w:rPr>
        <w:footnoteRef/>
      </w:r>
      <w:r w:rsidRPr="00F326C2">
        <w:t xml:space="preserve"> The </w:t>
      </w:r>
      <w:r>
        <w:t>WG noted that “</w:t>
      </w:r>
      <w:r w:rsidRPr="00F326C2">
        <w:t>IGO Representatives collaborating with the GAC are to provide a list of the two languages each organization prefers because ICANN may not be in a position to determine which languages should be reserved for each of the 190+ organizations on the GAC list (UN6 is the standard scope for which ICANN conducts translations.)</w:t>
      </w:r>
      <w:r>
        <w:t>”</w:t>
      </w:r>
    </w:p>
  </w:footnote>
  <w:footnote w:id="6">
    <w:p w:rsidR="00F326C2" w:rsidRPr="00F326C2" w:rsidRDefault="00F326C2" w:rsidP="00F326C2">
      <w:pPr>
        <w:pStyle w:val="FootnoteText"/>
        <w:spacing w:after="0"/>
        <w:contextualSpacing/>
      </w:pPr>
      <w:r w:rsidRPr="00F326C2">
        <w:rPr>
          <w:rStyle w:val="FootnoteReference"/>
        </w:rPr>
        <w:footnoteRef/>
      </w:r>
      <w:r w:rsidRPr="00F326C2">
        <w:t xml:space="preserve"> The </w:t>
      </w:r>
      <w:r>
        <w:t xml:space="preserve">WG </w:t>
      </w:r>
      <w:proofErr w:type="gramStart"/>
      <w:r>
        <w:t>noted that</w:t>
      </w:r>
      <w:proofErr w:type="gramEnd"/>
      <w:r>
        <w:t xml:space="preserve"> “the </w:t>
      </w:r>
      <w:r w:rsidRPr="00F326C2">
        <w:t>Implementation Recommendations Team (IRT) to be formed in relation to this PDP will need to determine how this list is managed as new organizations enter the ECOSOC list.</w:t>
      </w:r>
      <w:r>
        <w:t>”</w:t>
      </w:r>
      <w:r w:rsidRPr="00F326C2">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2BB"/>
    <w:multiLevelType w:val="hybridMultilevel"/>
    <w:tmpl w:val="34E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1233D"/>
    <w:multiLevelType w:val="hybridMultilevel"/>
    <w:tmpl w:val="127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555A6"/>
    <w:multiLevelType w:val="hybridMultilevel"/>
    <w:tmpl w:val="282EC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0A"/>
    <w:rsid w:val="00064DF4"/>
    <w:rsid w:val="002A7410"/>
    <w:rsid w:val="002E280A"/>
    <w:rsid w:val="005E6CD8"/>
    <w:rsid w:val="00A9584F"/>
    <w:rsid w:val="00CB67A4"/>
    <w:rsid w:val="00D16ED3"/>
    <w:rsid w:val="00D6605E"/>
    <w:rsid w:val="00DE02FF"/>
    <w:rsid w:val="00F32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80A"/>
    <w:rPr>
      <w:color w:val="0000FF"/>
      <w:u w:val="single"/>
    </w:rPr>
  </w:style>
  <w:style w:type="character" w:customStyle="1" w:styleId="apple-converted-space">
    <w:name w:val="apple-converted-space"/>
    <w:basedOn w:val="DefaultParagraphFont"/>
    <w:rsid w:val="002E280A"/>
  </w:style>
  <w:style w:type="paragraph" w:styleId="ListParagraph">
    <w:name w:val="List Paragraph"/>
    <w:basedOn w:val="Normal"/>
    <w:uiPriority w:val="34"/>
    <w:qFormat/>
    <w:rsid w:val="005E6CD8"/>
    <w:pPr>
      <w:ind w:left="720"/>
      <w:contextualSpacing/>
    </w:pPr>
  </w:style>
  <w:style w:type="paragraph" w:styleId="FootnoteText">
    <w:name w:val="footnote text"/>
    <w:basedOn w:val="Normal"/>
    <w:link w:val="FootnoteTextChar"/>
    <w:uiPriority w:val="99"/>
    <w:unhideWhenUsed/>
    <w:rsid w:val="00F326C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326C2"/>
    <w:rPr>
      <w:rFonts w:ascii="Calibri" w:eastAsia="Calibri" w:hAnsi="Calibri" w:cs="Times New Roman"/>
      <w:sz w:val="20"/>
      <w:szCs w:val="20"/>
    </w:rPr>
  </w:style>
  <w:style w:type="character" w:styleId="FootnoteReference">
    <w:name w:val="footnote reference"/>
    <w:rsid w:val="00F326C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80A"/>
    <w:rPr>
      <w:color w:val="0000FF"/>
      <w:u w:val="single"/>
    </w:rPr>
  </w:style>
  <w:style w:type="character" w:customStyle="1" w:styleId="apple-converted-space">
    <w:name w:val="apple-converted-space"/>
    <w:basedOn w:val="DefaultParagraphFont"/>
    <w:rsid w:val="002E280A"/>
  </w:style>
  <w:style w:type="paragraph" w:styleId="ListParagraph">
    <w:name w:val="List Paragraph"/>
    <w:basedOn w:val="Normal"/>
    <w:uiPriority w:val="34"/>
    <w:qFormat/>
    <w:rsid w:val="005E6CD8"/>
    <w:pPr>
      <w:ind w:left="720"/>
      <w:contextualSpacing/>
    </w:pPr>
  </w:style>
  <w:style w:type="paragraph" w:styleId="FootnoteText">
    <w:name w:val="footnote text"/>
    <w:basedOn w:val="Normal"/>
    <w:link w:val="FootnoteTextChar"/>
    <w:uiPriority w:val="99"/>
    <w:unhideWhenUsed/>
    <w:rsid w:val="00F326C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326C2"/>
    <w:rPr>
      <w:rFonts w:ascii="Calibri" w:eastAsia="Calibri" w:hAnsi="Calibri" w:cs="Times New Roman"/>
      <w:sz w:val="20"/>
      <w:szCs w:val="20"/>
    </w:rPr>
  </w:style>
  <w:style w:type="character" w:styleId="FootnoteReference">
    <w:name w:val="footnote reference"/>
    <w:rsid w:val="00F326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925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cann.org/en/news/public-comment/igo-ingo-crp-prelim-10mar14-en.htm" TargetMode="External"/><Relationship Id="rId20" Type="http://schemas.openxmlformats.org/officeDocument/2006/relationships/hyperlink" Target="https://www.icann.org/news/public-comment/report-comments-igo-ingo-crp-prelim-16may14-en.pdf" TargetMode="External"/><Relationship Id="rId21" Type="http://schemas.openxmlformats.org/officeDocument/2006/relationships/hyperlink" Target="http://gnso.icann.org/en/drafts/igo-ingo-crp-final-25may14-en.pdf" TargetMode="External"/><Relationship Id="rId22" Type="http://schemas.openxmlformats.org/officeDocument/2006/relationships/hyperlink" Target="http://gnso.icann.org/en/drafts/igo-ingo-crp-access-charter-24jun14-en.pdf" TargetMode="External"/><Relationship Id="rId23" Type="http://schemas.openxmlformats.org/officeDocument/2006/relationships/hyperlink" Target="mailto:marika.konings@icann.org" TargetMode="External"/><Relationship Id="rId24" Type="http://schemas.openxmlformats.org/officeDocument/2006/relationships/hyperlink" Target="mailto:mary.wong@icann.org" TargetMode="External"/><Relationship Id="rId25" Type="http://schemas.openxmlformats.org/officeDocument/2006/relationships/hyperlink" Target="http://gnso.icann.org/en/issues/igo-ingo-final-10nov13-en.pdf" TargetMode="External"/><Relationship Id="rId26" Type="http://schemas.openxmlformats.org/officeDocument/2006/relationships/hyperlink" Target="http://csonet.org/content/documents/E2011INF4.pdf"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gnso.icann.org/en/drafts/igo-ingo-crp-final-25may14-en.pdf" TargetMode="External"/><Relationship Id="rId11" Type="http://schemas.openxmlformats.org/officeDocument/2006/relationships/hyperlink" Target="http://gnso.icann.org/en/council/resolutions" TargetMode="External"/><Relationship Id="rId12" Type="http://schemas.openxmlformats.org/officeDocument/2006/relationships/hyperlink" Target="http://gnso.icann.org/en/council/resolutions" TargetMode="External"/><Relationship Id="rId13" Type="http://schemas.openxmlformats.org/officeDocument/2006/relationships/hyperlink" Target="http://gnso.icann.org/en/announcements/announcement-11jul14-en.htm" TargetMode="External"/><Relationship Id="rId14" Type="http://schemas.openxmlformats.org/officeDocument/2006/relationships/hyperlink" Target="http://gnso.icann.org/en/issues/igo-ingo-final-10nov13-en.pdf" TargetMode="External"/><Relationship Id="rId15" Type="http://schemas.openxmlformats.org/officeDocument/2006/relationships/hyperlink" Target="http://gnso.icann.org/en/drafts/igo-ingo-crp-access-charter-24jun14-en.pdf" TargetMode="External"/><Relationship Id="rId16" Type="http://schemas.openxmlformats.org/officeDocument/2006/relationships/hyperlink" Target="https://www.icann.org/news/public-comment/report-comments-igo-ingo-crp-prelim-16may14-en.pdf" TargetMode="External"/><Relationship Id="rId17" Type="http://schemas.openxmlformats.org/officeDocument/2006/relationships/hyperlink" Target="http://gnso.icann.org/council/annex-1-gnso-wg-guidelines-26mar14-en.pdf" TargetMode="External"/><Relationship Id="rId18" Type="http://schemas.openxmlformats.org/officeDocument/2006/relationships/hyperlink" Target="http://gnso.icann.org/en/issues/igo-ingo-final-10nov13-en.pdf" TargetMode="External"/><Relationship Id="rId19" Type="http://schemas.openxmlformats.org/officeDocument/2006/relationships/hyperlink" Target="http://gnso.icann.org/en/issues/igo-ingo-crp-prelim-10mar14-e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drafts/igo-ingo-crp-access-charter-24jun14-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sites/default/files/packages/reserved-names/ReservedNames.xml" TargetMode="External"/><Relationship Id="rId2" Type="http://schemas.openxmlformats.org/officeDocument/2006/relationships/hyperlink" Target="http://www.icann.org/sites/default/files/packages/reserved-names/ReservedNames.xml" TargetMode="External"/><Relationship Id="rId3" Type="http://schemas.openxmlformats.org/officeDocument/2006/relationships/hyperlink" Target="http://www.icann.org/en/news/correspondence/dryden-to-crocker-chalaby-annex2-22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1408</Words>
  <Characters>8032</Characters>
  <Application>Microsoft Macintosh Word</Application>
  <DocSecurity>0</DocSecurity>
  <Lines>66</Lines>
  <Paragraphs>18</Paragraphs>
  <ScaleCrop>false</ScaleCrop>
  <Company>ICANN</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2014-08-07T13:50:00Z</dcterms:created>
  <dcterms:modified xsi:type="dcterms:W3CDTF">2014-08-07T13:50:00Z</dcterms:modified>
</cp:coreProperties>
</file>