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67F" w:rsidRDefault="003C067F" w:rsidP="00351C50">
      <w:pPr>
        <w:spacing w:line="276" w:lineRule="auto"/>
        <w:rPr>
          <w:rFonts w:ascii="Arial" w:hAnsi="Arial" w:cs="Arial"/>
          <w:b/>
          <w:color w:val="000000"/>
          <w:sz w:val="22"/>
          <w:szCs w:val="22"/>
          <w:lang w:val="en-US" w:eastAsia="en-US"/>
        </w:rPr>
      </w:pPr>
    </w:p>
    <w:p w:rsidR="008627DE" w:rsidRPr="00BF385D" w:rsidRDefault="00351C50" w:rsidP="00BF385D">
      <w:pPr>
        <w:rPr>
          <w:rFonts w:ascii="Arial" w:hAnsi="Arial" w:cs="Arial"/>
          <w:color w:val="000000"/>
          <w:sz w:val="22"/>
          <w:szCs w:val="22"/>
          <w:lang w:val="en-US" w:eastAsia="en-US"/>
        </w:rPr>
      </w:pPr>
      <w:r w:rsidRPr="00351C50">
        <w:rPr>
          <w:rFonts w:ascii="Arial" w:hAnsi="Arial" w:cs="Arial"/>
          <w:b/>
          <w:color w:val="000000"/>
          <w:sz w:val="22"/>
          <w:szCs w:val="22"/>
          <w:lang w:val="en-US" w:eastAsia="en-US"/>
        </w:rPr>
        <w:t>Recommendation #4:</w:t>
      </w:r>
      <w:r w:rsidRPr="00351C50">
        <w:rPr>
          <w:rFonts w:ascii="Arial" w:hAnsi="Arial" w:cs="Arial"/>
          <w:color w:val="000000"/>
          <w:sz w:val="22"/>
          <w:szCs w:val="22"/>
          <w:lang w:val="en-US" w:eastAsia="en-US"/>
        </w:rPr>
        <w:t xml:space="preserve"> In relation to the issue of jurisdictional immunity, which IGOs may claim successfully in certain circumstances (but not INGOs), the Working Group recommends that: (a) no change be made to the Mutual Jurisdiction clause of the UDRP and URS; (b)</w:t>
      </w:r>
      <w:r w:rsidR="00630664" w:rsidRPr="00BF385D">
        <w:rPr>
          <w:rFonts w:ascii="Arial" w:hAnsi="Arial" w:cs="Arial"/>
          <w:color w:val="000000"/>
          <w:sz w:val="22"/>
          <w:szCs w:val="22"/>
          <w:lang w:val="en-US" w:eastAsia="en-US"/>
        </w:rPr>
        <w:t xml:space="preserve"> IGOs be notified that they have the ability to elect to have a complaint filed under the UDRP and/or URS on their behalf by an assignee, agent or licensee; </w:t>
      </w:r>
      <w:r w:rsidRPr="00351C50">
        <w:rPr>
          <w:rFonts w:ascii="Arial" w:hAnsi="Arial" w:cs="Arial"/>
          <w:color w:val="000000"/>
          <w:sz w:val="22"/>
          <w:szCs w:val="22"/>
          <w:lang w:val="en-US" w:eastAsia="en-US"/>
        </w:rPr>
        <w:t xml:space="preserve">such that (c) claims of jurisdictional immunity made by an IGO in respect of a particular jurisdiction will fall to be determined by the applicable laws of that jurisdiction. </w:t>
      </w:r>
    </w:p>
    <w:p w:rsidR="008627DE" w:rsidRPr="00BF385D" w:rsidRDefault="008627DE" w:rsidP="00BF385D">
      <w:pPr>
        <w:rPr>
          <w:rFonts w:ascii="Arial" w:hAnsi="Arial" w:cs="Arial"/>
          <w:color w:val="000000"/>
          <w:sz w:val="22"/>
          <w:szCs w:val="22"/>
          <w:lang w:val="en-US" w:eastAsia="en-US"/>
        </w:rPr>
      </w:pPr>
    </w:p>
    <w:p w:rsidR="008627DE" w:rsidRPr="00BF385D" w:rsidRDefault="00351C50" w:rsidP="00BF385D">
      <w:pPr>
        <w:rPr>
          <w:rFonts w:ascii="Arial" w:hAnsi="Arial" w:cs="Arial"/>
          <w:color w:val="000000"/>
          <w:sz w:val="22"/>
          <w:szCs w:val="22"/>
          <w:lang w:val="en-US" w:eastAsia="en-US"/>
        </w:rPr>
      </w:pPr>
      <w:r w:rsidRPr="00351C50">
        <w:rPr>
          <w:rFonts w:ascii="Arial" w:hAnsi="Arial" w:cs="Arial"/>
          <w:color w:val="000000"/>
          <w:sz w:val="22"/>
          <w:szCs w:val="22"/>
          <w:lang w:val="en-US" w:eastAsia="en-US"/>
        </w:rPr>
        <w:t xml:space="preserve">Where an IGO succeeds in asserting its claim of jurisdictional immunity in a court of mutual jurisdiction, then </w:t>
      </w:r>
    </w:p>
    <w:p w:rsidR="008627DE" w:rsidRPr="00BF385D" w:rsidRDefault="008627DE" w:rsidP="00BF385D">
      <w:pPr>
        <w:rPr>
          <w:rFonts w:ascii="Arial" w:hAnsi="Arial" w:cs="Arial"/>
          <w:color w:val="000000"/>
          <w:sz w:val="22"/>
          <w:szCs w:val="22"/>
          <w:lang w:val="en-US" w:eastAsia="en-US"/>
        </w:rPr>
      </w:pPr>
    </w:p>
    <w:p w:rsidR="008627DE" w:rsidRPr="00BF385D" w:rsidRDefault="008627DE" w:rsidP="00BF385D">
      <w:pPr>
        <w:rPr>
          <w:rFonts w:ascii="Arial" w:hAnsi="Arial" w:cs="Arial"/>
          <w:i/>
          <w:color w:val="000000"/>
          <w:sz w:val="22"/>
          <w:szCs w:val="22"/>
          <w:lang w:val="en-US" w:eastAsia="en-US"/>
        </w:rPr>
      </w:pPr>
      <w:r w:rsidRPr="00BF385D">
        <w:rPr>
          <w:rFonts w:ascii="Arial" w:hAnsi="Arial" w:cs="Arial"/>
          <w:color w:val="000000"/>
          <w:sz w:val="22"/>
          <w:szCs w:val="22"/>
          <w:lang w:val="en-US" w:eastAsia="en-US"/>
        </w:rPr>
        <w:t>[</w:t>
      </w:r>
      <w:r w:rsidR="00351C50" w:rsidRPr="00351C50">
        <w:rPr>
          <w:rFonts w:ascii="Arial" w:hAnsi="Arial" w:cs="Arial"/>
          <w:color w:val="000000"/>
          <w:sz w:val="22"/>
          <w:szCs w:val="22"/>
          <w:lang w:val="en-US" w:eastAsia="en-US"/>
        </w:rPr>
        <w:t>Option 1</w:t>
      </w:r>
      <w:r w:rsidRPr="00BF385D">
        <w:rPr>
          <w:rFonts w:ascii="Arial" w:hAnsi="Arial" w:cs="Arial"/>
          <w:color w:val="000000"/>
          <w:sz w:val="22"/>
          <w:szCs w:val="22"/>
          <w:lang w:val="en-US" w:eastAsia="en-US"/>
        </w:rPr>
        <w:t xml:space="preserve">] </w:t>
      </w:r>
      <w:r w:rsidR="00351C50" w:rsidRPr="00351C50">
        <w:rPr>
          <w:rFonts w:ascii="Arial" w:hAnsi="Arial" w:cs="Arial"/>
          <w:color w:val="000000"/>
          <w:sz w:val="22"/>
          <w:szCs w:val="22"/>
          <w:lang w:val="en-US" w:eastAsia="en-US"/>
        </w:rPr>
        <w:t xml:space="preserve">the decision rendered against the registrant in the predecessor UDRP </w:t>
      </w:r>
      <w:r w:rsidRPr="00BF385D">
        <w:rPr>
          <w:rFonts w:ascii="Arial" w:hAnsi="Arial" w:cs="Arial"/>
          <w:color w:val="000000"/>
          <w:sz w:val="22"/>
          <w:szCs w:val="22"/>
          <w:lang w:val="en-US" w:eastAsia="en-US"/>
        </w:rPr>
        <w:t>or URS shall be vitiated</w:t>
      </w:r>
      <w:r w:rsidR="00630664" w:rsidRPr="00BF385D">
        <w:rPr>
          <w:rFonts w:ascii="Arial" w:hAnsi="Arial" w:cs="Arial"/>
          <w:color w:val="000000"/>
          <w:sz w:val="22"/>
          <w:szCs w:val="22"/>
          <w:lang w:val="en-US" w:eastAsia="en-US"/>
        </w:rPr>
        <w:t xml:space="preserve">, </w:t>
      </w:r>
      <w:r w:rsidR="00630664" w:rsidRPr="00BF385D">
        <w:rPr>
          <w:rFonts w:ascii="Arial" w:hAnsi="Arial" w:cs="Arial"/>
          <w:i/>
          <w:color w:val="000000"/>
          <w:sz w:val="22"/>
          <w:szCs w:val="22"/>
          <w:lang w:val="en-US" w:eastAsia="en-US"/>
        </w:rPr>
        <w:t>or</w:t>
      </w:r>
    </w:p>
    <w:p w:rsidR="00630664" w:rsidRPr="00BF385D" w:rsidRDefault="00351C50" w:rsidP="00BF385D">
      <w:pPr>
        <w:rPr>
          <w:rFonts w:ascii="Arial" w:hAnsi="Arial" w:cs="Arial"/>
          <w:color w:val="000000"/>
          <w:sz w:val="22"/>
          <w:szCs w:val="22"/>
          <w:lang w:val="en-US" w:eastAsia="en-US"/>
        </w:rPr>
      </w:pPr>
      <w:r w:rsidRPr="00351C50">
        <w:rPr>
          <w:rFonts w:ascii="Arial" w:hAnsi="Arial" w:cs="Arial"/>
          <w:color w:val="000000"/>
          <w:sz w:val="22"/>
          <w:szCs w:val="22"/>
          <w:lang w:val="en-US" w:eastAsia="en-US"/>
        </w:rPr>
        <w:t>[Option 2</w:t>
      </w:r>
      <w:r w:rsidR="008627DE" w:rsidRPr="00BF385D">
        <w:rPr>
          <w:rFonts w:ascii="Arial" w:hAnsi="Arial" w:cs="Arial"/>
          <w:color w:val="000000"/>
          <w:sz w:val="22"/>
          <w:szCs w:val="22"/>
          <w:lang w:val="en-US" w:eastAsia="en-US"/>
        </w:rPr>
        <w:t xml:space="preserve">] </w:t>
      </w:r>
      <w:r w:rsidRPr="00351C50">
        <w:rPr>
          <w:rFonts w:ascii="Arial" w:hAnsi="Arial" w:cs="Arial"/>
          <w:color w:val="000000"/>
          <w:sz w:val="22"/>
          <w:szCs w:val="22"/>
          <w:lang w:val="en-US" w:eastAsia="en-US"/>
        </w:rPr>
        <w:t>the decision rendered against the registrant in the predecessor UDRP may be brought before the [name of arbitration entity] for de novo review and judgment</w:t>
      </w:r>
      <w:r w:rsidR="00630664" w:rsidRPr="00BF385D">
        <w:rPr>
          <w:rFonts w:ascii="Arial" w:hAnsi="Arial" w:cs="Arial"/>
          <w:color w:val="000000"/>
          <w:sz w:val="22"/>
          <w:szCs w:val="22"/>
          <w:lang w:val="en-US" w:eastAsia="en-US"/>
        </w:rPr>
        <w:t>.</w:t>
      </w:r>
    </w:p>
    <w:p w:rsidR="00630664" w:rsidRPr="00BF385D" w:rsidRDefault="00630664" w:rsidP="00BF385D">
      <w:pPr>
        <w:rPr>
          <w:rFonts w:ascii="Arial" w:hAnsi="Arial" w:cs="Arial"/>
          <w:color w:val="000000"/>
          <w:sz w:val="22"/>
          <w:szCs w:val="22"/>
          <w:lang w:val="en-US" w:eastAsia="en-US"/>
        </w:rPr>
      </w:pPr>
    </w:p>
    <w:p w:rsidR="00351C50" w:rsidRPr="00BF385D" w:rsidRDefault="00351C50" w:rsidP="00BF385D">
      <w:pPr>
        <w:rPr>
          <w:rFonts w:ascii="Arial" w:hAnsi="Arial" w:cs="Arial"/>
          <w:color w:val="000000"/>
          <w:sz w:val="22"/>
          <w:szCs w:val="22"/>
          <w:lang w:val="en-US" w:eastAsia="en-US"/>
        </w:rPr>
      </w:pPr>
      <w:r w:rsidRPr="00351C50">
        <w:rPr>
          <w:rFonts w:ascii="Arial" w:hAnsi="Arial" w:cs="Arial"/>
          <w:color w:val="000000"/>
          <w:sz w:val="22"/>
          <w:szCs w:val="22"/>
          <w:lang w:val="en-US" w:eastAsia="en-US"/>
        </w:rPr>
        <w:t>The Working Group recommends, further, that a Policy Guidance document be prepared and circulated to the Governmental Advisory Committee (GAC) and the IGO representatives who have been active on this issue at ICANN, that outlines the specific options available to IGOs who seek to suspend, cancel or transfer a registrant’s domain name.</w:t>
      </w:r>
    </w:p>
    <w:p w:rsidR="00351C50" w:rsidRPr="00351C50" w:rsidRDefault="00351C50" w:rsidP="00BF385D">
      <w:pPr>
        <w:rPr>
          <w:rFonts w:ascii="Arial" w:hAnsi="Arial" w:cs="Arial"/>
          <w:b/>
          <w:color w:val="000000"/>
          <w:sz w:val="22"/>
          <w:szCs w:val="22"/>
          <w:lang w:eastAsia="en-US"/>
        </w:rPr>
      </w:pPr>
    </w:p>
    <w:p w:rsidR="00351C50" w:rsidRPr="00351C50" w:rsidRDefault="00351C50" w:rsidP="00BF385D">
      <w:pPr>
        <w:rPr>
          <w:rFonts w:ascii="Arial" w:hAnsi="Arial" w:cs="Arial"/>
          <w:sz w:val="22"/>
          <w:szCs w:val="22"/>
          <w:lang w:val="en-US" w:eastAsia="en-US"/>
        </w:rPr>
      </w:pPr>
      <w:r w:rsidRPr="00351C50">
        <w:rPr>
          <w:rFonts w:ascii="Arial" w:hAnsi="Arial" w:cs="Arial"/>
          <w:sz w:val="22"/>
          <w:szCs w:val="22"/>
          <w:lang w:val="en-US" w:eastAsia="en-US"/>
        </w:rPr>
        <w:t>In presenting Options 1 and 2 above, the WG acknowledges that it has yet to uncover a perfect solution. As such, the WG has identified a number of different factors to consider when examining the two options. Accordingly, the WG would like to solicit input from the community to aid in developing its final recommendations.</w:t>
      </w:r>
    </w:p>
    <w:p w:rsidR="00351C50" w:rsidRPr="00351C50" w:rsidRDefault="00351C50" w:rsidP="00BF385D">
      <w:pPr>
        <w:rPr>
          <w:rFonts w:ascii="Arial" w:hAnsi="Arial" w:cs="Arial"/>
          <w:sz w:val="22"/>
          <w:szCs w:val="22"/>
          <w:lang w:val="en-US" w:eastAsia="en-US"/>
        </w:rPr>
      </w:pPr>
    </w:p>
    <w:p w:rsidR="00351C50" w:rsidRPr="00351C50" w:rsidRDefault="00351C50" w:rsidP="00BF385D">
      <w:pPr>
        <w:rPr>
          <w:rFonts w:ascii="Arial" w:hAnsi="Arial" w:cs="Arial"/>
          <w:sz w:val="22"/>
          <w:szCs w:val="22"/>
          <w:lang w:val="en-US" w:eastAsia="en-US"/>
        </w:rPr>
      </w:pPr>
      <w:r w:rsidRPr="00351C50">
        <w:rPr>
          <w:rFonts w:ascii="Arial" w:hAnsi="Arial" w:cs="Arial"/>
          <w:sz w:val="22"/>
          <w:szCs w:val="22"/>
          <w:lang w:val="en-US" w:eastAsia="en-US"/>
        </w:rPr>
        <w:t xml:space="preserve">For context, the WG anticipates that the circumstances under which this scenario would occur – where an IGO files a complaint under the UDRP or URS, the IGO succeeds in the dispute resolution process, and the losing respondent then seeks relief against the UDRP or URS decision – will be extremely rare. </w:t>
      </w:r>
      <w:r w:rsidR="00BF385D">
        <w:rPr>
          <w:rFonts w:ascii="Arial" w:hAnsi="Arial" w:cs="Arial"/>
          <w:sz w:val="22"/>
          <w:szCs w:val="22"/>
          <w:lang w:val="en-US" w:eastAsia="en-US"/>
        </w:rPr>
        <w:t>Here are some further thoughts and questions related to the two options:</w:t>
      </w:r>
    </w:p>
    <w:p w:rsidR="00351C50" w:rsidRPr="00351C50" w:rsidRDefault="00351C50" w:rsidP="00BF385D">
      <w:pPr>
        <w:rPr>
          <w:rFonts w:ascii="Arial" w:hAnsi="Arial" w:cs="Arial"/>
          <w:color w:val="000000"/>
          <w:sz w:val="22"/>
          <w:szCs w:val="22"/>
          <w:lang w:val="en-US" w:eastAsia="en-US"/>
        </w:rPr>
      </w:pPr>
    </w:p>
    <w:p w:rsidR="008C26C0" w:rsidRPr="00BF385D" w:rsidRDefault="00351C50" w:rsidP="00BF385D">
      <w:pPr>
        <w:rPr>
          <w:rFonts w:ascii="Arial" w:hAnsi="Arial" w:cs="Arial"/>
          <w:sz w:val="22"/>
          <w:szCs w:val="22"/>
          <w:lang w:val="en-US" w:eastAsia="en-US"/>
        </w:rPr>
      </w:pPr>
      <w:r w:rsidRPr="00351C50">
        <w:rPr>
          <w:rFonts w:ascii="Arial" w:hAnsi="Arial" w:cs="Arial"/>
          <w:sz w:val="22"/>
          <w:szCs w:val="22"/>
          <w:lang w:val="en-US" w:eastAsia="en-US"/>
        </w:rPr>
        <w:t>Option 1:</w:t>
      </w:r>
      <w:r w:rsidR="008C26C0" w:rsidRPr="00BF385D">
        <w:rPr>
          <w:rFonts w:ascii="Arial" w:hAnsi="Arial" w:cs="Arial"/>
          <w:sz w:val="22"/>
          <w:szCs w:val="22"/>
          <w:lang w:val="en-US" w:eastAsia="en-US"/>
        </w:rPr>
        <w:t xml:space="preserve"> </w:t>
      </w:r>
    </w:p>
    <w:p w:rsidR="008C26C0" w:rsidRPr="00BF385D" w:rsidRDefault="008C26C0" w:rsidP="00BF385D">
      <w:pPr>
        <w:rPr>
          <w:rFonts w:ascii="Arial" w:hAnsi="Arial" w:cs="Arial"/>
          <w:sz w:val="22"/>
          <w:szCs w:val="22"/>
          <w:lang w:val="en-US" w:eastAsia="en-US"/>
        </w:rPr>
      </w:pPr>
      <w:r w:rsidRPr="00BF385D">
        <w:rPr>
          <w:rFonts w:ascii="Arial" w:hAnsi="Arial" w:cs="Arial"/>
          <w:sz w:val="22"/>
          <w:szCs w:val="22"/>
          <w:lang w:val="en-US" w:eastAsia="en-US"/>
        </w:rPr>
        <w:t>“T</w:t>
      </w:r>
      <w:r w:rsidRPr="00351C50">
        <w:rPr>
          <w:rFonts w:ascii="Arial" w:hAnsi="Arial" w:cs="Arial"/>
          <w:sz w:val="22"/>
          <w:szCs w:val="22"/>
          <w:lang w:val="en-US" w:eastAsia="en-US"/>
        </w:rPr>
        <w:t xml:space="preserve">he decision rendered against the registrant in the predecessor UDRP </w:t>
      </w:r>
      <w:r w:rsidRPr="00BF385D">
        <w:rPr>
          <w:rFonts w:ascii="Arial" w:hAnsi="Arial" w:cs="Arial"/>
          <w:sz w:val="22"/>
          <w:szCs w:val="22"/>
          <w:lang w:val="en-US" w:eastAsia="en-US"/>
        </w:rPr>
        <w:t>or URS shall be vitiated</w:t>
      </w:r>
      <w:r w:rsidRPr="00BF385D">
        <w:rPr>
          <w:rFonts w:ascii="Arial" w:hAnsi="Arial" w:cs="Arial"/>
          <w:sz w:val="22"/>
          <w:szCs w:val="22"/>
          <w:lang w:val="en-US" w:eastAsia="en-US"/>
        </w:rPr>
        <w:t>”</w:t>
      </w:r>
    </w:p>
    <w:p w:rsidR="008C26C0" w:rsidRPr="00BF385D" w:rsidRDefault="008C26C0" w:rsidP="00BF385D">
      <w:pPr>
        <w:rPr>
          <w:rFonts w:ascii="Arial" w:hAnsi="Arial" w:cs="Arial"/>
          <w:sz w:val="22"/>
          <w:szCs w:val="22"/>
          <w:lang w:val="en-US" w:eastAsia="en-US"/>
        </w:rPr>
      </w:pPr>
    </w:p>
    <w:p w:rsidR="003C067F" w:rsidRPr="00BF385D" w:rsidRDefault="003C067F" w:rsidP="00BF385D">
      <w:pPr>
        <w:pStyle w:val="ListParagraph"/>
        <w:numPr>
          <w:ilvl w:val="0"/>
          <w:numId w:val="2"/>
        </w:numPr>
        <w:rPr>
          <w:rFonts w:ascii="Arial" w:hAnsi="Arial" w:cs="Arial"/>
          <w:sz w:val="22"/>
          <w:szCs w:val="22"/>
          <w:lang w:val="en-US"/>
        </w:rPr>
      </w:pPr>
      <w:r w:rsidRPr="00BF385D">
        <w:rPr>
          <w:rFonts w:ascii="Arial" w:eastAsia="Arial" w:hAnsi="Arial" w:cs="Arial"/>
          <w:kern w:val="24"/>
          <w:sz w:val="22"/>
          <w:szCs w:val="22"/>
          <w:lang w:val="en-US"/>
        </w:rPr>
        <w:t xml:space="preserve">It needs to be noted however, that </w:t>
      </w:r>
      <w:r w:rsidRPr="00BF385D">
        <w:rPr>
          <w:rFonts w:ascii="Arial" w:eastAsia="Arial" w:hAnsi="Arial" w:cs="Arial"/>
          <w:kern w:val="24"/>
          <w:sz w:val="22"/>
          <w:szCs w:val="22"/>
          <w:lang w:val="en-US"/>
        </w:rPr>
        <w:t xml:space="preserve">IGO immunity is not assumed in circumstances where the relevant jurisdiction would not be inclined to afford it (e.g. its courts apply a functional or restrictive approach and regard the activity as beyond the scope of that IGO’s immunity) </w:t>
      </w:r>
    </w:p>
    <w:p w:rsidR="00351C50" w:rsidRPr="00351C50" w:rsidRDefault="00351C50" w:rsidP="00BF385D">
      <w:pPr>
        <w:numPr>
          <w:ilvl w:val="0"/>
          <w:numId w:val="2"/>
        </w:numPr>
        <w:contextualSpacing/>
        <w:rPr>
          <w:rFonts w:ascii="Arial" w:hAnsi="Arial" w:cs="Arial"/>
          <w:sz w:val="22"/>
          <w:szCs w:val="22"/>
          <w:lang w:val="en-US" w:eastAsia="en-US"/>
        </w:rPr>
      </w:pPr>
      <w:r w:rsidRPr="00351C50">
        <w:rPr>
          <w:rFonts w:ascii="Arial" w:hAnsi="Arial" w:cs="Arial"/>
          <w:sz w:val="22"/>
          <w:szCs w:val="22"/>
          <w:lang w:val="en-US" w:eastAsia="en-US"/>
        </w:rPr>
        <w:t xml:space="preserve">By vitiating the decision against the registrant in a UDRP or URS in the circumstance where an IGO has successfully claimed jurisdictional immunity, would we avoid creating a situation that would not otherwise arise in the absence of the UDRP?  </w:t>
      </w:r>
    </w:p>
    <w:p w:rsidR="00351C50" w:rsidRPr="00351C50" w:rsidRDefault="00351C50" w:rsidP="00BF385D">
      <w:pPr>
        <w:numPr>
          <w:ilvl w:val="0"/>
          <w:numId w:val="2"/>
        </w:numPr>
        <w:contextualSpacing/>
        <w:rPr>
          <w:rFonts w:ascii="Arial" w:hAnsi="Arial" w:cs="Arial"/>
          <w:sz w:val="22"/>
          <w:szCs w:val="22"/>
          <w:lang w:val="en-US" w:eastAsia="en-US"/>
        </w:rPr>
      </w:pPr>
      <w:r w:rsidRPr="00351C50">
        <w:rPr>
          <w:rFonts w:ascii="Arial" w:hAnsi="Arial" w:cs="Arial"/>
          <w:sz w:val="22"/>
          <w:szCs w:val="22"/>
          <w:lang w:val="en-US" w:eastAsia="en-US"/>
        </w:rPr>
        <w:t>By vitiating the decision against the registrant in a UDRP or URS in the circumstance where an IGO has successfully claimed jurisdictional immunity, would we encourage the losing registrant to seek relief in the courts (leaving the IGO with minimal choices – either waive jurisdictional immunity or seek jurisdictional immunity and thereby have the decision vitiated)?</w:t>
      </w:r>
    </w:p>
    <w:p w:rsidR="00351C50" w:rsidRPr="00351C50" w:rsidRDefault="00351C50" w:rsidP="00BF385D">
      <w:pPr>
        <w:numPr>
          <w:ilvl w:val="0"/>
          <w:numId w:val="2"/>
        </w:numPr>
        <w:contextualSpacing/>
        <w:rPr>
          <w:rFonts w:ascii="Arial" w:hAnsi="Arial" w:cs="Arial"/>
          <w:sz w:val="22"/>
          <w:szCs w:val="22"/>
          <w:lang w:val="en-US" w:eastAsia="en-US"/>
        </w:rPr>
      </w:pPr>
      <w:r w:rsidRPr="00351C50">
        <w:rPr>
          <w:rFonts w:ascii="Arial" w:hAnsi="Arial" w:cs="Arial"/>
          <w:sz w:val="22"/>
          <w:szCs w:val="22"/>
          <w:lang w:val="en-US" w:eastAsia="en-US"/>
        </w:rPr>
        <w:t>Is the registrant provided adequate paths for recourse?</w:t>
      </w:r>
    </w:p>
    <w:p w:rsidR="007712F3" w:rsidRPr="00BF385D" w:rsidRDefault="007712F3" w:rsidP="00BF385D">
      <w:pPr>
        <w:rPr>
          <w:rFonts w:ascii="Arial" w:hAnsi="Arial" w:cs="Arial"/>
          <w:sz w:val="22"/>
          <w:szCs w:val="22"/>
          <w:lang w:val="en-US" w:eastAsia="en-US"/>
        </w:rPr>
      </w:pPr>
    </w:p>
    <w:p w:rsidR="007712F3" w:rsidRPr="00351C50" w:rsidRDefault="007712F3" w:rsidP="00BF385D">
      <w:pPr>
        <w:rPr>
          <w:rFonts w:ascii="Arial" w:hAnsi="Arial" w:cs="Arial"/>
          <w:sz w:val="22"/>
          <w:szCs w:val="22"/>
          <w:lang w:val="en-US" w:eastAsia="en-US"/>
        </w:rPr>
      </w:pPr>
    </w:p>
    <w:p w:rsidR="00351C50" w:rsidRPr="00BF385D" w:rsidRDefault="00351C50" w:rsidP="00BF385D">
      <w:pPr>
        <w:rPr>
          <w:rFonts w:ascii="Arial" w:hAnsi="Arial" w:cs="Arial"/>
          <w:sz w:val="22"/>
          <w:szCs w:val="22"/>
          <w:lang w:val="en-US" w:eastAsia="en-US"/>
        </w:rPr>
      </w:pPr>
      <w:r w:rsidRPr="00351C50">
        <w:rPr>
          <w:rFonts w:ascii="Arial" w:hAnsi="Arial" w:cs="Arial"/>
          <w:sz w:val="22"/>
          <w:szCs w:val="22"/>
          <w:lang w:val="en-US" w:eastAsia="en-US"/>
        </w:rPr>
        <w:t>Option 2:</w:t>
      </w:r>
    </w:p>
    <w:p w:rsidR="008C26C0" w:rsidRPr="00BF385D" w:rsidRDefault="008C26C0" w:rsidP="00BF385D">
      <w:pPr>
        <w:rPr>
          <w:rFonts w:ascii="Arial" w:hAnsi="Arial" w:cs="Arial"/>
          <w:color w:val="000000"/>
          <w:sz w:val="22"/>
          <w:szCs w:val="22"/>
          <w:lang w:val="en-US" w:eastAsia="en-US"/>
        </w:rPr>
      </w:pPr>
      <w:r w:rsidRPr="00BF385D">
        <w:rPr>
          <w:rFonts w:ascii="Arial" w:hAnsi="Arial" w:cs="Arial"/>
          <w:color w:val="000000"/>
          <w:sz w:val="22"/>
          <w:szCs w:val="22"/>
          <w:lang w:val="en-US" w:eastAsia="en-US"/>
        </w:rPr>
        <w:lastRenderedPageBreak/>
        <w:t>“T</w:t>
      </w:r>
      <w:r w:rsidRPr="00351C50">
        <w:rPr>
          <w:rFonts w:ascii="Arial" w:hAnsi="Arial" w:cs="Arial"/>
          <w:color w:val="000000"/>
          <w:sz w:val="22"/>
          <w:szCs w:val="22"/>
          <w:lang w:val="en-US" w:eastAsia="en-US"/>
        </w:rPr>
        <w:t>he decision rendered against the registrant in the predecessor UDRP may be brought before the [name of arbitration entity] for de novo review and judgment</w:t>
      </w:r>
      <w:r w:rsidRPr="00BF385D">
        <w:rPr>
          <w:rFonts w:ascii="Arial" w:hAnsi="Arial" w:cs="Arial"/>
          <w:color w:val="000000"/>
          <w:sz w:val="22"/>
          <w:szCs w:val="22"/>
          <w:lang w:val="en-US" w:eastAsia="en-US"/>
        </w:rPr>
        <w:t>.</w:t>
      </w:r>
      <w:r w:rsidRPr="00BF385D">
        <w:rPr>
          <w:rFonts w:ascii="Arial" w:hAnsi="Arial" w:cs="Arial"/>
          <w:color w:val="000000"/>
          <w:sz w:val="22"/>
          <w:szCs w:val="22"/>
          <w:lang w:val="en-US" w:eastAsia="en-US"/>
        </w:rPr>
        <w:t>”</w:t>
      </w:r>
    </w:p>
    <w:p w:rsidR="008C26C0" w:rsidRPr="00BF385D" w:rsidRDefault="008C26C0" w:rsidP="00BF385D">
      <w:pPr>
        <w:rPr>
          <w:rFonts w:ascii="Arial" w:hAnsi="Arial" w:cs="Arial"/>
          <w:color w:val="FF0000"/>
          <w:sz w:val="22"/>
          <w:szCs w:val="22"/>
          <w:lang w:val="en-US" w:eastAsia="en-US"/>
        </w:rPr>
      </w:pPr>
    </w:p>
    <w:p w:rsidR="008C26C0" w:rsidRPr="00BF385D" w:rsidRDefault="003C067F" w:rsidP="00BF385D">
      <w:pPr>
        <w:pStyle w:val="NormalWeb"/>
        <w:numPr>
          <w:ilvl w:val="0"/>
          <w:numId w:val="2"/>
        </w:numPr>
        <w:spacing w:before="0" w:beforeAutospacing="0" w:after="0" w:afterAutospacing="0"/>
        <w:rPr>
          <w:rFonts w:ascii="Arial" w:hAnsi="Arial" w:cs="Arial"/>
          <w:sz w:val="22"/>
          <w:szCs w:val="22"/>
          <w:lang w:val="en-US"/>
        </w:rPr>
      </w:pPr>
      <w:r w:rsidRPr="00BF385D">
        <w:rPr>
          <w:rFonts w:ascii="Arial" w:eastAsia="Arial" w:hAnsi="Arial" w:cs="Arial"/>
          <w:bCs/>
          <w:kern w:val="24"/>
          <w:sz w:val="22"/>
          <w:szCs w:val="22"/>
          <w:lang w:val="en-US"/>
        </w:rPr>
        <w:t>The option to a</w:t>
      </w:r>
      <w:r w:rsidR="008C26C0" w:rsidRPr="00BF385D">
        <w:rPr>
          <w:rFonts w:ascii="Arial" w:eastAsia="Arial" w:hAnsi="Arial" w:cs="Arial"/>
          <w:bCs/>
          <w:kern w:val="24"/>
          <w:sz w:val="22"/>
          <w:szCs w:val="22"/>
          <w:lang w:val="en-US"/>
        </w:rPr>
        <w:t>llow use of an arbitral or third party non-judicial process</w:t>
      </w:r>
      <w:r w:rsidRPr="00BF385D">
        <w:rPr>
          <w:rFonts w:ascii="Arial" w:eastAsia="Arial" w:hAnsi="Arial" w:cs="Arial"/>
          <w:bCs/>
          <w:kern w:val="24"/>
          <w:sz w:val="22"/>
          <w:szCs w:val="22"/>
          <w:lang w:val="en-US"/>
        </w:rPr>
        <w:t xml:space="preserve">, </w:t>
      </w:r>
      <w:r w:rsidRPr="00BF385D">
        <w:rPr>
          <w:rFonts w:ascii="Arial" w:hAnsi="Arial" w:cs="Arial"/>
          <w:sz w:val="22"/>
          <w:szCs w:val="22"/>
          <w:lang w:val="en-US"/>
        </w:rPr>
        <w:t>f</w:t>
      </w:r>
      <w:r w:rsidRPr="00BF385D">
        <w:rPr>
          <w:rFonts w:ascii="Arial" w:eastAsia="Arial" w:hAnsi="Arial" w:cs="Arial"/>
          <w:kern w:val="24"/>
          <w:sz w:val="22"/>
          <w:szCs w:val="22"/>
          <w:lang w:val="en-US"/>
        </w:rPr>
        <w:t>amiliar to IGOs in contractual disputes or under the United Nations Commission on International Trade Law (UNCITRAL) Rules</w:t>
      </w:r>
      <w:r w:rsidR="008C26C0" w:rsidRPr="00BF385D">
        <w:rPr>
          <w:rFonts w:ascii="Arial" w:eastAsia="Arial" w:hAnsi="Arial" w:cs="Arial"/>
          <w:bCs/>
          <w:kern w:val="24"/>
          <w:sz w:val="22"/>
          <w:szCs w:val="22"/>
          <w:lang w:val="en-US"/>
        </w:rPr>
        <w:t xml:space="preserve"> </w:t>
      </w:r>
      <w:r w:rsidRPr="00BF385D">
        <w:rPr>
          <w:rFonts w:ascii="Arial" w:eastAsia="Arial" w:hAnsi="Arial" w:cs="Arial"/>
          <w:bCs/>
          <w:kern w:val="24"/>
          <w:sz w:val="22"/>
          <w:szCs w:val="22"/>
          <w:lang w:val="en-US"/>
        </w:rPr>
        <w:t>is indicated by GAC representatives as an acceptable solution.</w:t>
      </w:r>
    </w:p>
    <w:p w:rsidR="008C26C0" w:rsidRPr="00BF385D" w:rsidRDefault="008C26C0" w:rsidP="00BF385D">
      <w:pPr>
        <w:pStyle w:val="NormalWeb"/>
        <w:numPr>
          <w:ilvl w:val="0"/>
          <w:numId w:val="2"/>
        </w:numPr>
        <w:spacing w:before="0" w:beforeAutospacing="0" w:after="0" w:afterAutospacing="0"/>
        <w:rPr>
          <w:rFonts w:ascii="Arial" w:hAnsi="Arial" w:cs="Arial"/>
          <w:sz w:val="22"/>
          <w:szCs w:val="22"/>
          <w:lang w:val="en-US"/>
        </w:rPr>
      </w:pPr>
      <w:r w:rsidRPr="00BF385D">
        <w:rPr>
          <w:rFonts w:ascii="Arial" w:eastAsia="Arial" w:hAnsi="Arial" w:cs="Arial"/>
          <w:kern w:val="24"/>
          <w:sz w:val="22"/>
          <w:szCs w:val="22"/>
          <w:lang w:val="en-US"/>
        </w:rPr>
        <w:t>But domain name disputes are not contractual arrangements – requiring registrants to agree to such an appeal process could lessen a legitimate registrant’s freedom</w:t>
      </w:r>
    </w:p>
    <w:p w:rsidR="008C26C0" w:rsidRPr="00BF385D" w:rsidRDefault="003C067F" w:rsidP="00BF385D">
      <w:pPr>
        <w:pStyle w:val="NormalWeb"/>
        <w:numPr>
          <w:ilvl w:val="0"/>
          <w:numId w:val="2"/>
        </w:numPr>
        <w:spacing w:before="0" w:beforeAutospacing="0" w:after="0" w:afterAutospacing="0"/>
        <w:rPr>
          <w:rFonts w:ascii="Arial" w:hAnsi="Arial" w:cs="Arial"/>
          <w:sz w:val="22"/>
          <w:szCs w:val="22"/>
          <w:lang w:val="en-US"/>
        </w:rPr>
      </w:pPr>
      <w:r w:rsidRPr="00BF385D">
        <w:rPr>
          <w:rFonts w:ascii="Arial" w:eastAsia="Arial" w:hAnsi="Arial" w:cs="Arial"/>
          <w:kern w:val="24"/>
          <w:sz w:val="22"/>
          <w:szCs w:val="22"/>
          <w:lang w:val="en-US"/>
        </w:rPr>
        <w:t xml:space="preserve">There is also a risk that such system </w:t>
      </w:r>
      <w:r w:rsidR="008C26C0" w:rsidRPr="00BF385D">
        <w:rPr>
          <w:rFonts w:ascii="Arial" w:eastAsia="Arial" w:hAnsi="Arial" w:cs="Arial"/>
          <w:kern w:val="24"/>
          <w:sz w:val="22"/>
          <w:szCs w:val="22"/>
          <w:lang w:val="en-US"/>
        </w:rPr>
        <w:t>could be challenged in some courts as creating a further exception to IGO immunity</w:t>
      </w:r>
    </w:p>
    <w:p w:rsidR="00351C50" w:rsidRDefault="00351C50" w:rsidP="00BF385D">
      <w:pPr>
        <w:pStyle w:val="NormalWeb"/>
        <w:numPr>
          <w:ilvl w:val="0"/>
          <w:numId w:val="2"/>
        </w:numPr>
        <w:spacing w:before="0" w:beforeAutospacing="0" w:after="0" w:afterAutospacing="0"/>
        <w:rPr>
          <w:rFonts w:ascii="Arial" w:hAnsi="Arial" w:cs="Arial"/>
          <w:sz w:val="22"/>
          <w:szCs w:val="22"/>
          <w:lang w:val="en-US"/>
        </w:rPr>
      </w:pPr>
      <w:r w:rsidRPr="00BF385D">
        <w:rPr>
          <w:rFonts w:ascii="Arial" w:hAnsi="Arial" w:cs="Arial"/>
          <w:sz w:val="22"/>
          <w:szCs w:val="22"/>
          <w:lang w:val="en-US" w:eastAsia="en-US"/>
        </w:rPr>
        <w:t>Would an IGO be deemed to have already waived immunity by utilizing the UDRP or URS and accordingly, submitting to the Mutual Jurisdiction clause?</w:t>
      </w:r>
    </w:p>
    <w:p w:rsidR="00351C50" w:rsidRPr="00BF385D" w:rsidRDefault="00351C50" w:rsidP="00BF385D">
      <w:pPr>
        <w:pStyle w:val="NormalWeb"/>
        <w:numPr>
          <w:ilvl w:val="0"/>
          <w:numId w:val="2"/>
        </w:numPr>
        <w:spacing w:before="0" w:beforeAutospacing="0" w:after="0" w:afterAutospacing="0"/>
        <w:rPr>
          <w:rFonts w:ascii="Arial" w:hAnsi="Arial" w:cs="Arial"/>
          <w:sz w:val="22"/>
          <w:szCs w:val="22"/>
          <w:lang w:val="en-US"/>
        </w:rPr>
      </w:pPr>
      <w:r w:rsidRPr="00BF385D">
        <w:rPr>
          <w:rFonts w:ascii="Arial" w:hAnsi="Arial" w:cs="Arial"/>
          <w:sz w:val="22"/>
          <w:szCs w:val="22"/>
          <w:lang w:val="en-US" w:eastAsia="en-US"/>
        </w:rPr>
        <w:t>Is the provision of a de novo review similar or equivalent in the scope of relief it would offer a registrant that sought relief via the courts?</w:t>
      </w:r>
    </w:p>
    <w:p w:rsidR="0051366C" w:rsidRPr="00351C50" w:rsidRDefault="0051366C" w:rsidP="00BF385D">
      <w:pPr>
        <w:contextualSpacing/>
        <w:rPr>
          <w:rFonts w:ascii="Arial" w:hAnsi="Arial" w:cs="Arial"/>
          <w:color w:val="FF0000"/>
          <w:sz w:val="22"/>
          <w:szCs w:val="22"/>
          <w:lang w:val="en-US" w:eastAsia="en-US"/>
        </w:rPr>
      </w:pPr>
    </w:p>
    <w:p w:rsidR="00351C50" w:rsidRPr="00351C50" w:rsidRDefault="00351C50" w:rsidP="00BF385D">
      <w:pPr>
        <w:rPr>
          <w:rFonts w:ascii="Arial" w:hAnsi="Arial" w:cs="Arial"/>
          <w:color w:val="000000"/>
          <w:sz w:val="22"/>
          <w:szCs w:val="22"/>
          <w:lang w:val="en-US" w:eastAsia="en-US"/>
        </w:rPr>
      </w:pPr>
    </w:p>
    <w:p w:rsidR="00351C50" w:rsidRPr="00351C50" w:rsidRDefault="00351C50" w:rsidP="00BF385D">
      <w:pPr>
        <w:rPr>
          <w:rFonts w:ascii="Arial" w:hAnsi="Arial" w:cs="Arial"/>
          <w:color w:val="000000"/>
          <w:sz w:val="22"/>
          <w:szCs w:val="22"/>
          <w:lang w:val="en-US" w:eastAsia="en-US"/>
        </w:rPr>
      </w:pPr>
      <w:r w:rsidRPr="00351C50">
        <w:rPr>
          <w:rFonts w:ascii="Arial" w:hAnsi="Arial" w:cs="Arial"/>
          <w:color w:val="000000"/>
          <w:sz w:val="22"/>
          <w:szCs w:val="22"/>
          <w:lang w:val="en-US" w:eastAsia="en-US"/>
        </w:rPr>
        <w:t xml:space="preserve">In considering the benefits and drawbacks of each option, the WG has not achieved full </w:t>
      </w:r>
      <w:r w:rsidRPr="00351C50">
        <w:rPr>
          <w:rFonts w:ascii="Arial" w:hAnsi="Arial" w:cs="Arial"/>
          <w:dstrike/>
          <w:color w:val="FF0000"/>
          <w:sz w:val="22"/>
          <w:szCs w:val="22"/>
          <w:lang w:val="en-US" w:eastAsia="en-US"/>
        </w:rPr>
        <w:t>consensus</w:t>
      </w:r>
      <w:r w:rsidRPr="00351C50">
        <w:rPr>
          <w:rFonts w:ascii="Arial" w:hAnsi="Arial" w:cs="Arial"/>
          <w:color w:val="000000"/>
          <w:sz w:val="22"/>
          <w:szCs w:val="22"/>
          <w:lang w:val="en-US" w:eastAsia="en-US"/>
        </w:rPr>
        <w:t xml:space="preserve"> </w:t>
      </w:r>
      <w:r w:rsidR="00630664" w:rsidRPr="00BF385D">
        <w:rPr>
          <w:rFonts w:ascii="Arial" w:hAnsi="Arial" w:cs="Arial"/>
          <w:color w:val="000000"/>
          <w:sz w:val="22"/>
          <w:szCs w:val="22"/>
          <w:lang w:val="en-US" w:eastAsia="en-US"/>
        </w:rPr>
        <w:t xml:space="preserve">conclusion </w:t>
      </w:r>
      <w:r w:rsidRPr="00351C50">
        <w:rPr>
          <w:rFonts w:ascii="Arial" w:hAnsi="Arial" w:cs="Arial"/>
          <w:color w:val="000000"/>
          <w:sz w:val="22"/>
          <w:szCs w:val="22"/>
          <w:lang w:val="en-US" w:eastAsia="en-US"/>
        </w:rPr>
        <w:t>for either option, though it has reached rough c</w:t>
      </w:r>
      <w:r w:rsidR="00630664" w:rsidRPr="00BF385D">
        <w:rPr>
          <w:rFonts w:ascii="Arial" w:hAnsi="Arial" w:cs="Arial"/>
          <w:color w:val="000000"/>
          <w:sz w:val="22"/>
          <w:szCs w:val="22"/>
          <w:lang w:val="en-US" w:eastAsia="en-US"/>
        </w:rPr>
        <w:t>onsensus in support of Option 1.</w:t>
      </w:r>
    </w:p>
    <w:p w:rsidR="00351C50" w:rsidRPr="00BF385D" w:rsidRDefault="00351C50" w:rsidP="00BF385D">
      <w:pPr>
        <w:rPr>
          <w:rFonts w:ascii="Arial" w:hAnsi="Arial" w:cs="Arial"/>
          <w:b/>
          <w:color w:val="000000"/>
          <w:sz w:val="22"/>
          <w:szCs w:val="22"/>
          <w:lang w:val="en-US" w:eastAsia="en-US"/>
        </w:rPr>
      </w:pPr>
      <w:r w:rsidRPr="00351C50">
        <w:rPr>
          <w:rFonts w:ascii="Arial" w:hAnsi="Arial" w:cs="Arial"/>
          <w:b/>
          <w:color w:val="000000"/>
          <w:sz w:val="22"/>
          <w:szCs w:val="22"/>
          <w:lang w:val="en-US" w:eastAsia="en-US"/>
        </w:rPr>
        <w:t xml:space="preserve"> </w:t>
      </w:r>
    </w:p>
    <w:p w:rsidR="008627DE" w:rsidRPr="00351C50" w:rsidRDefault="008627DE" w:rsidP="00351C50">
      <w:pPr>
        <w:spacing w:line="276" w:lineRule="auto"/>
        <w:rPr>
          <w:rFonts w:ascii="Arial" w:hAnsi="Arial" w:cs="Arial"/>
          <w:color w:val="000000"/>
          <w:sz w:val="22"/>
          <w:szCs w:val="22"/>
          <w:lang w:eastAsia="en-US"/>
        </w:rPr>
      </w:pPr>
    </w:p>
    <w:p w:rsidR="00351C50" w:rsidRPr="00351C50" w:rsidRDefault="00351C50" w:rsidP="00351C50">
      <w:pPr>
        <w:spacing w:line="276" w:lineRule="auto"/>
        <w:rPr>
          <w:rFonts w:ascii="Arial" w:hAnsi="Arial" w:cs="Arial"/>
          <w:color w:val="000000"/>
          <w:sz w:val="22"/>
          <w:szCs w:val="22"/>
          <w:lang w:val="en-US" w:eastAsia="en-US"/>
        </w:rPr>
      </w:pPr>
      <w:r w:rsidRPr="00351C50">
        <w:rPr>
          <w:rFonts w:ascii="Arial" w:hAnsi="Arial" w:cs="Arial"/>
          <w:color w:val="000000"/>
          <w:sz w:val="22"/>
          <w:szCs w:val="22"/>
          <w:lang w:val="en-US" w:eastAsia="en-US"/>
        </w:rPr>
        <w:t>For the purposes of understanding the scope and limitations of public international law in relation to the issue of IGO jurisdictional immunity, the Working Group requested that ICANN engage an external legal expert to advise the Working Group of the current state of the law on this topic. Professor Edward Swaine of George Washington University in the USA was engaged following a detailed evaluation by the Working Group of the qualifications of other interested candidates</w:t>
      </w:r>
      <w:r w:rsidRPr="00351C50">
        <w:rPr>
          <w:rFonts w:ascii="Arial" w:hAnsi="Arial" w:cs="Arial"/>
          <w:color w:val="000000"/>
          <w:sz w:val="22"/>
          <w:szCs w:val="22"/>
          <w:vertAlign w:val="superscript"/>
          <w:lang w:val="en-US" w:eastAsia="en-US"/>
        </w:rPr>
        <w:footnoteReference w:id="1"/>
      </w:r>
      <w:r w:rsidRPr="00351C50">
        <w:rPr>
          <w:rFonts w:ascii="Arial" w:hAnsi="Arial" w:cs="Arial"/>
          <w:color w:val="000000"/>
          <w:sz w:val="22"/>
          <w:szCs w:val="22"/>
          <w:lang w:val="en-US" w:eastAsia="en-US"/>
        </w:rPr>
        <w:t>.</w:t>
      </w:r>
    </w:p>
    <w:p w:rsidR="00351C50" w:rsidRDefault="00351C50">
      <w:pPr>
        <w:rPr>
          <w:lang w:val="en-US"/>
        </w:rPr>
      </w:pPr>
    </w:p>
    <w:p w:rsidR="00BF385D" w:rsidRDefault="00BF385D">
      <w:pPr>
        <w:rPr>
          <w:lang w:val="en-US"/>
        </w:rPr>
      </w:pPr>
    </w:p>
    <w:p w:rsidR="00BF385D" w:rsidRPr="00351C50" w:rsidRDefault="00BF385D">
      <w:pPr>
        <w:rPr>
          <w:lang w:val="en-US"/>
        </w:rPr>
      </w:pPr>
      <w:bookmarkStart w:id="0" w:name="_GoBack"/>
      <w:bookmarkEnd w:id="0"/>
    </w:p>
    <w:sectPr w:rsidR="00BF385D" w:rsidRPr="00351C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C50" w:rsidRDefault="00351C50" w:rsidP="00351C50">
      <w:r>
        <w:separator/>
      </w:r>
    </w:p>
  </w:endnote>
  <w:endnote w:type="continuationSeparator" w:id="0">
    <w:p w:rsidR="00351C50" w:rsidRDefault="00351C50" w:rsidP="0035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 Helvetica"/>
    <w:panose1 w:val="020B0604020202020204"/>
    <w:charset w:val="00"/>
    <w:family w:val="swiss"/>
    <w:pitch w:val="variable"/>
    <w:sig w:usb0="E0002AFF" w:usb1="C0007843" w:usb2="00000009" w:usb3="00000000" w:csb0="000001FF" w:csb1="00000000"/>
  </w:font>
  <w:font w:name="Times New Roman">
    <w:altName w:val=" Times"/>
    <w:panose1 w:val="02020603050405020304"/>
    <w:charset w:val="00"/>
    <w:family w:val="roman"/>
    <w:pitch w:val="variable"/>
    <w:sig w:usb0="E0002AFF" w:usb1="C0007843" w:usb2="00000009" w:usb3="00000000" w:csb0="000001FF" w:csb1="00000000"/>
  </w:font>
  <w:font w:name="Courier New">
    <w:altName w:val="Geneva"/>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C50" w:rsidRDefault="00351C50" w:rsidP="00351C50">
      <w:r>
        <w:separator/>
      </w:r>
    </w:p>
  </w:footnote>
  <w:footnote w:type="continuationSeparator" w:id="0">
    <w:p w:rsidR="00351C50" w:rsidRDefault="00351C50" w:rsidP="00351C50">
      <w:r>
        <w:continuationSeparator/>
      </w:r>
    </w:p>
  </w:footnote>
  <w:footnote w:id="1">
    <w:p w:rsidR="00351C50" w:rsidRPr="00351C50" w:rsidRDefault="00351C50" w:rsidP="00351C50">
      <w:pPr>
        <w:pStyle w:val="FootnoteText"/>
        <w:rPr>
          <w:lang w:val="en-US"/>
        </w:rPr>
      </w:pPr>
      <w:r w:rsidRPr="003103B3">
        <w:rPr>
          <w:rStyle w:val="FootnoteReference"/>
          <w:rFonts w:cs="Arial"/>
          <w:sz w:val="18"/>
          <w:szCs w:val="18"/>
        </w:rPr>
        <w:footnoteRef/>
      </w:r>
      <w:r w:rsidRPr="00351C50">
        <w:rPr>
          <w:sz w:val="18"/>
          <w:szCs w:val="18"/>
          <w:lang w:val="en-US"/>
        </w:rPr>
        <w:t xml:space="preserve"> For details about the criteria agreed on for this engagement, see the Working Group’s collaborative wiki space at</w:t>
      </w:r>
      <w:hyperlink r:id="rId1">
        <w:r w:rsidRPr="00351C50">
          <w:rPr>
            <w:sz w:val="18"/>
            <w:szCs w:val="18"/>
            <w:lang w:val="en-US"/>
          </w:rPr>
          <w:t xml:space="preserve"> </w:t>
        </w:r>
      </w:hyperlink>
      <w:hyperlink r:id="rId2">
        <w:r w:rsidRPr="00351C50">
          <w:rPr>
            <w:color w:val="1155CC"/>
            <w:sz w:val="18"/>
            <w:szCs w:val="18"/>
            <w:u w:val="single"/>
            <w:lang w:val="en-US"/>
          </w:rPr>
          <w:t>https://community.icann.org/x/z4BYAw</w:t>
        </w:r>
      </w:hyperlink>
      <w:r w:rsidRPr="00351C50">
        <w:rPr>
          <w:sz w:val="18"/>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81179"/>
    <w:multiLevelType w:val="hybridMultilevel"/>
    <w:tmpl w:val="2476211E"/>
    <w:lvl w:ilvl="0" w:tplc="C602E5A4">
      <w:start w:val="1"/>
      <w:numFmt w:val="bullet"/>
      <w:lvlText w:val="•"/>
      <w:lvlJc w:val="left"/>
      <w:pPr>
        <w:tabs>
          <w:tab w:val="num" w:pos="720"/>
        </w:tabs>
        <w:ind w:left="720" w:hanging="360"/>
      </w:pPr>
      <w:rPr>
        <w:rFonts w:ascii="Arial" w:hAnsi="Arial" w:hint="default"/>
      </w:rPr>
    </w:lvl>
    <w:lvl w:ilvl="1" w:tplc="745A13B2">
      <w:numFmt w:val="bullet"/>
      <w:lvlText w:val="o"/>
      <w:lvlJc w:val="left"/>
      <w:pPr>
        <w:tabs>
          <w:tab w:val="num" w:pos="1440"/>
        </w:tabs>
        <w:ind w:left="1440" w:hanging="360"/>
      </w:pPr>
      <w:rPr>
        <w:rFonts w:ascii="Courier New" w:hAnsi="Courier New" w:hint="default"/>
      </w:rPr>
    </w:lvl>
    <w:lvl w:ilvl="2" w:tplc="DA70ABDC" w:tentative="1">
      <w:start w:val="1"/>
      <w:numFmt w:val="bullet"/>
      <w:lvlText w:val="•"/>
      <w:lvlJc w:val="left"/>
      <w:pPr>
        <w:tabs>
          <w:tab w:val="num" w:pos="2160"/>
        </w:tabs>
        <w:ind w:left="2160" w:hanging="360"/>
      </w:pPr>
      <w:rPr>
        <w:rFonts w:ascii="Arial" w:hAnsi="Arial" w:hint="default"/>
      </w:rPr>
    </w:lvl>
    <w:lvl w:ilvl="3" w:tplc="825C8AC4" w:tentative="1">
      <w:start w:val="1"/>
      <w:numFmt w:val="bullet"/>
      <w:lvlText w:val="•"/>
      <w:lvlJc w:val="left"/>
      <w:pPr>
        <w:tabs>
          <w:tab w:val="num" w:pos="2880"/>
        </w:tabs>
        <w:ind w:left="2880" w:hanging="360"/>
      </w:pPr>
      <w:rPr>
        <w:rFonts w:ascii="Arial" w:hAnsi="Arial" w:hint="default"/>
      </w:rPr>
    </w:lvl>
    <w:lvl w:ilvl="4" w:tplc="10B2CDBC" w:tentative="1">
      <w:start w:val="1"/>
      <w:numFmt w:val="bullet"/>
      <w:lvlText w:val="•"/>
      <w:lvlJc w:val="left"/>
      <w:pPr>
        <w:tabs>
          <w:tab w:val="num" w:pos="3600"/>
        </w:tabs>
        <w:ind w:left="3600" w:hanging="360"/>
      </w:pPr>
      <w:rPr>
        <w:rFonts w:ascii="Arial" w:hAnsi="Arial" w:hint="default"/>
      </w:rPr>
    </w:lvl>
    <w:lvl w:ilvl="5" w:tplc="5B565FE2" w:tentative="1">
      <w:start w:val="1"/>
      <w:numFmt w:val="bullet"/>
      <w:lvlText w:val="•"/>
      <w:lvlJc w:val="left"/>
      <w:pPr>
        <w:tabs>
          <w:tab w:val="num" w:pos="4320"/>
        </w:tabs>
        <w:ind w:left="4320" w:hanging="360"/>
      </w:pPr>
      <w:rPr>
        <w:rFonts w:ascii="Arial" w:hAnsi="Arial" w:hint="default"/>
      </w:rPr>
    </w:lvl>
    <w:lvl w:ilvl="6" w:tplc="CDFCCB3C" w:tentative="1">
      <w:start w:val="1"/>
      <w:numFmt w:val="bullet"/>
      <w:lvlText w:val="•"/>
      <w:lvlJc w:val="left"/>
      <w:pPr>
        <w:tabs>
          <w:tab w:val="num" w:pos="5040"/>
        </w:tabs>
        <w:ind w:left="5040" w:hanging="360"/>
      </w:pPr>
      <w:rPr>
        <w:rFonts w:ascii="Arial" w:hAnsi="Arial" w:hint="default"/>
      </w:rPr>
    </w:lvl>
    <w:lvl w:ilvl="7" w:tplc="3B14CECE" w:tentative="1">
      <w:start w:val="1"/>
      <w:numFmt w:val="bullet"/>
      <w:lvlText w:val="•"/>
      <w:lvlJc w:val="left"/>
      <w:pPr>
        <w:tabs>
          <w:tab w:val="num" w:pos="5760"/>
        </w:tabs>
        <w:ind w:left="5760" w:hanging="360"/>
      </w:pPr>
      <w:rPr>
        <w:rFonts w:ascii="Arial" w:hAnsi="Arial" w:hint="default"/>
      </w:rPr>
    </w:lvl>
    <w:lvl w:ilvl="8" w:tplc="32DA45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CC70A4A"/>
    <w:multiLevelType w:val="hybridMultilevel"/>
    <w:tmpl w:val="F912B34C"/>
    <w:lvl w:ilvl="0" w:tplc="FC0AD148">
      <w:start w:val="1"/>
      <w:numFmt w:val="bullet"/>
      <w:lvlText w:val="•"/>
      <w:lvlJc w:val="left"/>
      <w:pPr>
        <w:tabs>
          <w:tab w:val="num" w:pos="720"/>
        </w:tabs>
        <w:ind w:left="720" w:hanging="360"/>
      </w:pPr>
      <w:rPr>
        <w:rFonts w:ascii="Arial" w:hAnsi="Arial" w:hint="default"/>
      </w:rPr>
    </w:lvl>
    <w:lvl w:ilvl="1" w:tplc="60343E2E">
      <w:numFmt w:val="bullet"/>
      <w:lvlText w:val="o"/>
      <w:lvlJc w:val="left"/>
      <w:pPr>
        <w:tabs>
          <w:tab w:val="num" w:pos="1440"/>
        </w:tabs>
        <w:ind w:left="1440" w:hanging="360"/>
      </w:pPr>
      <w:rPr>
        <w:rFonts w:ascii="Courier New" w:hAnsi="Courier New" w:hint="default"/>
      </w:rPr>
    </w:lvl>
    <w:lvl w:ilvl="2" w:tplc="C32288B0" w:tentative="1">
      <w:start w:val="1"/>
      <w:numFmt w:val="bullet"/>
      <w:lvlText w:val="•"/>
      <w:lvlJc w:val="left"/>
      <w:pPr>
        <w:tabs>
          <w:tab w:val="num" w:pos="2160"/>
        </w:tabs>
        <w:ind w:left="2160" w:hanging="360"/>
      </w:pPr>
      <w:rPr>
        <w:rFonts w:ascii="Arial" w:hAnsi="Arial" w:hint="default"/>
      </w:rPr>
    </w:lvl>
    <w:lvl w:ilvl="3" w:tplc="644E6810" w:tentative="1">
      <w:start w:val="1"/>
      <w:numFmt w:val="bullet"/>
      <w:lvlText w:val="•"/>
      <w:lvlJc w:val="left"/>
      <w:pPr>
        <w:tabs>
          <w:tab w:val="num" w:pos="2880"/>
        </w:tabs>
        <w:ind w:left="2880" w:hanging="360"/>
      </w:pPr>
      <w:rPr>
        <w:rFonts w:ascii="Arial" w:hAnsi="Arial" w:hint="default"/>
      </w:rPr>
    </w:lvl>
    <w:lvl w:ilvl="4" w:tplc="C83C3588" w:tentative="1">
      <w:start w:val="1"/>
      <w:numFmt w:val="bullet"/>
      <w:lvlText w:val="•"/>
      <w:lvlJc w:val="left"/>
      <w:pPr>
        <w:tabs>
          <w:tab w:val="num" w:pos="3600"/>
        </w:tabs>
        <w:ind w:left="3600" w:hanging="360"/>
      </w:pPr>
      <w:rPr>
        <w:rFonts w:ascii="Arial" w:hAnsi="Arial" w:hint="default"/>
      </w:rPr>
    </w:lvl>
    <w:lvl w:ilvl="5" w:tplc="190059E4" w:tentative="1">
      <w:start w:val="1"/>
      <w:numFmt w:val="bullet"/>
      <w:lvlText w:val="•"/>
      <w:lvlJc w:val="left"/>
      <w:pPr>
        <w:tabs>
          <w:tab w:val="num" w:pos="4320"/>
        </w:tabs>
        <w:ind w:left="4320" w:hanging="360"/>
      </w:pPr>
      <w:rPr>
        <w:rFonts w:ascii="Arial" w:hAnsi="Arial" w:hint="default"/>
      </w:rPr>
    </w:lvl>
    <w:lvl w:ilvl="6" w:tplc="EAC4F66E" w:tentative="1">
      <w:start w:val="1"/>
      <w:numFmt w:val="bullet"/>
      <w:lvlText w:val="•"/>
      <w:lvlJc w:val="left"/>
      <w:pPr>
        <w:tabs>
          <w:tab w:val="num" w:pos="5040"/>
        </w:tabs>
        <w:ind w:left="5040" w:hanging="360"/>
      </w:pPr>
      <w:rPr>
        <w:rFonts w:ascii="Arial" w:hAnsi="Arial" w:hint="default"/>
      </w:rPr>
    </w:lvl>
    <w:lvl w:ilvl="7" w:tplc="9B6CE4F6" w:tentative="1">
      <w:start w:val="1"/>
      <w:numFmt w:val="bullet"/>
      <w:lvlText w:val="•"/>
      <w:lvlJc w:val="left"/>
      <w:pPr>
        <w:tabs>
          <w:tab w:val="num" w:pos="5760"/>
        </w:tabs>
        <w:ind w:left="5760" w:hanging="360"/>
      </w:pPr>
      <w:rPr>
        <w:rFonts w:ascii="Arial" w:hAnsi="Arial" w:hint="default"/>
      </w:rPr>
    </w:lvl>
    <w:lvl w:ilvl="8" w:tplc="44AA84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5062EE"/>
    <w:multiLevelType w:val="hybridMultilevel"/>
    <w:tmpl w:val="0352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724F2"/>
    <w:multiLevelType w:val="hybridMultilevel"/>
    <w:tmpl w:val="43BE60A8"/>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1">
      <w:start w:val="1"/>
      <w:numFmt w:val="bullet"/>
      <w:lvlText w:val=""/>
      <w:lvlJc w:val="left"/>
      <w:pPr>
        <w:tabs>
          <w:tab w:val="num" w:pos="2160"/>
        </w:tabs>
        <w:ind w:left="2160" w:hanging="360"/>
      </w:pPr>
      <w:rPr>
        <w:rFonts w:ascii="Symbol" w:hAnsi="Symbol"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81071C"/>
    <w:multiLevelType w:val="hybridMultilevel"/>
    <w:tmpl w:val="F90E30C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66B32150"/>
    <w:multiLevelType w:val="hybridMultilevel"/>
    <w:tmpl w:val="68E0F09A"/>
    <w:lvl w:ilvl="0" w:tplc="F0AEE26E">
      <w:start w:val="1"/>
      <w:numFmt w:val="bullet"/>
      <w:lvlText w:val="•"/>
      <w:lvlJc w:val="left"/>
      <w:pPr>
        <w:tabs>
          <w:tab w:val="num" w:pos="720"/>
        </w:tabs>
        <w:ind w:left="720" w:hanging="360"/>
      </w:pPr>
      <w:rPr>
        <w:rFonts w:ascii="Arial" w:hAnsi="Arial" w:hint="default"/>
      </w:rPr>
    </w:lvl>
    <w:lvl w:ilvl="1" w:tplc="497A520C">
      <w:numFmt w:val="bullet"/>
      <w:lvlText w:val="o"/>
      <w:lvlJc w:val="left"/>
      <w:pPr>
        <w:tabs>
          <w:tab w:val="num" w:pos="1440"/>
        </w:tabs>
        <w:ind w:left="1440" w:hanging="360"/>
      </w:pPr>
      <w:rPr>
        <w:rFonts w:ascii="Courier New" w:hAnsi="Courier New" w:hint="default"/>
      </w:rPr>
    </w:lvl>
    <w:lvl w:ilvl="2" w:tplc="EE56D6FC" w:tentative="1">
      <w:start w:val="1"/>
      <w:numFmt w:val="bullet"/>
      <w:lvlText w:val="•"/>
      <w:lvlJc w:val="left"/>
      <w:pPr>
        <w:tabs>
          <w:tab w:val="num" w:pos="2160"/>
        </w:tabs>
        <w:ind w:left="2160" w:hanging="360"/>
      </w:pPr>
      <w:rPr>
        <w:rFonts w:ascii="Arial" w:hAnsi="Arial" w:hint="default"/>
      </w:rPr>
    </w:lvl>
    <w:lvl w:ilvl="3" w:tplc="14846082" w:tentative="1">
      <w:start w:val="1"/>
      <w:numFmt w:val="bullet"/>
      <w:lvlText w:val="•"/>
      <w:lvlJc w:val="left"/>
      <w:pPr>
        <w:tabs>
          <w:tab w:val="num" w:pos="2880"/>
        </w:tabs>
        <w:ind w:left="2880" w:hanging="360"/>
      </w:pPr>
      <w:rPr>
        <w:rFonts w:ascii="Arial" w:hAnsi="Arial" w:hint="default"/>
      </w:rPr>
    </w:lvl>
    <w:lvl w:ilvl="4" w:tplc="CC86E1A0" w:tentative="1">
      <w:start w:val="1"/>
      <w:numFmt w:val="bullet"/>
      <w:lvlText w:val="•"/>
      <w:lvlJc w:val="left"/>
      <w:pPr>
        <w:tabs>
          <w:tab w:val="num" w:pos="3600"/>
        </w:tabs>
        <w:ind w:left="3600" w:hanging="360"/>
      </w:pPr>
      <w:rPr>
        <w:rFonts w:ascii="Arial" w:hAnsi="Arial" w:hint="default"/>
      </w:rPr>
    </w:lvl>
    <w:lvl w:ilvl="5" w:tplc="7BC0EC8A" w:tentative="1">
      <w:start w:val="1"/>
      <w:numFmt w:val="bullet"/>
      <w:lvlText w:val="•"/>
      <w:lvlJc w:val="left"/>
      <w:pPr>
        <w:tabs>
          <w:tab w:val="num" w:pos="4320"/>
        </w:tabs>
        <w:ind w:left="4320" w:hanging="360"/>
      </w:pPr>
      <w:rPr>
        <w:rFonts w:ascii="Arial" w:hAnsi="Arial" w:hint="default"/>
      </w:rPr>
    </w:lvl>
    <w:lvl w:ilvl="6" w:tplc="0DCCA5FE" w:tentative="1">
      <w:start w:val="1"/>
      <w:numFmt w:val="bullet"/>
      <w:lvlText w:val="•"/>
      <w:lvlJc w:val="left"/>
      <w:pPr>
        <w:tabs>
          <w:tab w:val="num" w:pos="5040"/>
        </w:tabs>
        <w:ind w:left="5040" w:hanging="360"/>
      </w:pPr>
      <w:rPr>
        <w:rFonts w:ascii="Arial" w:hAnsi="Arial" w:hint="default"/>
      </w:rPr>
    </w:lvl>
    <w:lvl w:ilvl="7" w:tplc="AE7C49D4" w:tentative="1">
      <w:start w:val="1"/>
      <w:numFmt w:val="bullet"/>
      <w:lvlText w:val="•"/>
      <w:lvlJc w:val="left"/>
      <w:pPr>
        <w:tabs>
          <w:tab w:val="num" w:pos="5760"/>
        </w:tabs>
        <w:ind w:left="5760" w:hanging="360"/>
      </w:pPr>
      <w:rPr>
        <w:rFonts w:ascii="Arial" w:hAnsi="Arial" w:hint="default"/>
      </w:rPr>
    </w:lvl>
    <w:lvl w:ilvl="8" w:tplc="D2D4BD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7DE0140"/>
    <w:multiLevelType w:val="hybridMultilevel"/>
    <w:tmpl w:val="57F25BD8"/>
    <w:lvl w:ilvl="0" w:tplc="C728C180">
      <w:start w:val="1"/>
      <w:numFmt w:val="bullet"/>
      <w:lvlText w:val="•"/>
      <w:lvlJc w:val="left"/>
      <w:pPr>
        <w:tabs>
          <w:tab w:val="num" w:pos="720"/>
        </w:tabs>
        <w:ind w:left="720" w:hanging="360"/>
      </w:pPr>
      <w:rPr>
        <w:rFonts w:ascii="Arial" w:hAnsi="Arial" w:hint="default"/>
      </w:rPr>
    </w:lvl>
    <w:lvl w:ilvl="1" w:tplc="F758AA00">
      <w:numFmt w:val="bullet"/>
      <w:lvlText w:val="o"/>
      <w:lvlJc w:val="left"/>
      <w:pPr>
        <w:tabs>
          <w:tab w:val="num" w:pos="1440"/>
        </w:tabs>
        <w:ind w:left="1440" w:hanging="360"/>
      </w:pPr>
      <w:rPr>
        <w:rFonts w:ascii="Courier New" w:hAnsi="Courier New" w:hint="default"/>
      </w:rPr>
    </w:lvl>
    <w:lvl w:ilvl="2" w:tplc="52C85CBE" w:tentative="1">
      <w:start w:val="1"/>
      <w:numFmt w:val="bullet"/>
      <w:lvlText w:val="•"/>
      <w:lvlJc w:val="left"/>
      <w:pPr>
        <w:tabs>
          <w:tab w:val="num" w:pos="2160"/>
        </w:tabs>
        <w:ind w:left="2160" w:hanging="360"/>
      </w:pPr>
      <w:rPr>
        <w:rFonts w:ascii="Arial" w:hAnsi="Arial" w:hint="default"/>
      </w:rPr>
    </w:lvl>
    <w:lvl w:ilvl="3" w:tplc="40684DF0" w:tentative="1">
      <w:start w:val="1"/>
      <w:numFmt w:val="bullet"/>
      <w:lvlText w:val="•"/>
      <w:lvlJc w:val="left"/>
      <w:pPr>
        <w:tabs>
          <w:tab w:val="num" w:pos="2880"/>
        </w:tabs>
        <w:ind w:left="2880" w:hanging="360"/>
      </w:pPr>
      <w:rPr>
        <w:rFonts w:ascii="Arial" w:hAnsi="Arial" w:hint="default"/>
      </w:rPr>
    </w:lvl>
    <w:lvl w:ilvl="4" w:tplc="8098E9F0" w:tentative="1">
      <w:start w:val="1"/>
      <w:numFmt w:val="bullet"/>
      <w:lvlText w:val="•"/>
      <w:lvlJc w:val="left"/>
      <w:pPr>
        <w:tabs>
          <w:tab w:val="num" w:pos="3600"/>
        </w:tabs>
        <w:ind w:left="3600" w:hanging="360"/>
      </w:pPr>
      <w:rPr>
        <w:rFonts w:ascii="Arial" w:hAnsi="Arial" w:hint="default"/>
      </w:rPr>
    </w:lvl>
    <w:lvl w:ilvl="5" w:tplc="501003CC" w:tentative="1">
      <w:start w:val="1"/>
      <w:numFmt w:val="bullet"/>
      <w:lvlText w:val="•"/>
      <w:lvlJc w:val="left"/>
      <w:pPr>
        <w:tabs>
          <w:tab w:val="num" w:pos="4320"/>
        </w:tabs>
        <w:ind w:left="4320" w:hanging="360"/>
      </w:pPr>
      <w:rPr>
        <w:rFonts w:ascii="Arial" w:hAnsi="Arial" w:hint="default"/>
      </w:rPr>
    </w:lvl>
    <w:lvl w:ilvl="6" w:tplc="1F76708E" w:tentative="1">
      <w:start w:val="1"/>
      <w:numFmt w:val="bullet"/>
      <w:lvlText w:val="•"/>
      <w:lvlJc w:val="left"/>
      <w:pPr>
        <w:tabs>
          <w:tab w:val="num" w:pos="5040"/>
        </w:tabs>
        <w:ind w:left="5040" w:hanging="360"/>
      </w:pPr>
      <w:rPr>
        <w:rFonts w:ascii="Arial" w:hAnsi="Arial" w:hint="default"/>
      </w:rPr>
    </w:lvl>
    <w:lvl w:ilvl="7" w:tplc="558A0532" w:tentative="1">
      <w:start w:val="1"/>
      <w:numFmt w:val="bullet"/>
      <w:lvlText w:val="•"/>
      <w:lvlJc w:val="left"/>
      <w:pPr>
        <w:tabs>
          <w:tab w:val="num" w:pos="5760"/>
        </w:tabs>
        <w:ind w:left="5760" w:hanging="360"/>
      </w:pPr>
      <w:rPr>
        <w:rFonts w:ascii="Arial" w:hAnsi="Arial" w:hint="default"/>
      </w:rPr>
    </w:lvl>
    <w:lvl w:ilvl="8" w:tplc="A1CA61C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4"/>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50"/>
    <w:rsid w:val="00195B2F"/>
    <w:rsid w:val="00351C50"/>
    <w:rsid w:val="003605FD"/>
    <w:rsid w:val="003C067F"/>
    <w:rsid w:val="0051366C"/>
    <w:rsid w:val="00630664"/>
    <w:rsid w:val="007712F3"/>
    <w:rsid w:val="00811687"/>
    <w:rsid w:val="008627DE"/>
    <w:rsid w:val="008C26C0"/>
    <w:rsid w:val="00BF385D"/>
    <w:rsid w:val="00EB30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03A7"/>
  <w15:chartTrackingRefBased/>
  <w15:docId w15:val="{50881DA2-89F1-4AF9-9F9C-AD4013B2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1C50"/>
    <w:pPr>
      <w:spacing w:after="0" w:line="240" w:lineRule="auto"/>
    </w:pPr>
    <w:rPr>
      <w:rFonts w:ascii="Times New Roman" w:eastAsia="Times New Roman" w:hAnsi="Times New Roman" w:cs="Times New Roman"/>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51C50"/>
    <w:rPr>
      <w:sz w:val="20"/>
      <w:szCs w:val="20"/>
    </w:rPr>
  </w:style>
  <w:style w:type="character" w:customStyle="1" w:styleId="CommentTextChar">
    <w:name w:val="Comment Text Char"/>
    <w:basedOn w:val="DefaultParagraphFont"/>
    <w:link w:val="CommentText"/>
    <w:uiPriority w:val="99"/>
    <w:semiHidden/>
    <w:rsid w:val="00351C50"/>
    <w:rPr>
      <w:rFonts w:ascii="Times New Roman" w:eastAsia="Times New Roman" w:hAnsi="Times New Roman" w:cs="Times New Roman"/>
      <w:sz w:val="20"/>
      <w:szCs w:val="20"/>
      <w:lang w:eastAsia="sv-SE"/>
    </w:rPr>
  </w:style>
  <w:style w:type="paragraph" w:styleId="FootnoteText">
    <w:name w:val="footnote text"/>
    <w:basedOn w:val="Normal"/>
    <w:link w:val="FootnoteTextChar"/>
    <w:uiPriority w:val="99"/>
    <w:semiHidden/>
    <w:unhideWhenUsed/>
    <w:rsid w:val="00351C50"/>
    <w:rPr>
      <w:sz w:val="20"/>
      <w:szCs w:val="20"/>
    </w:rPr>
  </w:style>
  <w:style w:type="character" w:customStyle="1" w:styleId="FootnoteTextChar">
    <w:name w:val="Footnote Text Char"/>
    <w:basedOn w:val="DefaultParagraphFont"/>
    <w:link w:val="FootnoteText"/>
    <w:uiPriority w:val="99"/>
    <w:semiHidden/>
    <w:rsid w:val="00351C50"/>
    <w:rPr>
      <w:rFonts w:ascii="Times New Roman" w:eastAsia="Times New Roman" w:hAnsi="Times New Roman" w:cs="Times New Roman"/>
      <w:sz w:val="20"/>
      <w:szCs w:val="20"/>
      <w:lang w:eastAsia="sv-SE"/>
    </w:rPr>
  </w:style>
  <w:style w:type="character" w:styleId="CommentReference">
    <w:name w:val="annotation reference"/>
    <w:basedOn w:val="DefaultParagraphFont"/>
    <w:uiPriority w:val="99"/>
    <w:semiHidden/>
    <w:unhideWhenUsed/>
    <w:rsid w:val="00351C50"/>
    <w:rPr>
      <w:rFonts w:cs="Times New Roman"/>
      <w:sz w:val="18"/>
      <w:szCs w:val="18"/>
    </w:rPr>
  </w:style>
  <w:style w:type="character" w:styleId="FootnoteReference">
    <w:name w:val="footnote reference"/>
    <w:basedOn w:val="DefaultParagraphFont"/>
    <w:uiPriority w:val="99"/>
    <w:unhideWhenUsed/>
    <w:rsid w:val="00351C50"/>
    <w:rPr>
      <w:rFonts w:cs="Times New Roman"/>
      <w:vertAlign w:val="superscript"/>
    </w:rPr>
  </w:style>
  <w:style w:type="paragraph" w:styleId="BalloonText">
    <w:name w:val="Balloon Text"/>
    <w:basedOn w:val="Normal"/>
    <w:link w:val="BalloonTextChar"/>
    <w:uiPriority w:val="99"/>
    <w:semiHidden/>
    <w:unhideWhenUsed/>
    <w:rsid w:val="00351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C50"/>
    <w:rPr>
      <w:rFonts w:ascii="Segoe UI" w:eastAsia="Times New Roman" w:hAnsi="Segoe UI" w:cs="Segoe UI"/>
      <w:sz w:val="18"/>
      <w:szCs w:val="18"/>
      <w:lang w:eastAsia="sv-SE"/>
    </w:rPr>
  </w:style>
  <w:style w:type="paragraph" w:styleId="NormalWeb">
    <w:name w:val="Normal (Web)"/>
    <w:basedOn w:val="Normal"/>
    <w:uiPriority w:val="99"/>
    <w:unhideWhenUsed/>
    <w:rsid w:val="0051366C"/>
    <w:pPr>
      <w:spacing w:before="100" w:beforeAutospacing="1" w:after="100" w:afterAutospacing="1"/>
    </w:pPr>
  </w:style>
  <w:style w:type="paragraph" w:styleId="ListParagraph">
    <w:name w:val="List Paragraph"/>
    <w:basedOn w:val="Normal"/>
    <w:uiPriority w:val="34"/>
    <w:qFormat/>
    <w:rsid w:val="00513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48680">
      <w:bodyDiv w:val="1"/>
      <w:marLeft w:val="0"/>
      <w:marRight w:val="0"/>
      <w:marTop w:val="0"/>
      <w:marBottom w:val="0"/>
      <w:divBdr>
        <w:top w:val="none" w:sz="0" w:space="0" w:color="auto"/>
        <w:left w:val="none" w:sz="0" w:space="0" w:color="auto"/>
        <w:bottom w:val="none" w:sz="0" w:space="0" w:color="auto"/>
        <w:right w:val="none" w:sz="0" w:space="0" w:color="auto"/>
      </w:divBdr>
      <w:divsChild>
        <w:div w:id="278948803">
          <w:marLeft w:val="446"/>
          <w:marRight w:val="0"/>
          <w:marTop w:val="60"/>
          <w:marBottom w:val="60"/>
          <w:divBdr>
            <w:top w:val="none" w:sz="0" w:space="0" w:color="auto"/>
            <w:left w:val="none" w:sz="0" w:space="0" w:color="auto"/>
            <w:bottom w:val="none" w:sz="0" w:space="0" w:color="auto"/>
            <w:right w:val="none" w:sz="0" w:space="0" w:color="auto"/>
          </w:divBdr>
        </w:div>
        <w:div w:id="189346642">
          <w:marLeft w:val="446"/>
          <w:marRight w:val="0"/>
          <w:marTop w:val="60"/>
          <w:marBottom w:val="60"/>
          <w:divBdr>
            <w:top w:val="none" w:sz="0" w:space="0" w:color="auto"/>
            <w:left w:val="none" w:sz="0" w:space="0" w:color="auto"/>
            <w:bottom w:val="none" w:sz="0" w:space="0" w:color="auto"/>
            <w:right w:val="none" w:sz="0" w:space="0" w:color="auto"/>
          </w:divBdr>
        </w:div>
        <w:div w:id="2120177995">
          <w:marLeft w:val="446"/>
          <w:marRight w:val="0"/>
          <w:marTop w:val="60"/>
          <w:marBottom w:val="60"/>
          <w:divBdr>
            <w:top w:val="none" w:sz="0" w:space="0" w:color="auto"/>
            <w:left w:val="none" w:sz="0" w:space="0" w:color="auto"/>
            <w:bottom w:val="none" w:sz="0" w:space="0" w:color="auto"/>
            <w:right w:val="none" w:sz="0" w:space="0" w:color="auto"/>
          </w:divBdr>
        </w:div>
        <w:div w:id="2047876508">
          <w:marLeft w:val="1210"/>
          <w:marRight w:val="0"/>
          <w:marTop w:val="60"/>
          <w:marBottom w:val="60"/>
          <w:divBdr>
            <w:top w:val="none" w:sz="0" w:space="0" w:color="auto"/>
            <w:left w:val="none" w:sz="0" w:space="0" w:color="auto"/>
            <w:bottom w:val="none" w:sz="0" w:space="0" w:color="auto"/>
            <w:right w:val="none" w:sz="0" w:space="0" w:color="auto"/>
          </w:divBdr>
        </w:div>
        <w:div w:id="107626522">
          <w:marLeft w:val="1210"/>
          <w:marRight w:val="0"/>
          <w:marTop w:val="60"/>
          <w:marBottom w:val="60"/>
          <w:divBdr>
            <w:top w:val="none" w:sz="0" w:space="0" w:color="auto"/>
            <w:left w:val="none" w:sz="0" w:space="0" w:color="auto"/>
            <w:bottom w:val="none" w:sz="0" w:space="0" w:color="auto"/>
            <w:right w:val="none" w:sz="0" w:space="0" w:color="auto"/>
          </w:divBdr>
        </w:div>
        <w:div w:id="252206737">
          <w:marLeft w:val="1210"/>
          <w:marRight w:val="0"/>
          <w:marTop w:val="60"/>
          <w:marBottom w:val="60"/>
          <w:divBdr>
            <w:top w:val="none" w:sz="0" w:space="0" w:color="auto"/>
            <w:left w:val="none" w:sz="0" w:space="0" w:color="auto"/>
            <w:bottom w:val="none" w:sz="0" w:space="0" w:color="auto"/>
            <w:right w:val="none" w:sz="0" w:space="0" w:color="auto"/>
          </w:divBdr>
        </w:div>
      </w:divsChild>
    </w:div>
    <w:div w:id="880367175">
      <w:bodyDiv w:val="1"/>
      <w:marLeft w:val="0"/>
      <w:marRight w:val="0"/>
      <w:marTop w:val="0"/>
      <w:marBottom w:val="0"/>
      <w:divBdr>
        <w:top w:val="none" w:sz="0" w:space="0" w:color="auto"/>
        <w:left w:val="none" w:sz="0" w:space="0" w:color="auto"/>
        <w:bottom w:val="none" w:sz="0" w:space="0" w:color="auto"/>
        <w:right w:val="none" w:sz="0" w:space="0" w:color="auto"/>
      </w:divBdr>
      <w:divsChild>
        <w:div w:id="1333265224">
          <w:marLeft w:val="547"/>
          <w:marRight w:val="0"/>
          <w:marTop w:val="60"/>
          <w:marBottom w:val="60"/>
          <w:divBdr>
            <w:top w:val="none" w:sz="0" w:space="0" w:color="auto"/>
            <w:left w:val="none" w:sz="0" w:space="0" w:color="auto"/>
            <w:bottom w:val="none" w:sz="0" w:space="0" w:color="auto"/>
            <w:right w:val="none" w:sz="0" w:space="0" w:color="auto"/>
          </w:divBdr>
        </w:div>
        <w:div w:id="937955191">
          <w:marLeft w:val="1267"/>
          <w:marRight w:val="0"/>
          <w:marTop w:val="60"/>
          <w:marBottom w:val="60"/>
          <w:divBdr>
            <w:top w:val="none" w:sz="0" w:space="0" w:color="auto"/>
            <w:left w:val="none" w:sz="0" w:space="0" w:color="auto"/>
            <w:bottom w:val="none" w:sz="0" w:space="0" w:color="auto"/>
            <w:right w:val="none" w:sz="0" w:space="0" w:color="auto"/>
          </w:divBdr>
        </w:div>
        <w:div w:id="1311057514">
          <w:marLeft w:val="446"/>
          <w:marRight w:val="0"/>
          <w:marTop w:val="60"/>
          <w:marBottom w:val="60"/>
          <w:divBdr>
            <w:top w:val="none" w:sz="0" w:space="0" w:color="auto"/>
            <w:left w:val="none" w:sz="0" w:space="0" w:color="auto"/>
            <w:bottom w:val="none" w:sz="0" w:space="0" w:color="auto"/>
            <w:right w:val="none" w:sz="0" w:space="0" w:color="auto"/>
          </w:divBdr>
        </w:div>
        <w:div w:id="582497177">
          <w:marLeft w:val="446"/>
          <w:marRight w:val="0"/>
          <w:marTop w:val="60"/>
          <w:marBottom w:val="60"/>
          <w:divBdr>
            <w:top w:val="none" w:sz="0" w:space="0" w:color="auto"/>
            <w:left w:val="none" w:sz="0" w:space="0" w:color="auto"/>
            <w:bottom w:val="none" w:sz="0" w:space="0" w:color="auto"/>
            <w:right w:val="none" w:sz="0" w:space="0" w:color="auto"/>
          </w:divBdr>
        </w:div>
        <w:div w:id="1101072776">
          <w:marLeft w:val="1166"/>
          <w:marRight w:val="0"/>
          <w:marTop w:val="60"/>
          <w:marBottom w:val="60"/>
          <w:divBdr>
            <w:top w:val="none" w:sz="0" w:space="0" w:color="auto"/>
            <w:left w:val="none" w:sz="0" w:space="0" w:color="auto"/>
            <w:bottom w:val="none" w:sz="0" w:space="0" w:color="auto"/>
            <w:right w:val="none" w:sz="0" w:space="0" w:color="auto"/>
          </w:divBdr>
        </w:div>
      </w:divsChild>
    </w:div>
    <w:div w:id="1603488582">
      <w:bodyDiv w:val="1"/>
      <w:marLeft w:val="0"/>
      <w:marRight w:val="0"/>
      <w:marTop w:val="0"/>
      <w:marBottom w:val="0"/>
      <w:divBdr>
        <w:top w:val="none" w:sz="0" w:space="0" w:color="auto"/>
        <w:left w:val="none" w:sz="0" w:space="0" w:color="auto"/>
        <w:bottom w:val="none" w:sz="0" w:space="0" w:color="auto"/>
        <w:right w:val="none" w:sz="0" w:space="0" w:color="auto"/>
      </w:divBdr>
      <w:divsChild>
        <w:div w:id="1849755791">
          <w:marLeft w:val="446"/>
          <w:marRight w:val="0"/>
          <w:marTop w:val="60"/>
          <w:marBottom w:val="60"/>
          <w:divBdr>
            <w:top w:val="none" w:sz="0" w:space="0" w:color="auto"/>
            <w:left w:val="none" w:sz="0" w:space="0" w:color="auto"/>
            <w:bottom w:val="none" w:sz="0" w:space="0" w:color="auto"/>
            <w:right w:val="none" w:sz="0" w:space="0" w:color="auto"/>
          </w:divBdr>
        </w:div>
        <w:div w:id="400252160">
          <w:marLeft w:val="1166"/>
          <w:marRight w:val="0"/>
          <w:marTop w:val="60"/>
          <w:marBottom w:val="60"/>
          <w:divBdr>
            <w:top w:val="none" w:sz="0" w:space="0" w:color="auto"/>
            <w:left w:val="none" w:sz="0" w:space="0" w:color="auto"/>
            <w:bottom w:val="none" w:sz="0" w:space="0" w:color="auto"/>
            <w:right w:val="none" w:sz="0" w:space="0" w:color="auto"/>
          </w:divBdr>
        </w:div>
        <w:div w:id="463695415">
          <w:marLeft w:val="1166"/>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ommunity.icann.org/x/z4BYAw" TargetMode="External"/><Relationship Id="rId1" Type="http://schemas.openxmlformats.org/officeDocument/2006/relationships/hyperlink" Target="https://community.icann.org/x/z4BY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4053</Characters>
  <Application>Microsoft Office Word</Application>
  <DocSecurity>0</DocSecurity>
  <Lines>92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dc:creator>
  <cp:keywords/>
  <dc:description/>
  <cp:lastModifiedBy>petter</cp:lastModifiedBy>
  <cp:revision>2</cp:revision>
  <dcterms:created xsi:type="dcterms:W3CDTF">2016-09-27T19:59:00Z</dcterms:created>
  <dcterms:modified xsi:type="dcterms:W3CDTF">2016-09-27T19:59:00Z</dcterms:modified>
</cp:coreProperties>
</file>