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6D2BA" w14:textId="080A0ECE" w:rsidR="007D4176" w:rsidRPr="00A1064F" w:rsidRDefault="00E77840" w:rsidP="00E77D18">
      <w:pPr>
        <w:pStyle w:val="Title"/>
        <w:spacing w:before="120" w:after="120" w:line="276" w:lineRule="auto"/>
        <w:rPr>
          <w:b/>
          <w:sz w:val="22"/>
          <w:szCs w:val="22"/>
        </w:rPr>
      </w:pPr>
      <w:r>
        <w:rPr>
          <w:b/>
          <w:sz w:val="22"/>
          <w:szCs w:val="22"/>
        </w:rPr>
        <w:t>QUESTIONS</w:t>
      </w:r>
      <w:r w:rsidRPr="00A1064F">
        <w:rPr>
          <w:b/>
          <w:sz w:val="22"/>
          <w:szCs w:val="22"/>
        </w:rPr>
        <w:t xml:space="preserve"> </w:t>
      </w:r>
      <w:r>
        <w:rPr>
          <w:b/>
          <w:sz w:val="22"/>
          <w:szCs w:val="22"/>
        </w:rPr>
        <w:t>ON</w:t>
      </w:r>
      <w:r w:rsidRPr="00A1064F">
        <w:rPr>
          <w:b/>
          <w:sz w:val="22"/>
          <w:szCs w:val="22"/>
        </w:rPr>
        <w:t xml:space="preserve"> </w:t>
      </w:r>
      <w:r>
        <w:rPr>
          <w:b/>
          <w:sz w:val="22"/>
          <w:szCs w:val="22"/>
        </w:rPr>
        <w:t xml:space="preserve">JURISDICTIONAL </w:t>
      </w:r>
      <w:r w:rsidRPr="00A1064F">
        <w:rPr>
          <w:b/>
          <w:sz w:val="22"/>
          <w:szCs w:val="22"/>
        </w:rPr>
        <w:t xml:space="preserve">IMMUNITY </w:t>
      </w:r>
      <w:r w:rsidR="00CC395B">
        <w:rPr>
          <w:b/>
          <w:sz w:val="22"/>
          <w:szCs w:val="22"/>
        </w:rPr>
        <w:t>FOR</w:t>
      </w:r>
      <w:r>
        <w:rPr>
          <w:b/>
          <w:sz w:val="22"/>
          <w:szCs w:val="22"/>
        </w:rPr>
        <w:t xml:space="preserve"> INTERNATIONAL G</w:t>
      </w:r>
      <w:r w:rsidR="00233787">
        <w:rPr>
          <w:b/>
          <w:sz w:val="22"/>
          <w:szCs w:val="22"/>
        </w:rPr>
        <w:t xml:space="preserve">OVERNMENTAL ORGANIZATIONS </w:t>
      </w:r>
    </w:p>
    <w:p w14:paraId="3A45BDFD" w14:textId="77777777" w:rsidR="00E77840" w:rsidRDefault="00E77840" w:rsidP="00E77D18">
      <w:pPr>
        <w:spacing w:before="120" w:after="120" w:line="276" w:lineRule="auto"/>
        <w:contextualSpacing/>
        <w:rPr>
          <w:rFonts w:asciiTheme="majorHAnsi" w:hAnsiTheme="majorHAnsi"/>
          <w:b/>
          <w:sz w:val="22"/>
          <w:szCs w:val="22"/>
        </w:rPr>
      </w:pPr>
    </w:p>
    <w:p w14:paraId="779D011E" w14:textId="0B0AD979" w:rsidR="00E77D18" w:rsidRPr="00A34EB3" w:rsidRDefault="00E77840" w:rsidP="00E77D18">
      <w:pPr>
        <w:spacing w:before="120" w:after="120" w:line="276" w:lineRule="auto"/>
        <w:contextualSpacing/>
        <w:rPr>
          <w:rFonts w:asciiTheme="majorHAnsi" w:hAnsiTheme="majorHAnsi"/>
          <w:b/>
          <w:color w:val="1F497D" w:themeColor="text2"/>
          <w:sz w:val="22"/>
          <w:szCs w:val="22"/>
        </w:rPr>
      </w:pPr>
      <w:r w:rsidRPr="00A34EB3">
        <w:rPr>
          <w:rFonts w:asciiTheme="majorHAnsi" w:hAnsiTheme="majorHAnsi"/>
          <w:b/>
          <w:color w:val="1F497D" w:themeColor="text2"/>
          <w:sz w:val="22"/>
          <w:szCs w:val="22"/>
        </w:rPr>
        <w:t>I. Background</w:t>
      </w:r>
    </w:p>
    <w:p w14:paraId="25E2DB7C" w14:textId="77777777" w:rsidR="00E77840" w:rsidRPr="008D5870" w:rsidRDefault="00E77840" w:rsidP="00E77D18">
      <w:pPr>
        <w:spacing w:before="120" w:after="120" w:line="276" w:lineRule="auto"/>
        <w:contextualSpacing/>
        <w:rPr>
          <w:rFonts w:asciiTheme="majorHAnsi" w:hAnsiTheme="majorHAnsi"/>
          <w:b/>
          <w:sz w:val="22"/>
          <w:szCs w:val="22"/>
        </w:rPr>
      </w:pPr>
    </w:p>
    <w:p w14:paraId="659EEE0A" w14:textId="0D0B1CA2" w:rsidR="00233787" w:rsidRDefault="00233787" w:rsidP="00E77D18">
      <w:pPr>
        <w:spacing w:before="120" w:after="120" w:line="276" w:lineRule="auto"/>
        <w:ind w:firstLine="720"/>
        <w:contextualSpacing/>
        <w:rPr>
          <w:rFonts w:asciiTheme="majorHAnsi" w:hAnsiTheme="majorHAnsi"/>
          <w:sz w:val="22"/>
          <w:szCs w:val="22"/>
        </w:rPr>
      </w:pPr>
      <w:r>
        <w:rPr>
          <w:rFonts w:asciiTheme="majorHAnsi" w:hAnsiTheme="majorHAnsi"/>
          <w:sz w:val="22"/>
          <w:szCs w:val="22"/>
        </w:rPr>
        <w:t>We write to seek your assistance in ensuring that we have an accurate understanding of the current posit</w:t>
      </w:r>
      <w:r w:rsidR="00E61E77">
        <w:rPr>
          <w:rFonts w:asciiTheme="majorHAnsi" w:hAnsiTheme="majorHAnsi"/>
          <w:sz w:val="22"/>
          <w:szCs w:val="22"/>
        </w:rPr>
        <w:t>ion in public international law</w:t>
      </w:r>
      <w:r>
        <w:rPr>
          <w:rFonts w:asciiTheme="majorHAnsi" w:hAnsiTheme="majorHAnsi"/>
          <w:sz w:val="22"/>
          <w:szCs w:val="22"/>
        </w:rPr>
        <w:t xml:space="preserve"> on the issue of immunity from the jurisdiction of national courts for international governmental organizations (“IGOs”).</w:t>
      </w:r>
    </w:p>
    <w:p w14:paraId="601AA62E" w14:textId="77777777" w:rsidR="00233787" w:rsidRDefault="00233787" w:rsidP="00E77D18">
      <w:pPr>
        <w:spacing w:before="120" w:after="120" w:line="276" w:lineRule="auto"/>
        <w:ind w:firstLine="720"/>
        <w:contextualSpacing/>
        <w:rPr>
          <w:rFonts w:asciiTheme="majorHAnsi" w:hAnsiTheme="majorHAnsi"/>
          <w:sz w:val="22"/>
          <w:szCs w:val="22"/>
        </w:rPr>
      </w:pPr>
    </w:p>
    <w:p w14:paraId="48DE7BF8" w14:textId="2577141B" w:rsidR="008E2BCF" w:rsidRDefault="00233787" w:rsidP="00E77D18">
      <w:pPr>
        <w:spacing w:before="120" w:after="120" w:line="276" w:lineRule="auto"/>
        <w:ind w:firstLine="720"/>
        <w:contextualSpacing/>
        <w:rPr>
          <w:rFonts w:asciiTheme="majorHAnsi" w:hAnsiTheme="majorHAnsi"/>
          <w:sz w:val="22"/>
          <w:szCs w:val="22"/>
        </w:rPr>
      </w:pPr>
      <w:r>
        <w:rPr>
          <w:rFonts w:asciiTheme="majorHAnsi" w:hAnsiTheme="majorHAnsi"/>
          <w:sz w:val="22"/>
          <w:szCs w:val="22"/>
        </w:rPr>
        <w:t xml:space="preserve">We are the co-chairs of an ICANN Working Group </w:t>
      </w:r>
      <w:r w:rsidR="008E2BCF">
        <w:rPr>
          <w:rFonts w:asciiTheme="majorHAnsi" w:hAnsiTheme="majorHAnsi"/>
          <w:sz w:val="22"/>
          <w:szCs w:val="22"/>
        </w:rPr>
        <w:t>(“WG)</w:t>
      </w:r>
      <w:r>
        <w:rPr>
          <w:rFonts w:asciiTheme="majorHAnsi" w:hAnsiTheme="majorHAnsi"/>
          <w:sz w:val="22"/>
          <w:szCs w:val="22"/>
        </w:rPr>
        <w:t>,</w:t>
      </w:r>
      <w:r w:rsidR="008E2BCF">
        <w:rPr>
          <w:rFonts w:asciiTheme="majorHAnsi" w:hAnsiTheme="majorHAnsi"/>
          <w:sz w:val="22"/>
          <w:szCs w:val="22"/>
        </w:rPr>
        <w:t xml:space="preserve"> chartered to consider whether ICANN’s current dispute resolution processes - which enable trademark owners to seek either a transfer, cancellation or suspension of a</w:t>
      </w:r>
      <w:r w:rsidR="00A34EB3">
        <w:rPr>
          <w:rFonts w:asciiTheme="majorHAnsi" w:hAnsiTheme="majorHAnsi"/>
          <w:sz w:val="22"/>
          <w:szCs w:val="22"/>
        </w:rPr>
        <w:t>n identical or confusingly similar</w:t>
      </w:r>
      <w:r w:rsidR="008E2BCF">
        <w:rPr>
          <w:rFonts w:asciiTheme="majorHAnsi" w:hAnsiTheme="majorHAnsi"/>
          <w:sz w:val="22"/>
          <w:szCs w:val="22"/>
        </w:rPr>
        <w:t xml:space="preserve"> domain name registered by a third party in bad faith (among other criteria) – should be amended to better address the needs of IGOs and international non-governmental organizations. </w:t>
      </w:r>
      <w:r>
        <w:rPr>
          <w:rFonts w:asciiTheme="majorHAnsi" w:hAnsiTheme="majorHAnsi"/>
          <w:sz w:val="22"/>
          <w:szCs w:val="22"/>
        </w:rPr>
        <w:t>The</w:t>
      </w:r>
      <w:r w:rsidR="008E2BCF">
        <w:rPr>
          <w:rFonts w:asciiTheme="majorHAnsi" w:hAnsiTheme="majorHAnsi"/>
          <w:sz w:val="22"/>
          <w:szCs w:val="22"/>
        </w:rPr>
        <w:t xml:space="preserve"> dispute resolution processes </w:t>
      </w:r>
      <w:r>
        <w:rPr>
          <w:rFonts w:asciiTheme="majorHAnsi" w:hAnsiTheme="majorHAnsi"/>
          <w:sz w:val="22"/>
          <w:szCs w:val="22"/>
        </w:rPr>
        <w:t xml:space="preserve">in question </w:t>
      </w:r>
      <w:r w:rsidR="008E2BCF">
        <w:rPr>
          <w:rFonts w:asciiTheme="majorHAnsi" w:hAnsiTheme="majorHAnsi"/>
          <w:sz w:val="22"/>
          <w:szCs w:val="22"/>
        </w:rPr>
        <w:t>are the Uniform Dispute Resolution Policy (“UDRP”)</w:t>
      </w:r>
      <w:r w:rsidR="000D7E3E">
        <w:rPr>
          <w:rFonts w:asciiTheme="majorHAnsi" w:hAnsiTheme="majorHAnsi"/>
          <w:sz w:val="22"/>
          <w:szCs w:val="22"/>
        </w:rPr>
        <w:t xml:space="preserve">, which has been in place since the inception of ICANN; </w:t>
      </w:r>
      <w:r w:rsidR="008E2BCF">
        <w:rPr>
          <w:rFonts w:asciiTheme="majorHAnsi" w:hAnsiTheme="majorHAnsi"/>
          <w:sz w:val="22"/>
          <w:szCs w:val="22"/>
        </w:rPr>
        <w:t>and the Uniform Rapid Suspension procedure (“URS”),</w:t>
      </w:r>
      <w:r w:rsidR="000D7E3E">
        <w:rPr>
          <w:rFonts w:asciiTheme="majorHAnsi" w:hAnsiTheme="majorHAnsi"/>
          <w:sz w:val="22"/>
          <w:szCs w:val="22"/>
        </w:rPr>
        <w:t xml:space="preserve"> which was created recently as a rights protection mechanism for the new gTLD program. </w:t>
      </w:r>
      <w:r w:rsidR="008E2BCF">
        <w:rPr>
          <w:rFonts w:asciiTheme="majorHAnsi" w:hAnsiTheme="majorHAnsi"/>
          <w:sz w:val="22"/>
          <w:szCs w:val="22"/>
        </w:rPr>
        <w:t xml:space="preserve"> </w:t>
      </w:r>
      <w:r w:rsidR="000D7E3E">
        <w:rPr>
          <w:rFonts w:asciiTheme="majorHAnsi" w:hAnsiTheme="majorHAnsi"/>
          <w:sz w:val="22"/>
          <w:szCs w:val="22"/>
        </w:rPr>
        <w:t>B</w:t>
      </w:r>
      <w:r w:rsidR="008E2BCF">
        <w:rPr>
          <w:rFonts w:asciiTheme="majorHAnsi" w:hAnsiTheme="majorHAnsi"/>
          <w:sz w:val="22"/>
          <w:szCs w:val="22"/>
        </w:rPr>
        <w:t xml:space="preserve">oth of </w:t>
      </w:r>
      <w:proofErr w:type="gramStart"/>
      <w:r w:rsidR="000D7E3E">
        <w:rPr>
          <w:rFonts w:asciiTheme="majorHAnsi" w:hAnsiTheme="majorHAnsi"/>
          <w:sz w:val="22"/>
          <w:szCs w:val="22"/>
        </w:rPr>
        <w:t xml:space="preserve">these </w:t>
      </w:r>
      <w:r w:rsidR="008E2BCF">
        <w:rPr>
          <w:rFonts w:asciiTheme="majorHAnsi" w:hAnsiTheme="majorHAnsi"/>
          <w:sz w:val="22"/>
          <w:szCs w:val="22"/>
        </w:rPr>
        <w:t xml:space="preserve"> are</w:t>
      </w:r>
      <w:proofErr w:type="gramEnd"/>
      <w:r w:rsidR="008E2BCF">
        <w:rPr>
          <w:rFonts w:asciiTheme="majorHAnsi" w:hAnsiTheme="majorHAnsi"/>
          <w:sz w:val="22"/>
          <w:szCs w:val="22"/>
        </w:rPr>
        <w:t xml:space="preserve"> mandatory administrative proceedings to which a registrant of a domain name has to agree when registering a domain name. In either proceeding, either a single </w:t>
      </w:r>
      <w:r w:rsidR="00E77840">
        <w:rPr>
          <w:rFonts w:asciiTheme="majorHAnsi" w:hAnsiTheme="majorHAnsi"/>
          <w:sz w:val="22"/>
          <w:szCs w:val="22"/>
        </w:rPr>
        <w:t>panelist</w:t>
      </w:r>
      <w:r w:rsidR="000D7E3E">
        <w:rPr>
          <w:rFonts w:asciiTheme="majorHAnsi" w:hAnsiTheme="majorHAnsi"/>
          <w:sz w:val="22"/>
          <w:szCs w:val="22"/>
        </w:rPr>
        <w:t xml:space="preserve"> (UDRP &amp; URS)</w:t>
      </w:r>
      <w:r w:rsidR="00E77840">
        <w:rPr>
          <w:rFonts w:asciiTheme="majorHAnsi" w:hAnsiTheme="majorHAnsi"/>
          <w:sz w:val="22"/>
          <w:szCs w:val="22"/>
        </w:rPr>
        <w:t xml:space="preserve"> or a three-member panel</w:t>
      </w:r>
      <w:r w:rsidR="000D7E3E">
        <w:rPr>
          <w:rFonts w:asciiTheme="majorHAnsi" w:hAnsiTheme="majorHAnsi"/>
          <w:sz w:val="22"/>
          <w:szCs w:val="22"/>
        </w:rPr>
        <w:t xml:space="preserve"> (at </w:t>
      </w:r>
      <w:r w:rsidR="00C86652">
        <w:rPr>
          <w:rFonts w:asciiTheme="majorHAnsi" w:hAnsiTheme="majorHAnsi"/>
          <w:sz w:val="22"/>
          <w:szCs w:val="22"/>
        </w:rPr>
        <w:t xml:space="preserve">the </w:t>
      </w:r>
      <w:r w:rsidR="000D7E3E">
        <w:rPr>
          <w:rFonts w:asciiTheme="majorHAnsi" w:hAnsiTheme="majorHAnsi"/>
          <w:sz w:val="22"/>
          <w:szCs w:val="22"/>
        </w:rPr>
        <w:t>respondent</w:t>
      </w:r>
      <w:r w:rsidR="00C86652">
        <w:rPr>
          <w:rFonts w:asciiTheme="majorHAnsi" w:hAnsiTheme="majorHAnsi"/>
          <w:sz w:val="22"/>
          <w:szCs w:val="22"/>
        </w:rPr>
        <w:t>’s option</w:t>
      </w:r>
      <w:r w:rsidR="000D7E3E">
        <w:rPr>
          <w:rFonts w:asciiTheme="majorHAnsi" w:hAnsiTheme="majorHAnsi"/>
          <w:sz w:val="22"/>
          <w:szCs w:val="22"/>
        </w:rPr>
        <w:t xml:space="preserve"> in UDRP)</w:t>
      </w:r>
      <w:r w:rsidR="00E77840">
        <w:rPr>
          <w:rFonts w:asciiTheme="majorHAnsi" w:hAnsiTheme="majorHAnsi"/>
          <w:sz w:val="22"/>
          <w:szCs w:val="22"/>
        </w:rPr>
        <w:t xml:space="preserve"> determines the dispute in accordance with the criteria and rules applicable </w:t>
      </w:r>
      <w:r w:rsidR="00E42486">
        <w:rPr>
          <w:rFonts w:asciiTheme="majorHAnsi" w:hAnsiTheme="majorHAnsi"/>
          <w:sz w:val="22"/>
          <w:szCs w:val="22"/>
        </w:rPr>
        <w:t>under</w:t>
      </w:r>
      <w:r w:rsidR="00E77840">
        <w:rPr>
          <w:rFonts w:asciiTheme="majorHAnsi" w:hAnsiTheme="majorHAnsi"/>
          <w:sz w:val="22"/>
          <w:szCs w:val="22"/>
        </w:rPr>
        <w:t xml:space="preserve"> the particular policy</w:t>
      </w:r>
      <w:r w:rsidR="002817F9">
        <w:rPr>
          <w:rStyle w:val="FootnoteReference"/>
          <w:rFonts w:asciiTheme="majorHAnsi" w:hAnsiTheme="majorHAnsi"/>
          <w:sz w:val="22"/>
          <w:szCs w:val="22"/>
        </w:rPr>
        <w:footnoteReference w:id="1"/>
      </w:r>
      <w:r w:rsidR="00E77840">
        <w:rPr>
          <w:rFonts w:asciiTheme="majorHAnsi" w:hAnsiTheme="majorHAnsi"/>
          <w:sz w:val="22"/>
          <w:szCs w:val="22"/>
        </w:rPr>
        <w:t>,</w:t>
      </w:r>
      <w:r w:rsidR="00A34EB3">
        <w:rPr>
          <w:rFonts w:asciiTheme="majorHAnsi" w:hAnsiTheme="majorHAnsi"/>
          <w:sz w:val="22"/>
          <w:szCs w:val="22"/>
        </w:rPr>
        <w:t xml:space="preserve"> on the basis of electronically </w:t>
      </w:r>
      <w:r w:rsidR="00E77840">
        <w:rPr>
          <w:rFonts w:asciiTheme="majorHAnsi" w:hAnsiTheme="majorHAnsi"/>
          <w:sz w:val="22"/>
          <w:szCs w:val="22"/>
        </w:rPr>
        <w:t>filed complaints and responses (if any) rather than in-person hearings.</w:t>
      </w:r>
      <w:r w:rsidR="000D7E3E">
        <w:rPr>
          <w:rFonts w:asciiTheme="majorHAnsi" w:hAnsiTheme="majorHAnsi"/>
          <w:sz w:val="22"/>
          <w:szCs w:val="22"/>
        </w:rPr>
        <w:t xml:space="preserve"> The general grounds for prevailing in a UDRP or URS is that</w:t>
      </w:r>
      <w:r w:rsidR="00C86652">
        <w:rPr>
          <w:rFonts w:asciiTheme="majorHAnsi" w:hAnsiTheme="majorHAnsi"/>
          <w:sz w:val="22"/>
          <w:szCs w:val="22"/>
        </w:rPr>
        <w:t>: (1)</w:t>
      </w:r>
      <w:r w:rsidR="000D7E3E">
        <w:rPr>
          <w:rFonts w:asciiTheme="majorHAnsi" w:hAnsiTheme="majorHAnsi"/>
          <w:sz w:val="22"/>
          <w:szCs w:val="22"/>
        </w:rPr>
        <w:t xml:space="preserve"> the domain registrant has no legitimate rights</w:t>
      </w:r>
      <w:r w:rsidR="00A770F3">
        <w:rPr>
          <w:rFonts w:asciiTheme="majorHAnsi" w:hAnsiTheme="majorHAnsi"/>
          <w:sz w:val="22"/>
          <w:szCs w:val="22"/>
        </w:rPr>
        <w:t xml:space="preserve"> or interests</w:t>
      </w:r>
      <w:r w:rsidR="000D7E3E">
        <w:rPr>
          <w:rFonts w:asciiTheme="majorHAnsi" w:hAnsiTheme="majorHAnsi"/>
          <w:sz w:val="22"/>
          <w:szCs w:val="22"/>
        </w:rPr>
        <w:t xml:space="preserve"> in the domain; </w:t>
      </w:r>
      <w:r w:rsidR="00C86652">
        <w:rPr>
          <w:rFonts w:asciiTheme="majorHAnsi" w:hAnsiTheme="majorHAnsi"/>
          <w:sz w:val="22"/>
          <w:szCs w:val="22"/>
        </w:rPr>
        <w:t xml:space="preserve">(2) </w:t>
      </w:r>
      <w:r w:rsidR="000D7E3E">
        <w:rPr>
          <w:rFonts w:asciiTheme="majorHAnsi" w:hAnsiTheme="majorHAnsi"/>
          <w:sz w:val="22"/>
          <w:szCs w:val="22"/>
        </w:rPr>
        <w:t xml:space="preserve">the domain name is identical or confusingly similar to a trademark owned by the complainant; and </w:t>
      </w:r>
      <w:r w:rsidR="00C86652">
        <w:rPr>
          <w:rFonts w:asciiTheme="majorHAnsi" w:hAnsiTheme="majorHAnsi"/>
          <w:sz w:val="22"/>
          <w:szCs w:val="22"/>
        </w:rPr>
        <w:t xml:space="preserve">(3) </w:t>
      </w:r>
      <w:r w:rsidR="000D7E3E">
        <w:rPr>
          <w:rFonts w:asciiTheme="majorHAnsi" w:hAnsiTheme="majorHAnsi"/>
          <w:sz w:val="22"/>
          <w:szCs w:val="22"/>
        </w:rPr>
        <w:t xml:space="preserve">the domain was both </w:t>
      </w:r>
      <w:r w:rsidR="0065613F">
        <w:rPr>
          <w:rFonts w:asciiTheme="majorHAnsi" w:hAnsiTheme="majorHAnsi"/>
          <w:sz w:val="22"/>
          <w:szCs w:val="22"/>
        </w:rPr>
        <w:t>registered</w:t>
      </w:r>
      <w:r w:rsidR="000D7E3E">
        <w:rPr>
          <w:rFonts w:asciiTheme="majorHAnsi" w:hAnsiTheme="majorHAnsi"/>
          <w:sz w:val="22"/>
          <w:szCs w:val="22"/>
        </w:rPr>
        <w:t xml:space="preserve"> and is being used in bad faith. </w:t>
      </w:r>
      <w:r w:rsidR="0065613F">
        <w:rPr>
          <w:rFonts w:asciiTheme="majorHAnsi" w:hAnsiTheme="majorHAnsi"/>
          <w:sz w:val="22"/>
          <w:szCs w:val="22"/>
        </w:rPr>
        <w:t xml:space="preserve">The complainant must demonstrate these factors by a preponderance of the evidence in a UDRP action, and by clear and convincing evidence in </w:t>
      </w:r>
      <w:r w:rsidR="009A4811">
        <w:rPr>
          <w:rFonts w:asciiTheme="majorHAnsi" w:hAnsiTheme="majorHAnsi"/>
          <w:sz w:val="22"/>
          <w:szCs w:val="22"/>
        </w:rPr>
        <w:t>a URS</w:t>
      </w:r>
      <w:r w:rsidR="0065613F">
        <w:rPr>
          <w:rFonts w:asciiTheme="majorHAnsi" w:hAnsiTheme="majorHAnsi"/>
          <w:sz w:val="22"/>
          <w:szCs w:val="22"/>
        </w:rPr>
        <w:t>.</w:t>
      </w:r>
    </w:p>
    <w:p w14:paraId="2431992C" w14:textId="77777777" w:rsidR="008E2BCF" w:rsidRDefault="008E2BCF" w:rsidP="00E77D18">
      <w:pPr>
        <w:spacing w:before="120" w:after="120" w:line="276" w:lineRule="auto"/>
        <w:ind w:firstLine="720"/>
        <w:contextualSpacing/>
        <w:rPr>
          <w:rFonts w:asciiTheme="majorHAnsi" w:hAnsiTheme="majorHAnsi"/>
          <w:sz w:val="22"/>
          <w:szCs w:val="22"/>
        </w:rPr>
      </w:pPr>
    </w:p>
    <w:p w14:paraId="61981C6C" w14:textId="313492F5" w:rsidR="00891FAA" w:rsidRDefault="008E2BCF" w:rsidP="00E77D18">
      <w:pPr>
        <w:spacing w:before="120" w:after="120" w:line="276" w:lineRule="auto"/>
        <w:ind w:firstLine="720"/>
        <w:contextualSpacing/>
        <w:rPr>
          <w:rFonts w:asciiTheme="majorHAnsi" w:hAnsiTheme="majorHAnsi"/>
          <w:sz w:val="22"/>
          <w:szCs w:val="22"/>
        </w:rPr>
      </w:pPr>
      <w:r>
        <w:rPr>
          <w:rFonts w:asciiTheme="majorHAnsi" w:hAnsiTheme="majorHAnsi"/>
          <w:sz w:val="22"/>
          <w:szCs w:val="22"/>
        </w:rPr>
        <w:t>IGOs ha</w:t>
      </w:r>
      <w:r w:rsidR="00E42486">
        <w:rPr>
          <w:rFonts w:asciiTheme="majorHAnsi" w:hAnsiTheme="majorHAnsi"/>
          <w:sz w:val="22"/>
          <w:szCs w:val="22"/>
        </w:rPr>
        <w:t xml:space="preserve">ve informed ICANN that they </w:t>
      </w:r>
      <w:proofErr w:type="gramStart"/>
      <w:r w:rsidR="000D7E3E">
        <w:rPr>
          <w:rFonts w:asciiTheme="majorHAnsi" w:hAnsiTheme="majorHAnsi"/>
          <w:sz w:val="22"/>
          <w:szCs w:val="22"/>
        </w:rPr>
        <w:t xml:space="preserve">perceive </w:t>
      </w:r>
      <w:r>
        <w:rPr>
          <w:rFonts w:asciiTheme="majorHAnsi" w:hAnsiTheme="majorHAnsi"/>
          <w:sz w:val="22"/>
          <w:szCs w:val="22"/>
        </w:rPr>
        <w:t xml:space="preserve"> certain</w:t>
      </w:r>
      <w:proofErr w:type="gramEnd"/>
      <w:r>
        <w:rPr>
          <w:rFonts w:asciiTheme="majorHAnsi" w:hAnsiTheme="majorHAnsi"/>
          <w:sz w:val="22"/>
          <w:szCs w:val="22"/>
        </w:rPr>
        <w:t xml:space="preserve"> </w:t>
      </w:r>
      <w:r w:rsidR="00E42486">
        <w:rPr>
          <w:rFonts w:asciiTheme="majorHAnsi" w:hAnsiTheme="majorHAnsi"/>
          <w:sz w:val="22"/>
          <w:szCs w:val="22"/>
        </w:rPr>
        <w:t>challenge</w:t>
      </w:r>
      <w:r>
        <w:rPr>
          <w:rFonts w:asciiTheme="majorHAnsi" w:hAnsiTheme="majorHAnsi"/>
          <w:sz w:val="22"/>
          <w:szCs w:val="22"/>
        </w:rPr>
        <w:t xml:space="preserve">s with using the existing dispute resolution processes. </w:t>
      </w:r>
      <w:proofErr w:type="gramStart"/>
      <w:r>
        <w:rPr>
          <w:rFonts w:asciiTheme="majorHAnsi" w:hAnsiTheme="majorHAnsi"/>
          <w:sz w:val="22"/>
          <w:szCs w:val="22"/>
        </w:rPr>
        <w:t>For  purposes</w:t>
      </w:r>
      <w:proofErr w:type="gramEnd"/>
      <w:r w:rsidR="000D7E3E">
        <w:rPr>
          <w:rFonts w:asciiTheme="majorHAnsi" w:hAnsiTheme="majorHAnsi"/>
          <w:sz w:val="22"/>
          <w:szCs w:val="22"/>
        </w:rPr>
        <w:t xml:space="preserve"> of this inquiry</w:t>
      </w:r>
      <w:r>
        <w:rPr>
          <w:rFonts w:asciiTheme="majorHAnsi" w:hAnsiTheme="majorHAnsi"/>
          <w:sz w:val="22"/>
          <w:szCs w:val="22"/>
        </w:rPr>
        <w:t>, some IGOs have highlighted difficulty with the requirement that, in order to file a complaint against a third party registrant of a domain name that uses the IGO’s name or acronym, the IGO-complainant must first agree to a “Mutual Jurisdiction” requirement</w:t>
      </w:r>
      <w:r w:rsidR="000D7E3E">
        <w:rPr>
          <w:rFonts w:asciiTheme="majorHAnsi" w:hAnsiTheme="majorHAnsi"/>
          <w:sz w:val="22"/>
          <w:szCs w:val="22"/>
        </w:rPr>
        <w:t xml:space="preserve"> when filing a UDRP</w:t>
      </w:r>
      <w:r>
        <w:rPr>
          <w:rFonts w:asciiTheme="majorHAnsi" w:hAnsiTheme="majorHAnsi"/>
          <w:sz w:val="22"/>
          <w:szCs w:val="22"/>
        </w:rPr>
        <w:t>. This requirement is that, for purposes of a possible appe</w:t>
      </w:r>
      <w:r w:rsidR="00E77840">
        <w:rPr>
          <w:rFonts w:asciiTheme="majorHAnsi" w:hAnsiTheme="majorHAnsi"/>
          <w:sz w:val="22"/>
          <w:szCs w:val="22"/>
        </w:rPr>
        <w:t>al from the</w:t>
      </w:r>
      <w:r>
        <w:rPr>
          <w:rFonts w:asciiTheme="majorHAnsi" w:hAnsiTheme="majorHAnsi"/>
          <w:sz w:val="22"/>
          <w:szCs w:val="22"/>
        </w:rPr>
        <w:t xml:space="preserve"> </w:t>
      </w:r>
      <w:r w:rsidR="00E77840">
        <w:rPr>
          <w:rFonts w:asciiTheme="majorHAnsi" w:hAnsiTheme="majorHAnsi"/>
          <w:sz w:val="22"/>
          <w:szCs w:val="22"/>
        </w:rPr>
        <w:t xml:space="preserve">panel’s initial </w:t>
      </w:r>
      <w:r>
        <w:rPr>
          <w:rFonts w:asciiTheme="majorHAnsi" w:hAnsiTheme="majorHAnsi"/>
          <w:sz w:val="22"/>
          <w:szCs w:val="22"/>
        </w:rPr>
        <w:t xml:space="preserve">determination, an IGO must agree to submit to the </w:t>
      </w:r>
      <w:r>
        <w:rPr>
          <w:rFonts w:asciiTheme="majorHAnsi" w:hAnsiTheme="majorHAnsi"/>
          <w:sz w:val="22"/>
          <w:szCs w:val="22"/>
        </w:rPr>
        <w:lastRenderedPageBreak/>
        <w:t>jurisdiction of national courts either in the registrant’s (or her registrar’s) location</w:t>
      </w:r>
      <w:r w:rsidR="00A34EB3">
        <w:rPr>
          <w:rStyle w:val="FootnoteReference"/>
          <w:rFonts w:asciiTheme="majorHAnsi" w:hAnsiTheme="majorHAnsi"/>
          <w:sz w:val="22"/>
          <w:szCs w:val="22"/>
        </w:rPr>
        <w:footnoteReference w:id="2"/>
      </w:r>
      <w:r w:rsidR="000D7E3E">
        <w:rPr>
          <w:rFonts w:asciiTheme="majorHAnsi" w:hAnsiTheme="majorHAnsi"/>
          <w:sz w:val="22"/>
          <w:szCs w:val="22"/>
        </w:rPr>
        <w:t xml:space="preserve"> in the event of an appeal of the panel decision (URS appeals go back to the arbitration provider, not a national court)</w:t>
      </w:r>
      <w:r>
        <w:rPr>
          <w:rFonts w:asciiTheme="majorHAnsi" w:hAnsiTheme="majorHAnsi"/>
          <w:sz w:val="22"/>
          <w:szCs w:val="22"/>
        </w:rPr>
        <w:t xml:space="preserve">. </w:t>
      </w:r>
      <w:r w:rsidR="000D7E3E">
        <w:rPr>
          <w:rFonts w:asciiTheme="majorHAnsi" w:hAnsiTheme="majorHAnsi"/>
          <w:sz w:val="22"/>
          <w:szCs w:val="22"/>
        </w:rPr>
        <w:t xml:space="preserve"> Such an appeal is likely only in the rare circumstance that the domain registrant/respondent </w:t>
      </w:r>
      <w:r w:rsidR="00C86652">
        <w:rPr>
          <w:rFonts w:asciiTheme="majorHAnsi" w:hAnsiTheme="majorHAnsi"/>
          <w:sz w:val="22"/>
          <w:szCs w:val="22"/>
        </w:rPr>
        <w:t xml:space="preserve">has </w:t>
      </w:r>
      <w:r w:rsidR="000D7E3E">
        <w:rPr>
          <w:rFonts w:asciiTheme="majorHAnsi" w:hAnsiTheme="majorHAnsi"/>
          <w:sz w:val="22"/>
          <w:szCs w:val="22"/>
        </w:rPr>
        <w:t xml:space="preserve">lost a UDRP decision and </w:t>
      </w:r>
      <w:r w:rsidR="00C86652">
        <w:rPr>
          <w:rFonts w:asciiTheme="majorHAnsi" w:hAnsiTheme="majorHAnsi"/>
          <w:sz w:val="22"/>
          <w:szCs w:val="22"/>
        </w:rPr>
        <w:t>is seeking</w:t>
      </w:r>
      <w:r w:rsidR="000D7E3E">
        <w:rPr>
          <w:rFonts w:asciiTheme="majorHAnsi" w:hAnsiTheme="majorHAnsi"/>
          <w:sz w:val="22"/>
          <w:szCs w:val="22"/>
        </w:rPr>
        <w:t xml:space="preserve"> judicial appeal.  </w:t>
      </w:r>
    </w:p>
    <w:p w14:paraId="0D5F342D" w14:textId="77777777" w:rsidR="008E2BCF" w:rsidRDefault="008E2BCF" w:rsidP="00E77D18">
      <w:pPr>
        <w:spacing w:before="120" w:after="120" w:line="276" w:lineRule="auto"/>
        <w:ind w:firstLine="720"/>
        <w:contextualSpacing/>
        <w:rPr>
          <w:rFonts w:asciiTheme="majorHAnsi" w:hAnsiTheme="majorHAnsi"/>
          <w:sz w:val="22"/>
          <w:szCs w:val="22"/>
        </w:rPr>
      </w:pPr>
    </w:p>
    <w:p w14:paraId="40BF116D" w14:textId="46A7A62A" w:rsidR="003A4644" w:rsidRPr="008D5870" w:rsidRDefault="00891FAA" w:rsidP="00E77D18">
      <w:pPr>
        <w:spacing w:before="120" w:after="120" w:line="276" w:lineRule="auto"/>
        <w:ind w:firstLine="720"/>
        <w:contextualSpacing/>
        <w:rPr>
          <w:rFonts w:asciiTheme="majorHAnsi" w:hAnsiTheme="majorHAnsi"/>
          <w:sz w:val="22"/>
          <w:szCs w:val="22"/>
        </w:rPr>
      </w:pPr>
      <w:r>
        <w:rPr>
          <w:rFonts w:asciiTheme="majorHAnsi" w:hAnsiTheme="majorHAnsi"/>
          <w:sz w:val="22"/>
          <w:szCs w:val="22"/>
        </w:rPr>
        <w:t xml:space="preserve">The </w:t>
      </w:r>
      <w:r w:rsidR="003A4644" w:rsidRPr="008D5870">
        <w:rPr>
          <w:rFonts w:asciiTheme="majorHAnsi" w:hAnsiTheme="majorHAnsi"/>
          <w:sz w:val="22"/>
          <w:szCs w:val="22"/>
        </w:rPr>
        <w:t>WG</w:t>
      </w:r>
      <w:r>
        <w:rPr>
          <w:rFonts w:asciiTheme="majorHAnsi" w:hAnsiTheme="majorHAnsi"/>
          <w:sz w:val="22"/>
          <w:szCs w:val="22"/>
        </w:rPr>
        <w:t xml:space="preserve"> </w:t>
      </w:r>
      <w:r w:rsidR="003A4644" w:rsidRPr="008D5870">
        <w:rPr>
          <w:rFonts w:asciiTheme="majorHAnsi" w:hAnsiTheme="majorHAnsi"/>
          <w:sz w:val="22"/>
          <w:szCs w:val="22"/>
        </w:rPr>
        <w:t xml:space="preserve">is </w:t>
      </w:r>
      <w:r w:rsidR="0099601D" w:rsidRPr="008D5870">
        <w:rPr>
          <w:rFonts w:asciiTheme="majorHAnsi" w:hAnsiTheme="majorHAnsi"/>
          <w:sz w:val="22"/>
          <w:szCs w:val="22"/>
        </w:rPr>
        <w:t xml:space="preserve">currently </w:t>
      </w:r>
      <w:r w:rsidR="003A4644" w:rsidRPr="008D5870">
        <w:rPr>
          <w:rFonts w:asciiTheme="majorHAnsi" w:hAnsiTheme="majorHAnsi"/>
          <w:sz w:val="22"/>
          <w:szCs w:val="22"/>
        </w:rPr>
        <w:t xml:space="preserve">seeking to better understand the </w:t>
      </w:r>
      <w:r w:rsidR="00EE666F" w:rsidRPr="008D5870">
        <w:rPr>
          <w:rFonts w:asciiTheme="majorHAnsi" w:hAnsiTheme="majorHAnsi"/>
          <w:sz w:val="22"/>
          <w:szCs w:val="22"/>
        </w:rPr>
        <w:t xml:space="preserve">application </w:t>
      </w:r>
      <w:r w:rsidR="00E42486">
        <w:rPr>
          <w:rFonts w:asciiTheme="majorHAnsi" w:hAnsiTheme="majorHAnsi"/>
          <w:sz w:val="22"/>
          <w:szCs w:val="22"/>
        </w:rPr>
        <w:t>and</w:t>
      </w:r>
      <w:r w:rsidR="007D018F" w:rsidRPr="008D5870">
        <w:rPr>
          <w:rFonts w:asciiTheme="majorHAnsi" w:hAnsiTheme="majorHAnsi"/>
          <w:sz w:val="22"/>
          <w:szCs w:val="22"/>
        </w:rPr>
        <w:t xml:space="preserve"> scope</w:t>
      </w:r>
      <w:r w:rsidR="003A4644" w:rsidRPr="008D5870">
        <w:rPr>
          <w:rFonts w:asciiTheme="majorHAnsi" w:hAnsiTheme="majorHAnsi"/>
          <w:sz w:val="22"/>
          <w:szCs w:val="22"/>
        </w:rPr>
        <w:t xml:space="preserve"> of the principle of immunity to </w:t>
      </w:r>
      <w:r w:rsidR="00E77840">
        <w:rPr>
          <w:rFonts w:asciiTheme="majorHAnsi" w:hAnsiTheme="majorHAnsi"/>
          <w:sz w:val="22"/>
          <w:szCs w:val="22"/>
        </w:rPr>
        <w:t>IGOs; specifically, jurisdictional immunity</w:t>
      </w:r>
      <w:r w:rsidR="0099601D" w:rsidRPr="008D5870">
        <w:rPr>
          <w:rFonts w:asciiTheme="majorHAnsi" w:hAnsiTheme="majorHAnsi"/>
          <w:sz w:val="22"/>
          <w:szCs w:val="22"/>
        </w:rPr>
        <w:t>. The WG is aware</w:t>
      </w:r>
      <w:r w:rsidR="003A4644" w:rsidRPr="008D5870">
        <w:rPr>
          <w:rFonts w:asciiTheme="majorHAnsi" w:hAnsiTheme="majorHAnsi"/>
          <w:sz w:val="22"/>
          <w:szCs w:val="22"/>
        </w:rPr>
        <w:t xml:space="preserve"> that an IGO is </w:t>
      </w:r>
      <w:r w:rsidR="00B43E95" w:rsidRPr="008D5870">
        <w:rPr>
          <w:rFonts w:asciiTheme="majorHAnsi" w:hAnsiTheme="majorHAnsi"/>
          <w:sz w:val="22"/>
          <w:szCs w:val="22"/>
        </w:rPr>
        <w:t>commonly</w:t>
      </w:r>
      <w:r w:rsidR="0099601D" w:rsidRPr="008D5870">
        <w:rPr>
          <w:rFonts w:asciiTheme="majorHAnsi" w:hAnsiTheme="majorHAnsi"/>
          <w:sz w:val="22"/>
          <w:szCs w:val="22"/>
        </w:rPr>
        <w:t xml:space="preserve"> viewed as </w:t>
      </w:r>
      <w:r w:rsidR="003A4644" w:rsidRPr="008D5870">
        <w:rPr>
          <w:rFonts w:asciiTheme="majorHAnsi" w:hAnsiTheme="majorHAnsi"/>
          <w:sz w:val="22"/>
          <w:szCs w:val="22"/>
        </w:rPr>
        <w:t xml:space="preserve">an organization established by an international treaty and which </w:t>
      </w:r>
      <w:r w:rsidR="00B43E95" w:rsidRPr="008D5870">
        <w:rPr>
          <w:rFonts w:asciiTheme="majorHAnsi" w:hAnsiTheme="majorHAnsi"/>
          <w:sz w:val="22"/>
          <w:szCs w:val="22"/>
        </w:rPr>
        <w:t>may possess</w:t>
      </w:r>
      <w:r w:rsidR="003A4644" w:rsidRPr="008D5870">
        <w:rPr>
          <w:rFonts w:asciiTheme="majorHAnsi" w:hAnsiTheme="majorHAnsi"/>
          <w:sz w:val="22"/>
          <w:szCs w:val="22"/>
        </w:rPr>
        <w:t xml:space="preserve"> international legal personality of its own, with members that generally (though not universally) consist of sovereign nation states. As such, the WG acknowledges that an IGO </w:t>
      </w:r>
      <w:r w:rsidR="0099601D" w:rsidRPr="008D5870">
        <w:rPr>
          <w:rFonts w:asciiTheme="majorHAnsi" w:hAnsiTheme="majorHAnsi"/>
          <w:sz w:val="22"/>
          <w:szCs w:val="22"/>
        </w:rPr>
        <w:t xml:space="preserve">can </w:t>
      </w:r>
      <w:r w:rsidR="003A4644" w:rsidRPr="008D5870">
        <w:rPr>
          <w:rFonts w:asciiTheme="majorHAnsi" w:hAnsiTheme="majorHAnsi"/>
          <w:sz w:val="22"/>
          <w:szCs w:val="22"/>
        </w:rPr>
        <w:t>enjoy special privileges and immunities under international law</w:t>
      </w:r>
      <w:r w:rsidR="0099601D" w:rsidRPr="008D5870">
        <w:rPr>
          <w:rFonts w:asciiTheme="majorHAnsi" w:hAnsiTheme="majorHAnsi"/>
          <w:sz w:val="22"/>
          <w:szCs w:val="22"/>
        </w:rPr>
        <w:t xml:space="preserve">. </w:t>
      </w:r>
    </w:p>
    <w:p w14:paraId="5D40DFD8" w14:textId="77777777" w:rsidR="00E77D18" w:rsidRPr="008D5870" w:rsidRDefault="00E77D18" w:rsidP="00E77D18">
      <w:pPr>
        <w:spacing w:before="120" w:after="120" w:line="276" w:lineRule="auto"/>
        <w:ind w:firstLine="720"/>
        <w:contextualSpacing/>
        <w:rPr>
          <w:rFonts w:asciiTheme="majorHAnsi" w:hAnsiTheme="majorHAnsi"/>
          <w:sz w:val="22"/>
          <w:szCs w:val="22"/>
        </w:rPr>
      </w:pPr>
    </w:p>
    <w:p w14:paraId="1CD85CBA" w14:textId="2DC4E6F1" w:rsidR="00E77D18" w:rsidRPr="008D5870" w:rsidRDefault="00AF5CD2" w:rsidP="00A34EB3">
      <w:pPr>
        <w:spacing w:before="120" w:after="120" w:line="276" w:lineRule="auto"/>
        <w:ind w:firstLine="720"/>
        <w:contextualSpacing/>
        <w:rPr>
          <w:rFonts w:asciiTheme="majorHAnsi" w:hAnsiTheme="majorHAnsi"/>
          <w:sz w:val="22"/>
          <w:szCs w:val="22"/>
        </w:rPr>
      </w:pPr>
      <w:r w:rsidRPr="008D5870">
        <w:rPr>
          <w:rFonts w:asciiTheme="majorHAnsi" w:hAnsiTheme="majorHAnsi"/>
          <w:sz w:val="22"/>
          <w:szCs w:val="22"/>
        </w:rPr>
        <w:t xml:space="preserve">In the course of our preliminary research, we came across </w:t>
      </w:r>
      <w:r w:rsidR="00192D38" w:rsidRPr="008D5870">
        <w:rPr>
          <w:rFonts w:asciiTheme="majorHAnsi" w:hAnsiTheme="majorHAnsi"/>
          <w:sz w:val="22"/>
          <w:szCs w:val="22"/>
        </w:rPr>
        <w:t xml:space="preserve">a number of </w:t>
      </w:r>
      <w:r w:rsidRPr="008D5870">
        <w:rPr>
          <w:rFonts w:asciiTheme="majorHAnsi" w:hAnsiTheme="majorHAnsi"/>
          <w:sz w:val="22"/>
          <w:szCs w:val="22"/>
        </w:rPr>
        <w:t>instances where</w:t>
      </w:r>
      <w:r w:rsidR="0065613F">
        <w:rPr>
          <w:rFonts w:asciiTheme="majorHAnsi" w:hAnsiTheme="majorHAnsi"/>
          <w:sz w:val="22"/>
          <w:szCs w:val="22"/>
        </w:rPr>
        <w:t>, notwithstanding any jurisdictional concerns,</w:t>
      </w:r>
      <w:r w:rsidRPr="008D5870">
        <w:rPr>
          <w:rFonts w:asciiTheme="majorHAnsi" w:hAnsiTheme="majorHAnsi"/>
          <w:sz w:val="22"/>
          <w:szCs w:val="22"/>
        </w:rPr>
        <w:t xml:space="preserve"> IGOs </w:t>
      </w:r>
      <w:r w:rsidR="00A34EB3">
        <w:rPr>
          <w:rFonts w:asciiTheme="majorHAnsi" w:hAnsiTheme="majorHAnsi"/>
          <w:sz w:val="22"/>
          <w:szCs w:val="22"/>
        </w:rPr>
        <w:t>have</w:t>
      </w:r>
      <w:r w:rsidR="0065613F">
        <w:rPr>
          <w:rFonts w:asciiTheme="majorHAnsi" w:hAnsiTheme="majorHAnsi"/>
          <w:sz w:val="22"/>
          <w:szCs w:val="22"/>
        </w:rPr>
        <w:t xml:space="preserve"> successfully</w:t>
      </w:r>
      <w:r w:rsidRPr="008D5870">
        <w:rPr>
          <w:rFonts w:asciiTheme="majorHAnsi" w:hAnsiTheme="majorHAnsi"/>
          <w:sz w:val="22"/>
          <w:szCs w:val="22"/>
        </w:rPr>
        <w:t xml:space="preserve"> filed complaints under the UDRP, based </w:t>
      </w:r>
      <w:r w:rsidR="00305933" w:rsidRPr="008D5870">
        <w:rPr>
          <w:rFonts w:asciiTheme="majorHAnsi" w:hAnsiTheme="majorHAnsi"/>
          <w:sz w:val="22"/>
          <w:szCs w:val="22"/>
        </w:rPr>
        <w:t xml:space="preserve">largely </w:t>
      </w:r>
      <w:r w:rsidRPr="008D5870">
        <w:rPr>
          <w:rFonts w:asciiTheme="majorHAnsi" w:hAnsiTheme="majorHAnsi"/>
          <w:sz w:val="22"/>
          <w:szCs w:val="22"/>
        </w:rPr>
        <w:t>on trademark rights that each organization held</w:t>
      </w:r>
      <w:r w:rsidR="00305933" w:rsidRPr="008D5870">
        <w:rPr>
          <w:rFonts w:asciiTheme="majorHAnsi" w:hAnsiTheme="majorHAnsi"/>
          <w:sz w:val="22"/>
          <w:szCs w:val="22"/>
        </w:rPr>
        <w:t xml:space="preserve"> in its name and/or </w:t>
      </w:r>
      <w:r w:rsidR="0058326C" w:rsidRPr="008D5870">
        <w:rPr>
          <w:rFonts w:asciiTheme="majorHAnsi" w:hAnsiTheme="majorHAnsi"/>
          <w:sz w:val="22"/>
          <w:szCs w:val="22"/>
        </w:rPr>
        <w:t>acronym</w:t>
      </w:r>
      <w:r w:rsidRPr="008D5870">
        <w:rPr>
          <w:rFonts w:asciiTheme="majorHAnsi" w:hAnsiTheme="majorHAnsi"/>
          <w:sz w:val="22"/>
          <w:szCs w:val="22"/>
        </w:rPr>
        <w:t xml:space="preserve"> in certain national jurisdictions. </w:t>
      </w:r>
      <w:r w:rsidR="00E42486">
        <w:rPr>
          <w:rFonts w:asciiTheme="majorHAnsi" w:hAnsiTheme="majorHAnsi"/>
          <w:sz w:val="22"/>
          <w:szCs w:val="22"/>
        </w:rPr>
        <w:t>Because these</w:t>
      </w:r>
      <w:r w:rsidRPr="008D5870">
        <w:rPr>
          <w:rFonts w:asciiTheme="majorHAnsi" w:hAnsiTheme="majorHAnsi"/>
          <w:sz w:val="22"/>
          <w:szCs w:val="22"/>
        </w:rPr>
        <w:t xml:space="preserve"> cases demonstrate </w:t>
      </w:r>
      <w:r w:rsidR="00E42486">
        <w:rPr>
          <w:rFonts w:asciiTheme="majorHAnsi" w:hAnsiTheme="majorHAnsi"/>
          <w:sz w:val="22"/>
          <w:szCs w:val="22"/>
        </w:rPr>
        <w:t>that there are times (even if these turn out to be exceptional) when</w:t>
      </w:r>
      <w:r w:rsidRPr="008D5870">
        <w:rPr>
          <w:rFonts w:asciiTheme="majorHAnsi" w:hAnsiTheme="majorHAnsi"/>
          <w:sz w:val="22"/>
          <w:szCs w:val="22"/>
        </w:rPr>
        <w:t xml:space="preserve"> an IGO will decide to agree to the jurisdictional requirement of the UDRP</w:t>
      </w:r>
      <w:r w:rsidR="00E42486">
        <w:rPr>
          <w:rFonts w:asciiTheme="majorHAnsi" w:hAnsiTheme="majorHAnsi"/>
          <w:sz w:val="22"/>
          <w:szCs w:val="22"/>
        </w:rPr>
        <w:t>, we</w:t>
      </w:r>
      <w:r w:rsidR="00E562C9" w:rsidRPr="008D5870">
        <w:rPr>
          <w:rFonts w:asciiTheme="majorHAnsi" w:hAnsiTheme="majorHAnsi"/>
          <w:sz w:val="22"/>
          <w:szCs w:val="22"/>
        </w:rPr>
        <w:t xml:space="preserve"> </w:t>
      </w:r>
      <w:r w:rsidR="00E42486">
        <w:rPr>
          <w:rFonts w:asciiTheme="majorHAnsi" w:hAnsiTheme="majorHAnsi"/>
          <w:sz w:val="22"/>
          <w:szCs w:val="22"/>
        </w:rPr>
        <w:t xml:space="preserve">are </w:t>
      </w:r>
      <w:r w:rsidR="00E562C9" w:rsidRPr="008D5870">
        <w:rPr>
          <w:rFonts w:asciiTheme="majorHAnsi" w:hAnsiTheme="majorHAnsi"/>
          <w:sz w:val="22"/>
          <w:szCs w:val="22"/>
        </w:rPr>
        <w:t>seek</w:t>
      </w:r>
      <w:r w:rsidR="00E42486">
        <w:rPr>
          <w:rFonts w:asciiTheme="majorHAnsi" w:hAnsiTheme="majorHAnsi"/>
          <w:sz w:val="22"/>
          <w:szCs w:val="22"/>
        </w:rPr>
        <w:t>ing</w:t>
      </w:r>
      <w:r w:rsidR="00E562C9" w:rsidRPr="008D5870">
        <w:rPr>
          <w:rFonts w:asciiTheme="majorHAnsi" w:hAnsiTheme="majorHAnsi"/>
          <w:sz w:val="22"/>
          <w:szCs w:val="22"/>
        </w:rPr>
        <w:t xml:space="preserve"> to better understand t</w:t>
      </w:r>
      <w:r w:rsidR="00E42486">
        <w:rPr>
          <w:rFonts w:asciiTheme="majorHAnsi" w:hAnsiTheme="majorHAnsi"/>
          <w:sz w:val="22"/>
          <w:szCs w:val="22"/>
        </w:rPr>
        <w:t>he nature of IGOs’ concern over</w:t>
      </w:r>
      <w:r w:rsidR="00E562C9" w:rsidRPr="008D5870">
        <w:rPr>
          <w:rFonts w:asciiTheme="majorHAnsi" w:hAnsiTheme="majorHAnsi"/>
          <w:sz w:val="22"/>
          <w:szCs w:val="22"/>
        </w:rPr>
        <w:t xml:space="preserve"> </w:t>
      </w:r>
      <w:r w:rsidR="00A34EB3">
        <w:rPr>
          <w:rFonts w:asciiTheme="majorHAnsi" w:hAnsiTheme="majorHAnsi"/>
          <w:sz w:val="22"/>
          <w:szCs w:val="22"/>
        </w:rPr>
        <w:t>mandatory administrative proceedings</w:t>
      </w:r>
      <w:r w:rsidR="00E42486">
        <w:rPr>
          <w:rFonts w:asciiTheme="majorHAnsi" w:hAnsiTheme="majorHAnsi"/>
          <w:sz w:val="22"/>
          <w:szCs w:val="22"/>
        </w:rPr>
        <w:t xml:space="preserve"> in the context of jurisdictional </w:t>
      </w:r>
      <w:r w:rsidR="00E562C9" w:rsidRPr="008D5870">
        <w:rPr>
          <w:rFonts w:asciiTheme="majorHAnsi" w:hAnsiTheme="majorHAnsi"/>
          <w:sz w:val="22"/>
          <w:szCs w:val="22"/>
        </w:rPr>
        <w:t>immunity.</w:t>
      </w:r>
    </w:p>
    <w:p w14:paraId="336A1DB1" w14:textId="77777777" w:rsidR="00E77D18" w:rsidRPr="008D5870" w:rsidRDefault="00E77D18" w:rsidP="00E77D18">
      <w:pPr>
        <w:spacing w:before="120" w:after="120" w:line="276" w:lineRule="auto"/>
        <w:ind w:firstLine="720"/>
        <w:contextualSpacing/>
        <w:rPr>
          <w:rFonts w:asciiTheme="majorHAnsi" w:hAnsiTheme="majorHAnsi"/>
          <w:sz w:val="22"/>
          <w:szCs w:val="22"/>
        </w:rPr>
      </w:pPr>
    </w:p>
    <w:p w14:paraId="7814DE7E" w14:textId="6676AA13" w:rsidR="00A34EB3" w:rsidRPr="00A34EB3" w:rsidRDefault="00C53DB5" w:rsidP="009D1481">
      <w:pPr>
        <w:spacing w:line="276" w:lineRule="auto"/>
        <w:ind w:firstLine="720"/>
        <w:rPr>
          <w:rFonts w:asciiTheme="majorHAnsi" w:hAnsiTheme="majorHAnsi"/>
          <w:sz w:val="22"/>
          <w:szCs w:val="22"/>
        </w:rPr>
      </w:pPr>
      <w:r w:rsidRPr="008D5870">
        <w:rPr>
          <w:rFonts w:asciiTheme="majorHAnsi" w:hAnsiTheme="majorHAnsi"/>
          <w:sz w:val="22"/>
          <w:szCs w:val="22"/>
        </w:rPr>
        <w:t>Our initial research int</w:t>
      </w:r>
      <w:r w:rsidR="00E42486">
        <w:rPr>
          <w:rFonts w:asciiTheme="majorHAnsi" w:hAnsiTheme="majorHAnsi"/>
          <w:sz w:val="22"/>
          <w:szCs w:val="22"/>
        </w:rPr>
        <w:t>o the topic of</w:t>
      </w:r>
      <w:r w:rsidR="00A34EB3" w:rsidRPr="00A34EB3">
        <w:t xml:space="preserve"> </w:t>
      </w:r>
      <w:r w:rsidR="00233787">
        <w:rPr>
          <w:rFonts w:asciiTheme="majorHAnsi" w:hAnsiTheme="majorHAnsi"/>
          <w:sz w:val="22"/>
          <w:szCs w:val="22"/>
        </w:rPr>
        <w:t>indicate</w:t>
      </w:r>
      <w:r w:rsidR="00E42486">
        <w:rPr>
          <w:rFonts w:asciiTheme="majorHAnsi" w:hAnsiTheme="majorHAnsi"/>
          <w:sz w:val="22"/>
          <w:szCs w:val="22"/>
        </w:rPr>
        <w:t>s</w:t>
      </w:r>
      <w:r w:rsidR="00233787">
        <w:rPr>
          <w:rFonts w:asciiTheme="majorHAnsi" w:hAnsiTheme="majorHAnsi"/>
          <w:sz w:val="22"/>
          <w:szCs w:val="22"/>
        </w:rPr>
        <w:t xml:space="preserve"> </w:t>
      </w:r>
      <w:r w:rsidR="00E42486">
        <w:rPr>
          <w:rFonts w:asciiTheme="majorHAnsi" w:hAnsiTheme="majorHAnsi"/>
          <w:sz w:val="22"/>
          <w:szCs w:val="22"/>
        </w:rPr>
        <w:t xml:space="preserve">to us </w:t>
      </w:r>
      <w:r w:rsidR="00233787">
        <w:rPr>
          <w:rFonts w:asciiTheme="majorHAnsi" w:hAnsiTheme="majorHAnsi"/>
          <w:sz w:val="22"/>
          <w:szCs w:val="22"/>
        </w:rPr>
        <w:t>that there</w:t>
      </w:r>
      <w:r w:rsidR="00A34EB3" w:rsidRPr="00A34EB3">
        <w:rPr>
          <w:rFonts w:asciiTheme="majorHAnsi" w:hAnsiTheme="majorHAnsi"/>
          <w:sz w:val="22"/>
          <w:szCs w:val="22"/>
        </w:rPr>
        <w:t xml:space="preserve"> is </w:t>
      </w:r>
      <w:r w:rsidR="00A34EB3" w:rsidRPr="00A34EB3">
        <w:rPr>
          <w:rFonts w:asciiTheme="majorHAnsi" w:hAnsiTheme="majorHAnsi"/>
          <w:b/>
          <w:i/>
          <w:sz w:val="22"/>
          <w:szCs w:val="22"/>
        </w:rPr>
        <w:t>no universal legal rule that defines a single scope of jurisdictional immunity</w:t>
      </w:r>
      <w:r w:rsidR="00233787">
        <w:rPr>
          <w:rFonts w:asciiTheme="majorHAnsi" w:hAnsiTheme="majorHAnsi"/>
          <w:b/>
          <w:i/>
          <w:sz w:val="22"/>
          <w:szCs w:val="22"/>
        </w:rPr>
        <w:t xml:space="preserve"> for IGOs</w:t>
      </w:r>
      <w:r w:rsidR="00A34EB3" w:rsidRPr="00A34EB3">
        <w:rPr>
          <w:rFonts w:asciiTheme="majorHAnsi" w:hAnsiTheme="majorHAnsi"/>
          <w:sz w:val="22"/>
          <w:szCs w:val="22"/>
        </w:rPr>
        <w:t xml:space="preserve">.  </w:t>
      </w:r>
      <w:r w:rsidR="00233787">
        <w:rPr>
          <w:rFonts w:asciiTheme="majorHAnsi" w:hAnsiTheme="majorHAnsi"/>
          <w:sz w:val="22"/>
          <w:szCs w:val="22"/>
        </w:rPr>
        <w:t>Our sense is that m</w:t>
      </w:r>
      <w:r w:rsidR="00A34EB3" w:rsidRPr="00A34EB3">
        <w:rPr>
          <w:rFonts w:asciiTheme="majorHAnsi" w:hAnsiTheme="majorHAnsi"/>
          <w:sz w:val="22"/>
          <w:szCs w:val="22"/>
        </w:rPr>
        <w:t xml:space="preserve">odern public international law has evolved such that the concept of “absolute” immunity has largely given way to the more nuanced idea of “restricted” (or qualified) immunity, where the distinction will generally be drawn between whether the act in question is a public (or official) act or one of a more private character, e.g. involving a commercial transaction. It would appear </w:t>
      </w:r>
      <w:r w:rsidR="00233787">
        <w:rPr>
          <w:rFonts w:asciiTheme="majorHAnsi" w:hAnsiTheme="majorHAnsi"/>
          <w:sz w:val="22"/>
          <w:szCs w:val="22"/>
        </w:rPr>
        <w:t xml:space="preserve">to us </w:t>
      </w:r>
      <w:r w:rsidR="00A34EB3" w:rsidRPr="00A34EB3">
        <w:rPr>
          <w:rFonts w:asciiTheme="majorHAnsi" w:hAnsiTheme="majorHAnsi"/>
          <w:sz w:val="22"/>
          <w:szCs w:val="22"/>
        </w:rPr>
        <w:t>that while States generally accept t</w:t>
      </w:r>
      <w:r w:rsidR="00233787">
        <w:rPr>
          <w:rFonts w:asciiTheme="majorHAnsi" w:hAnsiTheme="majorHAnsi"/>
          <w:sz w:val="22"/>
          <w:szCs w:val="22"/>
        </w:rPr>
        <w:t>he abstract concept of IGO</w:t>
      </w:r>
      <w:r w:rsidR="00A34EB3" w:rsidRPr="00A34EB3">
        <w:rPr>
          <w:rFonts w:asciiTheme="majorHAnsi" w:hAnsiTheme="majorHAnsi"/>
          <w:sz w:val="22"/>
          <w:szCs w:val="22"/>
        </w:rPr>
        <w:t xml:space="preserve"> immunity, they differ on the extent to which they will grant the immunity in particular cases</w:t>
      </w:r>
      <w:r w:rsidR="00DB752D">
        <w:rPr>
          <w:rStyle w:val="FootnoteReference"/>
          <w:rFonts w:asciiTheme="majorHAnsi" w:hAnsiTheme="majorHAnsi"/>
          <w:sz w:val="22"/>
          <w:szCs w:val="22"/>
        </w:rPr>
        <w:footnoteReference w:id="3"/>
      </w:r>
      <w:r w:rsidR="00A34EB3" w:rsidRPr="00A34EB3">
        <w:rPr>
          <w:rFonts w:asciiTheme="majorHAnsi" w:hAnsiTheme="majorHAnsi"/>
          <w:sz w:val="22"/>
          <w:szCs w:val="22"/>
        </w:rPr>
        <w:t xml:space="preserve">. </w:t>
      </w:r>
      <w:r w:rsidR="00233787">
        <w:rPr>
          <w:rFonts w:asciiTheme="majorHAnsi" w:hAnsiTheme="majorHAnsi"/>
          <w:sz w:val="22"/>
          <w:szCs w:val="22"/>
        </w:rPr>
        <w:t>Further</w:t>
      </w:r>
      <w:r w:rsidR="00A34EB3" w:rsidRPr="00A34EB3">
        <w:rPr>
          <w:rFonts w:asciiTheme="majorHAnsi" w:hAnsiTheme="majorHAnsi"/>
          <w:sz w:val="22"/>
          <w:szCs w:val="22"/>
        </w:rPr>
        <w:t>, an increasing number of countries now consider such immunity to be functional only, i.e. to the extent necessary for the I</w:t>
      </w:r>
      <w:r w:rsidR="00DB752D">
        <w:rPr>
          <w:rFonts w:asciiTheme="majorHAnsi" w:hAnsiTheme="majorHAnsi"/>
          <w:sz w:val="22"/>
          <w:szCs w:val="22"/>
        </w:rPr>
        <w:t>G</w:t>
      </w:r>
      <w:r w:rsidR="00A34EB3" w:rsidRPr="00A34EB3">
        <w:rPr>
          <w:rFonts w:asciiTheme="majorHAnsi" w:hAnsiTheme="majorHAnsi"/>
          <w:sz w:val="22"/>
          <w:szCs w:val="22"/>
        </w:rPr>
        <w:t>O to perform its functions and fulfill its objectives.</w:t>
      </w:r>
    </w:p>
    <w:p w14:paraId="53A87458" w14:textId="77777777" w:rsidR="00A34EB3" w:rsidRPr="00A34EB3" w:rsidRDefault="00A34EB3" w:rsidP="00A34EB3">
      <w:pPr>
        <w:ind w:firstLine="720"/>
        <w:rPr>
          <w:rFonts w:asciiTheme="majorHAnsi" w:hAnsiTheme="majorHAnsi"/>
          <w:sz w:val="22"/>
          <w:szCs w:val="22"/>
        </w:rPr>
      </w:pPr>
    </w:p>
    <w:p w14:paraId="1DF4935A" w14:textId="51943AB3" w:rsidR="0065613F" w:rsidRDefault="00233787" w:rsidP="00E77D18">
      <w:pPr>
        <w:spacing w:before="120" w:after="120" w:line="276" w:lineRule="auto"/>
        <w:ind w:firstLine="720"/>
        <w:contextualSpacing/>
        <w:rPr>
          <w:rFonts w:asciiTheme="majorHAnsi" w:hAnsiTheme="majorHAnsi"/>
          <w:sz w:val="22"/>
          <w:szCs w:val="22"/>
        </w:rPr>
      </w:pPr>
      <w:r>
        <w:rPr>
          <w:rFonts w:asciiTheme="majorHAnsi" w:hAnsiTheme="majorHAnsi"/>
          <w:sz w:val="22"/>
          <w:szCs w:val="22"/>
        </w:rPr>
        <w:lastRenderedPageBreak/>
        <w:t>The WG is</w:t>
      </w:r>
      <w:r w:rsidR="00DB752D">
        <w:rPr>
          <w:rFonts w:asciiTheme="majorHAnsi" w:hAnsiTheme="majorHAnsi"/>
          <w:sz w:val="22"/>
          <w:szCs w:val="22"/>
        </w:rPr>
        <w:t xml:space="preserve"> </w:t>
      </w:r>
      <w:r w:rsidR="00F73311" w:rsidRPr="000E1E88">
        <w:rPr>
          <w:rFonts w:asciiTheme="majorHAnsi" w:hAnsiTheme="majorHAnsi"/>
          <w:sz w:val="22"/>
          <w:szCs w:val="22"/>
        </w:rPr>
        <w:t xml:space="preserve">further </w:t>
      </w:r>
      <w:r>
        <w:rPr>
          <w:rFonts w:asciiTheme="majorHAnsi" w:hAnsiTheme="majorHAnsi"/>
          <w:sz w:val="22"/>
          <w:szCs w:val="22"/>
        </w:rPr>
        <w:t>aware also that</w:t>
      </w:r>
      <w:r w:rsidR="00A34EB3" w:rsidRPr="00A34EB3">
        <w:rPr>
          <w:rFonts w:asciiTheme="majorHAnsi" w:hAnsiTheme="majorHAnsi"/>
          <w:sz w:val="22"/>
          <w:szCs w:val="22"/>
        </w:rPr>
        <w:t xml:space="preserve"> a distinction may need to be drawn between a State (or government) and an I</w:t>
      </w:r>
      <w:r>
        <w:rPr>
          <w:rFonts w:asciiTheme="majorHAnsi" w:hAnsiTheme="majorHAnsi"/>
          <w:sz w:val="22"/>
          <w:szCs w:val="22"/>
        </w:rPr>
        <w:t>G</w:t>
      </w:r>
      <w:r w:rsidR="00A34EB3" w:rsidRPr="00A34EB3">
        <w:rPr>
          <w:rFonts w:asciiTheme="majorHAnsi" w:hAnsiTheme="majorHAnsi"/>
          <w:sz w:val="22"/>
          <w:szCs w:val="22"/>
        </w:rPr>
        <w:t>O, given their different natures and the diversity of types of I</w:t>
      </w:r>
      <w:r>
        <w:rPr>
          <w:rFonts w:asciiTheme="majorHAnsi" w:hAnsiTheme="majorHAnsi"/>
          <w:sz w:val="22"/>
          <w:szCs w:val="22"/>
        </w:rPr>
        <w:t>G</w:t>
      </w:r>
      <w:r w:rsidR="00A34EB3" w:rsidRPr="00A34EB3">
        <w:rPr>
          <w:rFonts w:asciiTheme="majorHAnsi" w:hAnsiTheme="majorHAnsi"/>
          <w:sz w:val="22"/>
          <w:szCs w:val="22"/>
        </w:rPr>
        <w:t xml:space="preserve">Os. </w:t>
      </w:r>
      <w:r>
        <w:rPr>
          <w:rFonts w:asciiTheme="majorHAnsi" w:hAnsiTheme="majorHAnsi"/>
          <w:sz w:val="22"/>
          <w:szCs w:val="22"/>
        </w:rPr>
        <w:t>We are informed that the distinction may matter on</w:t>
      </w:r>
      <w:r w:rsidR="00A34EB3" w:rsidRPr="00A34EB3">
        <w:rPr>
          <w:rFonts w:asciiTheme="majorHAnsi" w:hAnsiTheme="majorHAnsi"/>
          <w:sz w:val="22"/>
          <w:szCs w:val="22"/>
        </w:rPr>
        <w:t xml:space="preserve"> issues such as the source of jurisdictional immunity – such as whether this is derived from treaty or from customary international law</w:t>
      </w:r>
      <w:r w:rsidR="00A34EB3" w:rsidRPr="00A34EB3">
        <w:rPr>
          <w:rStyle w:val="FootnoteReference"/>
          <w:rFonts w:asciiTheme="majorHAnsi" w:hAnsiTheme="majorHAnsi"/>
          <w:sz w:val="22"/>
          <w:szCs w:val="22"/>
        </w:rPr>
        <w:footnoteReference w:id="4"/>
      </w:r>
      <w:r w:rsidR="00A34EB3" w:rsidRPr="00A34EB3">
        <w:rPr>
          <w:rFonts w:asciiTheme="majorHAnsi" w:hAnsiTheme="majorHAnsi"/>
          <w:sz w:val="22"/>
          <w:szCs w:val="22"/>
        </w:rPr>
        <w:t xml:space="preserve"> – and in relation to specific questions such as when a particular I</w:t>
      </w:r>
      <w:r>
        <w:rPr>
          <w:rFonts w:asciiTheme="majorHAnsi" w:hAnsiTheme="majorHAnsi"/>
          <w:sz w:val="22"/>
          <w:szCs w:val="22"/>
        </w:rPr>
        <w:t>G</w:t>
      </w:r>
      <w:r w:rsidR="00A34EB3" w:rsidRPr="00A34EB3">
        <w:rPr>
          <w:rFonts w:asciiTheme="majorHAnsi" w:hAnsiTheme="majorHAnsi"/>
          <w:sz w:val="22"/>
          <w:szCs w:val="22"/>
        </w:rPr>
        <w:t>O will be recognized as possessing legal personality within a particular country</w:t>
      </w:r>
      <w:r w:rsidR="00A34EB3" w:rsidRPr="0065613F">
        <w:rPr>
          <w:rFonts w:asciiTheme="majorHAnsi" w:hAnsiTheme="majorHAnsi"/>
          <w:sz w:val="22"/>
          <w:szCs w:val="22"/>
        </w:rPr>
        <w:t>.</w:t>
      </w:r>
      <w:r w:rsidR="00A34EB3" w:rsidRPr="00C86652">
        <w:rPr>
          <w:rFonts w:asciiTheme="majorHAnsi" w:hAnsiTheme="majorHAnsi"/>
          <w:sz w:val="22"/>
          <w:szCs w:val="22"/>
        </w:rPr>
        <w:t xml:space="preserve"> </w:t>
      </w:r>
    </w:p>
    <w:p w14:paraId="1B44EDA4" w14:textId="77777777" w:rsidR="0065613F" w:rsidRDefault="0065613F" w:rsidP="00E77D18">
      <w:pPr>
        <w:spacing w:before="120" w:after="120" w:line="276" w:lineRule="auto"/>
        <w:ind w:firstLine="720"/>
        <w:contextualSpacing/>
        <w:rPr>
          <w:rFonts w:asciiTheme="majorHAnsi" w:hAnsiTheme="majorHAnsi"/>
          <w:sz w:val="22"/>
          <w:szCs w:val="22"/>
        </w:rPr>
      </w:pPr>
    </w:p>
    <w:p w14:paraId="3250B9C4" w14:textId="77B8B315" w:rsidR="00E77D18" w:rsidRPr="0065613F" w:rsidRDefault="0065613F" w:rsidP="00E77D18">
      <w:pPr>
        <w:spacing w:before="120" w:after="120" w:line="276" w:lineRule="auto"/>
        <w:ind w:firstLine="720"/>
        <w:contextualSpacing/>
        <w:rPr>
          <w:rFonts w:asciiTheme="majorHAnsi" w:hAnsiTheme="majorHAnsi"/>
          <w:sz w:val="22"/>
          <w:szCs w:val="22"/>
        </w:rPr>
      </w:pPr>
      <w:r w:rsidRPr="00C86652">
        <w:rPr>
          <w:rFonts w:asciiTheme="majorHAnsi" w:hAnsiTheme="majorHAnsi"/>
          <w:sz w:val="22"/>
          <w:szCs w:val="22"/>
        </w:rPr>
        <w:t xml:space="preserve"> As a final background matter, our </w:t>
      </w:r>
      <w:r>
        <w:rPr>
          <w:rFonts w:asciiTheme="majorHAnsi" w:hAnsiTheme="majorHAnsi"/>
          <w:sz w:val="22"/>
          <w:szCs w:val="22"/>
        </w:rPr>
        <w:t xml:space="preserve">WG has reached a preliminary decision that </w:t>
      </w:r>
      <w:r w:rsidR="00C86652">
        <w:rPr>
          <w:rFonts w:asciiTheme="majorHAnsi" w:hAnsiTheme="majorHAnsi"/>
          <w:sz w:val="22"/>
          <w:szCs w:val="22"/>
        </w:rPr>
        <w:t>an IGO may have the</w:t>
      </w:r>
      <w:r>
        <w:rPr>
          <w:rFonts w:asciiTheme="majorHAnsi" w:hAnsiTheme="majorHAnsi"/>
          <w:sz w:val="22"/>
          <w:szCs w:val="22"/>
        </w:rPr>
        <w:t xml:space="preserve"> standing to file a UDRP or URS </w:t>
      </w:r>
      <w:r w:rsidR="00C86652">
        <w:rPr>
          <w:rFonts w:asciiTheme="majorHAnsi" w:hAnsiTheme="majorHAnsi"/>
          <w:sz w:val="22"/>
          <w:szCs w:val="22"/>
        </w:rPr>
        <w:t>if it</w:t>
      </w:r>
      <w:r>
        <w:rPr>
          <w:rFonts w:asciiTheme="majorHAnsi" w:hAnsiTheme="majorHAnsi"/>
          <w:sz w:val="22"/>
          <w:szCs w:val="22"/>
        </w:rPr>
        <w:t xml:space="preserve"> has opted </w:t>
      </w:r>
      <w:r w:rsidR="00C86652">
        <w:rPr>
          <w:rFonts w:asciiTheme="majorHAnsi" w:hAnsiTheme="majorHAnsi"/>
          <w:sz w:val="22"/>
          <w:szCs w:val="22"/>
        </w:rPr>
        <w:t>for the protections afforded by</w:t>
      </w:r>
      <w:r>
        <w:rPr>
          <w:rFonts w:asciiTheme="majorHAnsi" w:hAnsiTheme="majorHAnsi"/>
          <w:sz w:val="22"/>
          <w:szCs w:val="22"/>
        </w:rPr>
        <w:t xml:space="preserve"> Article 6ter of the Paris Convention</w:t>
      </w:r>
      <w:r w:rsidR="00C86652">
        <w:rPr>
          <w:rFonts w:asciiTheme="majorHAnsi" w:hAnsiTheme="majorHAnsi"/>
          <w:sz w:val="22"/>
          <w:szCs w:val="22"/>
        </w:rPr>
        <w:t>,</w:t>
      </w:r>
      <w:r>
        <w:rPr>
          <w:rFonts w:asciiTheme="majorHAnsi" w:hAnsiTheme="majorHAnsi"/>
          <w:sz w:val="22"/>
          <w:szCs w:val="22"/>
        </w:rPr>
        <w:t xml:space="preserve"> by filing a request with </w:t>
      </w:r>
      <w:r w:rsidR="00C86652">
        <w:rPr>
          <w:rFonts w:asciiTheme="majorHAnsi" w:hAnsiTheme="majorHAnsi"/>
          <w:sz w:val="22"/>
          <w:szCs w:val="22"/>
        </w:rPr>
        <w:t>the World Intellectual Property Organization (“</w:t>
      </w:r>
      <w:r>
        <w:rPr>
          <w:rFonts w:asciiTheme="majorHAnsi" w:hAnsiTheme="majorHAnsi"/>
          <w:sz w:val="22"/>
          <w:szCs w:val="22"/>
        </w:rPr>
        <w:t>WIPO</w:t>
      </w:r>
      <w:r w:rsidR="00C86652">
        <w:rPr>
          <w:rFonts w:asciiTheme="majorHAnsi" w:hAnsiTheme="majorHAnsi"/>
          <w:sz w:val="22"/>
          <w:szCs w:val="22"/>
        </w:rPr>
        <w:t>”).</w:t>
      </w:r>
      <w:r>
        <w:rPr>
          <w:rFonts w:asciiTheme="majorHAnsi" w:hAnsiTheme="majorHAnsi"/>
          <w:sz w:val="22"/>
          <w:szCs w:val="22"/>
        </w:rPr>
        <w:t xml:space="preserve"> WIPO then notifies all signatories to the Paris Convention and all members of the World Trade organization (</w:t>
      </w:r>
      <w:r w:rsidR="00C86652">
        <w:rPr>
          <w:rFonts w:asciiTheme="majorHAnsi" w:hAnsiTheme="majorHAnsi"/>
          <w:sz w:val="22"/>
          <w:szCs w:val="22"/>
        </w:rPr>
        <w:t>“</w:t>
      </w:r>
      <w:r>
        <w:rPr>
          <w:rFonts w:asciiTheme="majorHAnsi" w:hAnsiTheme="majorHAnsi"/>
          <w:sz w:val="22"/>
          <w:szCs w:val="22"/>
        </w:rPr>
        <w:t>WTO</w:t>
      </w:r>
      <w:r w:rsidR="00C86652">
        <w:rPr>
          <w:rFonts w:asciiTheme="majorHAnsi" w:hAnsiTheme="majorHAnsi"/>
          <w:sz w:val="22"/>
          <w:szCs w:val="22"/>
        </w:rPr>
        <w:t>”</w:t>
      </w:r>
      <w:r>
        <w:rPr>
          <w:rFonts w:asciiTheme="majorHAnsi" w:hAnsiTheme="majorHAnsi"/>
          <w:sz w:val="22"/>
          <w:szCs w:val="22"/>
        </w:rPr>
        <w:t xml:space="preserve">) of that election – however, under Article 6ter any nation is free to </w:t>
      </w:r>
      <w:r w:rsidR="00C86652">
        <w:rPr>
          <w:rFonts w:asciiTheme="majorHAnsi" w:hAnsiTheme="majorHAnsi"/>
          <w:sz w:val="22"/>
          <w:szCs w:val="22"/>
        </w:rPr>
        <w:t>object</w:t>
      </w:r>
      <w:r>
        <w:rPr>
          <w:rFonts w:asciiTheme="majorHAnsi" w:hAnsiTheme="majorHAnsi"/>
          <w:sz w:val="22"/>
          <w:szCs w:val="22"/>
        </w:rPr>
        <w:t xml:space="preserve"> and refuse to provide protection to an IGO under its national trademark system.</w:t>
      </w:r>
    </w:p>
    <w:p w14:paraId="7758CACD" w14:textId="77777777" w:rsidR="00233787" w:rsidRPr="008D5870" w:rsidRDefault="00233787" w:rsidP="00E77D18">
      <w:pPr>
        <w:spacing w:before="120" w:after="120" w:line="276" w:lineRule="auto"/>
        <w:ind w:firstLine="720"/>
        <w:contextualSpacing/>
        <w:rPr>
          <w:rFonts w:asciiTheme="majorHAnsi" w:hAnsiTheme="majorHAnsi"/>
          <w:sz w:val="22"/>
          <w:szCs w:val="22"/>
        </w:rPr>
      </w:pPr>
    </w:p>
    <w:p w14:paraId="139E33FE" w14:textId="1447693A" w:rsidR="00B43E95" w:rsidRPr="008D5870" w:rsidRDefault="00E42486" w:rsidP="00E77D18">
      <w:pPr>
        <w:spacing w:before="120" w:after="120" w:line="276" w:lineRule="auto"/>
        <w:ind w:firstLine="720"/>
        <w:contextualSpacing/>
        <w:rPr>
          <w:rFonts w:asciiTheme="majorHAnsi" w:hAnsiTheme="majorHAnsi"/>
          <w:sz w:val="22"/>
          <w:szCs w:val="22"/>
        </w:rPr>
      </w:pPr>
      <w:r>
        <w:rPr>
          <w:rFonts w:asciiTheme="majorHAnsi" w:hAnsiTheme="majorHAnsi"/>
          <w:sz w:val="22"/>
          <w:szCs w:val="22"/>
        </w:rPr>
        <w:t>T</w:t>
      </w:r>
      <w:r w:rsidR="002C74C3" w:rsidRPr="008D5870">
        <w:rPr>
          <w:rFonts w:asciiTheme="majorHAnsi" w:hAnsiTheme="majorHAnsi"/>
          <w:sz w:val="22"/>
          <w:szCs w:val="22"/>
        </w:rPr>
        <w:t xml:space="preserve">he WG believes that it will be a rare case where a </w:t>
      </w:r>
      <w:r w:rsidR="00233787">
        <w:rPr>
          <w:rFonts w:asciiTheme="majorHAnsi" w:hAnsiTheme="majorHAnsi"/>
          <w:sz w:val="22"/>
          <w:szCs w:val="22"/>
        </w:rPr>
        <w:t>registrant-r</w:t>
      </w:r>
      <w:r w:rsidR="002C74C3" w:rsidRPr="008D5870">
        <w:rPr>
          <w:rFonts w:asciiTheme="majorHAnsi" w:hAnsiTheme="majorHAnsi"/>
          <w:sz w:val="22"/>
          <w:szCs w:val="22"/>
        </w:rPr>
        <w:t>espondent who</w:t>
      </w:r>
      <w:r>
        <w:rPr>
          <w:rFonts w:asciiTheme="majorHAnsi" w:hAnsiTheme="majorHAnsi"/>
          <w:sz w:val="22"/>
          <w:szCs w:val="22"/>
        </w:rPr>
        <w:t xml:space="preserve"> registers a domain name</w:t>
      </w:r>
      <w:r w:rsidR="002C74C3" w:rsidRPr="008D5870">
        <w:rPr>
          <w:rFonts w:asciiTheme="majorHAnsi" w:hAnsiTheme="majorHAnsi"/>
          <w:sz w:val="22"/>
          <w:szCs w:val="22"/>
        </w:rPr>
        <w:t xml:space="preserve"> identical or confusingly similar to an IGO’s name or acronym an</w:t>
      </w:r>
      <w:r>
        <w:rPr>
          <w:rFonts w:asciiTheme="majorHAnsi" w:hAnsiTheme="majorHAnsi"/>
          <w:sz w:val="22"/>
          <w:szCs w:val="22"/>
        </w:rPr>
        <w:t>d</w:t>
      </w:r>
      <w:r w:rsidR="002C74C3" w:rsidRPr="008D5870">
        <w:rPr>
          <w:rFonts w:asciiTheme="majorHAnsi" w:hAnsiTheme="majorHAnsi"/>
          <w:sz w:val="22"/>
          <w:szCs w:val="22"/>
        </w:rPr>
        <w:t xml:space="preserve"> loses </w:t>
      </w:r>
      <w:r w:rsidR="00233787">
        <w:rPr>
          <w:rFonts w:asciiTheme="majorHAnsi" w:hAnsiTheme="majorHAnsi"/>
          <w:sz w:val="22"/>
          <w:szCs w:val="22"/>
        </w:rPr>
        <w:t>in the administrative proceeding will appeal a</w:t>
      </w:r>
      <w:r w:rsidR="002C74C3" w:rsidRPr="008D5870">
        <w:rPr>
          <w:rFonts w:asciiTheme="majorHAnsi" w:hAnsiTheme="majorHAnsi"/>
          <w:sz w:val="22"/>
          <w:szCs w:val="22"/>
        </w:rPr>
        <w:t xml:space="preserve"> decision</w:t>
      </w:r>
      <w:r w:rsidR="00233787">
        <w:rPr>
          <w:rFonts w:asciiTheme="majorHAnsi" w:hAnsiTheme="majorHAnsi"/>
          <w:sz w:val="22"/>
          <w:szCs w:val="22"/>
        </w:rPr>
        <w:t xml:space="preserve"> in which the domain is ordered transferred, canceled or suspended (as applicable)</w:t>
      </w:r>
      <w:r>
        <w:rPr>
          <w:rFonts w:asciiTheme="majorHAnsi" w:hAnsiTheme="majorHAnsi"/>
          <w:sz w:val="22"/>
          <w:szCs w:val="22"/>
        </w:rPr>
        <w:t xml:space="preserve">. Nevertheless, </w:t>
      </w:r>
      <w:r w:rsidR="00AF530D" w:rsidRPr="008D5870">
        <w:rPr>
          <w:rFonts w:asciiTheme="majorHAnsi" w:hAnsiTheme="majorHAnsi"/>
          <w:sz w:val="22"/>
          <w:szCs w:val="22"/>
        </w:rPr>
        <w:t xml:space="preserve">we </w:t>
      </w:r>
      <w:r w:rsidR="00233787">
        <w:rPr>
          <w:rFonts w:asciiTheme="majorHAnsi" w:hAnsiTheme="majorHAnsi"/>
          <w:sz w:val="22"/>
          <w:szCs w:val="22"/>
        </w:rPr>
        <w:t xml:space="preserve">remain concerned that </w:t>
      </w:r>
      <w:r>
        <w:rPr>
          <w:rFonts w:asciiTheme="majorHAnsi" w:hAnsiTheme="majorHAnsi"/>
          <w:sz w:val="22"/>
          <w:szCs w:val="22"/>
        </w:rPr>
        <w:t xml:space="preserve">a potential policy recommendation that ICANN </w:t>
      </w:r>
      <w:r w:rsidR="00233787">
        <w:rPr>
          <w:rFonts w:asciiTheme="majorHAnsi" w:hAnsiTheme="majorHAnsi"/>
          <w:sz w:val="22"/>
          <w:szCs w:val="22"/>
        </w:rPr>
        <w:t>remove</w:t>
      </w:r>
      <w:r w:rsidR="002B0276" w:rsidRPr="008D5870">
        <w:rPr>
          <w:rFonts w:asciiTheme="majorHAnsi" w:hAnsiTheme="majorHAnsi"/>
          <w:sz w:val="22"/>
          <w:szCs w:val="22"/>
        </w:rPr>
        <w:t xml:space="preserve"> </w:t>
      </w:r>
      <w:r w:rsidR="00233787">
        <w:rPr>
          <w:rFonts w:asciiTheme="majorHAnsi" w:hAnsiTheme="majorHAnsi"/>
          <w:sz w:val="22"/>
          <w:szCs w:val="22"/>
        </w:rPr>
        <w:t xml:space="preserve">the ability to appeal to a national court could </w:t>
      </w:r>
      <w:r w:rsidR="002B0276" w:rsidRPr="008D5870">
        <w:rPr>
          <w:rFonts w:asciiTheme="majorHAnsi" w:hAnsiTheme="majorHAnsi"/>
          <w:sz w:val="22"/>
          <w:szCs w:val="22"/>
        </w:rPr>
        <w:t xml:space="preserve">arguably preempt the right to judicial access of a losing respondent </w:t>
      </w:r>
      <w:r>
        <w:rPr>
          <w:rFonts w:asciiTheme="majorHAnsi" w:hAnsiTheme="majorHAnsi"/>
          <w:sz w:val="22"/>
          <w:szCs w:val="22"/>
        </w:rPr>
        <w:t>who wishes to seek court review and thus reduce the due process protections for domain name registrants.</w:t>
      </w:r>
      <w:r w:rsidR="00E4391A">
        <w:rPr>
          <w:rFonts w:asciiTheme="majorHAnsi" w:hAnsiTheme="majorHAnsi"/>
          <w:sz w:val="22"/>
          <w:szCs w:val="22"/>
        </w:rPr>
        <w:t xml:space="preserve"> </w:t>
      </w:r>
      <w:r w:rsidR="009A4811">
        <w:rPr>
          <w:rFonts w:asciiTheme="majorHAnsi" w:hAnsiTheme="majorHAnsi"/>
          <w:sz w:val="22"/>
          <w:szCs w:val="22"/>
        </w:rPr>
        <w:t xml:space="preserve">The UDRP and URS were created as alternatives to traditional litigation and, while ICANN endeavors to protect existing legal rights, it is not empowered to create or extinguish such rights.  </w:t>
      </w:r>
    </w:p>
    <w:p w14:paraId="445865B5" w14:textId="77777777" w:rsidR="00B43E95" w:rsidRPr="008D5870" w:rsidRDefault="00B43E95" w:rsidP="00E77D18">
      <w:pPr>
        <w:spacing w:before="120" w:after="120" w:line="276" w:lineRule="auto"/>
        <w:ind w:firstLine="720"/>
        <w:contextualSpacing/>
        <w:rPr>
          <w:rFonts w:asciiTheme="majorHAnsi" w:hAnsiTheme="majorHAnsi"/>
          <w:sz w:val="22"/>
          <w:szCs w:val="22"/>
        </w:rPr>
      </w:pPr>
    </w:p>
    <w:p w14:paraId="755233FD" w14:textId="7C8DC3D6" w:rsidR="0099601D" w:rsidRDefault="00B43E95" w:rsidP="00B43E95">
      <w:pPr>
        <w:spacing w:before="120" w:after="120" w:line="276" w:lineRule="auto"/>
        <w:ind w:firstLine="720"/>
        <w:contextualSpacing/>
        <w:rPr>
          <w:rFonts w:asciiTheme="majorHAnsi" w:hAnsiTheme="majorHAnsi"/>
          <w:sz w:val="22"/>
          <w:szCs w:val="22"/>
        </w:rPr>
      </w:pPr>
      <w:r w:rsidRPr="008D5870">
        <w:rPr>
          <w:rFonts w:asciiTheme="majorHAnsi" w:hAnsiTheme="majorHAnsi"/>
          <w:sz w:val="22"/>
          <w:szCs w:val="22"/>
        </w:rPr>
        <w:t xml:space="preserve">We </w:t>
      </w:r>
      <w:r w:rsidR="00233787">
        <w:rPr>
          <w:rFonts w:asciiTheme="majorHAnsi" w:hAnsiTheme="majorHAnsi"/>
          <w:sz w:val="22"/>
          <w:szCs w:val="22"/>
        </w:rPr>
        <w:t xml:space="preserve">would therefore greatly welcome your expertise and advice on this matter, which would assist us in </w:t>
      </w:r>
      <w:r w:rsidRPr="008D5870">
        <w:rPr>
          <w:rFonts w:asciiTheme="majorHAnsi" w:hAnsiTheme="majorHAnsi"/>
          <w:sz w:val="22"/>
          <w:szCs w:val="22"/>
        </w:rPr>
        <w:t>fully understand</w:t>
      </w:r>
      <w:r w:rsidR="00233787">
        <w:rPr>
          <w:rFonts w:asciiTheme="majorHAnsi" w:hAnsiTheme="majorHAnsi"/>
          <w:sz w:val="22"/>
          <w:szCs w:val="22"/>
        </w:rPr>
        <w:t>ing</w:t>
      </w:r>
      <w:r w:rsidRPr="008D5870">
        <w:rPr>
          <w:rFonts w:asciiTheme="majorHAnsi" w:hAnsiTheme="majorHAnsi"/>
          <w:sz w:val="22"/>
          <w:szCs w:val="22"/>
        </w:rPr>
        <w:t xml:space="preserve"> </w:t>
      </w:r>
      <w:r w:rsidR="00233787">
        <w:rPr>
          <w:rFonts w:asciiTheme="majorHAnsi" w:hAnsiTheme="majorHAnsi"/>
          <w:sz w:val="22"/>
          <w:szCs w:val="22"/>
        </w:rPr>
        <w:t>the state of public international law in regards to jurisdictional immunity for IGOs</w:t>
      </w:r>
      <w:r w:rsidRPr="008D5870">
        <w:rPr>
          <w:rFonts w:asciiTheme="majorHAnsi" w:hAnsiTheme="majorHAnsi"/>
          <w:sz w:val="22"/>
          <w:szCs w:val="22"/>
        </w:rPr>
        <w:t>.</w:t>
      </w:r>
    </w:p>
    <w:p w14:paraId="222FEFD6" w14:textId="77777777" w:rsidR="000E1E88" w:rsidRDefault="000E1E88" w:rsidP="00B43E95">
      <w:pPr>
        <w:spacing w:before="120" w:after="120" w:line="276" w:lineRule="auto"/>
        <w:ind w:firstLine="720"/>
        <w:contextualSpacing/>
        <w:rPr>
          <w:rFonts w:asciiTheme="majorHAnsi" w:hAnsiTheme="majorHAnsi"/>
          <w:sz w:val="22"/>
          <w:szCs w:val="22"/>
        </w:rPr>
      </w:pPr>
      <w:bookmarkStart w:id="0" w:name="_GoBack"/>
      <w:bookmarkEnd w:id="0"/>
    </w:p>
    <w:p w14:paraId="3FC35A74" w14:textId="2BE02BB0" w:rsidR="006B3F68" w:rsidRDefault="000E1E88" w:rsidP="000E1E88">
      <w:pPr>
        <w:spacing w:before="120" w:after="120" w:line="276" w:lineRule="auto"/>
        <w:ind w:firstLine="720"/>
        <w:contextualSpacing/>
        <w:jc w:val="center"/>
        <w:rPr>
          <w:rFonts w:asciiTheme="majorHAnsi" w:hAnsiTheme="majorHAnsi"/>
          <w:sz w:val="22"/>
          <w:szCs w:val="22"/>
        </w:rPr>
      </w:pPr>
      <w:r>
        <w:rPr>
          <w:rFonts w:asciiTheme="majorHAnsi" w:hAnsiTheme="majorHAnsi"/>
          <w:sz w:val="22"/>
          <w:szCs w:val="22"/>
        </w:rPr>
        <w:t>______________________________________</w:t>
      </w:r>
    </w:p>
    <w:p w14:paraId="24109992" w14:textId="77777777" w:rsidR="000E1E88" w:rsidRDefault="000E1E88" w:rsidP="00B43E95">
      <w:pPr>
        <w:spacing w:before="120" w:after="120" w:line="276" w:lineRule="auto"/>
        <w:ind w:firstLine="720"/>
        <w:contextualSpacing/>
        <w:rPr>
          <w:rFonts w:asciiTheme="majorHAnsi" w:hAnsiTheme="majorHAnsi"/>
          <w:sz w:val="22"/>
          <w:szCs w:val="22"/>
        </w:rPr>
      </w:pPr>
    </w:p>
    <w:p w14:paraId="4471F5B3" w14:textId="62EB9A88" w:rsidR="006B3F68" w:rsidRPr="006B3F68" w:rsidRDefault="006B3F68" w:rsidP="006B3F68">
      <w:pPr>
        <w:spacing w:before="120" w:after="120" w:line="276" w:lineRule="auto"/>
        <w:contextualSpacing/>
        <w:rPr>
          <w:rFonts w:asciiTheme="majorHAnsi" w:hAnsiTheme="majorHAnsi"/>
          <w:b/>
          <w:color w:val="1F497D" w:themeColor="text2"/>
          <w:sz w:val="22"/>
          <w:szCs w:val="22"/>
        </w:rPr>
      </w:pPr>
      <w:r w:rsidRPr="006B3F68">
        <w:rPr>
          <w:rFonts w:asciiTheme="majorHAnsi" w:hAnsiTheme="majorHAnsi"/>
          <w:b/>
          <w:color w:val="1F497D" w:themeColor="text2"/>
          <w:sz w:val="22"/>
          <w:szCs w:val="22"/>
        </w:rPr>
        <w:t>II. Questions</w:t>
      </w:r>
    </w:p>
    <w:p w14:paraId="5DF3716A" w14:textId="77777777" w:rsidR="00E77D18" w:rsidRPr="008D5870" w:rsidRDefault="00E77D18" w:rsidP="00E77D18">
      <w:pPr>
        <w:spacing w:before="120" w:after="120" w:line="276" w:lineRule="auto"/>
        <w:ind w:firstLine="720"/>
        <w:contextualSpacing/>
        <w:rPr>
          <w:rFonts w:asciiTheme="majorHAnsi" w:hAnsiTheme="majorHAnsi"/>
          <w:sz w:val="22"/>
          <w:szCs w:val="22"/>
        </w:rPr>
      </w:pPr>
    </w:p>
    <w:p w14:paraId="25879D9A" w14:textId="28D46EF7" w:rsidR="00AF530D" w:rsidRDefault="00DB752D" w:rsidP="008D5870">
      <w:pPr>
        <w:pStyle w:val="ListParagraph"/>
        <w:numPr>
          <w:ilvl w:val="0"/>
          <w:numId w:val="6"/>
        </w:numPr>
        <w:spacing w:before="120" w:after="120" w:line="276" w:lineRule="auto"/>
        <w:rPr>
          <w:rFonts w:asciiTheme="majorHAnsi" w:hAnsiTheme="majorHAnsi"/>
          <w:b/>
          <w:i/>
          <w:sz w:val="22"/>
          <w:szCs w:val="22"/>
        </w:rPr>
      </w:pPr>
      <w:r>
        <w:rPr>
          <w:rFonts w:asciiTheme="majorHAnsi" w:hAnsiTheme="majorHAnsi"/>
          <w:b/>
          <w:i/>
          <w:sz w:val="22"/>
          <w:szCs w:val="22"/>
        </w:rPr>
        <w:t>Is the W</w:t>
      </w:r>
      <w:r w:rsidR="00E42486">
        <w:rPr>
          <w:rFonts w:asciiTheme="majorHAnsi" w:hAnsiTheme="majorHAnsi"/>
          <w:b/>
          <w:i/>
          <w:sz w:val="22"/>
          <w:szCs w:val="22"/>
        </w:rPr>
        <w:t xml:space="preserve">orking </w:t>
      </w:r>
      <w:r>
        <w:rPr>
          <w:rFonts w:asciiTheme="majorHAnsi" w:hAnsiTheme="majorHAnsi"/>
          <w:b/>
          <w:i/>
          <w:sz w:val="22"/>
          <w:szCs w:val="22"/>
        </w:rPr>
        <w:t>G</w:t>
      </w:r>
      <w:r w:rsidR="00E42486">
        <w:rPr>
          <w:rFonts w:asciiTheme="majorHAnsi" w:hAnsiTheme="majorHAnsi"/>
          <w:b/>
          <w:i/>
          <w:sz w:val="22"/>
          <w:szCs w:val="22"/>
        </w:rPr>
        <w:t>roup</w:t>
      </w:r>
      <w:r>
        <w:rPr>
          <w:rFonts w:asciiTheme="majorHAnsi" w:hAnsiTheme="majorHAnsi"/>
          <w:b/>
          <w:i/>
          <w:sz w:val="22"/>
          <w:szCs w:val="22"/>
        </w:rPr>
        <w:t>’s understanding of the evolution and current status of IGO jurisdictional immunity (as summarized above) correct under public international law principles</w:t>
      </w:r>
      <w:r w:rsidR="00035653" w:rsidRPr="008D5870">
        <w:rPr>
          <w:rFonts w:asciiTheme="majorHAnsi" w:hAnsiTheme="majorHAnsi"/>
          <w:b/>
          <w:i/>
          <w:sz w:val="22"/>
          <w:szCs w:val="22"/>
        </w:rPr>
        <w:t>?</w:t>
      </w:r>
      <w:r>
        <w:rPr>
          <w:rFonts w:asciiTheme="majorHAnsi" w:hAnsiTheme="majorHAnsi"/>
          <w:b/>
          <w:i/>
          <w:sz w:val="22"/>
          <w:szCs w:val="22"/>
        </w:rPr>
        <w:t xml:space="preserve"> Are there additional principles, nuances or other relevant information that you think may be helpful for us to be aware of as we continue our work? </w:t>
      </w:r>
    </w:p>
    <w:p w14:paraId="0A7E6035" w14:textId="77777777" w:rsidR="008D5870" w:rsidRPr="008D5870" w:rsidRDefault="008D5870" w:rsidP="008D5870">
      <w:pPr>
        <w:spacing w:before="120" w:after="120" w:line="276" w:lineRule="auto"/>
        <w:ind w:left="360"/>
        <w:rPr>
          <w:rFonts w:asciiTheme="majorHAnsi" w:hAnsiTheme="majorHAnsi"/>
          <w:b/>
          <w:i/>
          <w:sz w:val="22"/>
          <w:szCs w:val="22"/>
        </w:rPr>
      </w:pPr>
    </w:p>
    <w:p w14:paraId="79671FC7" w14:textId="76B46789" w:rsidR="000B4768" w:rsidRPr="008D5870" w:rsidRDefault="00DB752D" w:rsidP="00B43E95">
      <w:pPr>
        <w:pStyle w:val="ListParagraph"/>
        <w:numPr>
          <w:ilvl w:val="0"/>
          <w:numId w:val="6"/>
        </w:numPr>
        <w:spacing w:before="120" w:after="120" w:line="276" w:lineRule="auto"/>
        <w:rPr>
          <w:rFonts w:asciiTheme="majorHAnsi" w:hAnsiTheme="majorHAnsi"/>
          <w:b/>
          <w:i/>
          <w:sz w:val="22"/>
          <w:szCs w:val="22"/>
        </w:rPr>
      </w:pPr>
      <w:r>
        <w:rPr>
          <w:rFonts w:asciiTheme="majorHAnsi" w:hAnsiTheme="majorHAnsi"/>
          <w:b/>
          <w:i/>
          <w:sz w:val="22"/>
          <w:szCs w:val="22"/>
        </w:rPr>
        <w:t>To the best of your knowledge, how do IGOs handle standard contractual clauses (e.g. in software or services agreements) concerning submission to a particular jurisdiction</w:t>
      </w:r>
      <w:r w:rsidR="000B4768" w:rsidRPr="008D5870">
        <w:rPr>
          <w:rFonts w:asciiTheme="majorHAnsi" w:hAnsiTheme="majorHAnsi"/>
          <w:b/>
          <w:i/>
          <w:sz w:val="22"/>
          <w:szCs w:val="22"/>
        </w:rPr>
        <w:t>?</w:t>
      </w:r>
      <w:r>
        <w:rPr>
          <w:rFonts w:asciiTheme="majorHAnsi" w:hAnsiTheme="majorHAnsi"/>
          <w:b/>
          <w:i/>
          <w:sz w:val="22"/>
          <w:szCs w:val="22"/>
        </w:rPr>
        <w:t xml:space="preserve"> Is it common practice, for example, for IGOs to insist on binding arbitration instead?</w:t>
      </w:r>
    </w:p>
    <w:p w14:paraId="454E96F5" w14:textId="77777777" w:rsidR="00EF49FB" w:rsidRPr="008D5870" w:rsidRDefault="00EF49FB" w:rsidP="008D5870">
      <w:pPr>
        <w:ind w:left="360"/>
        <w:rPr>
          <w:rFonts w:asciiTheme="majorHAnsi" w:hAnsiTheme="majorHAnsi"/>
          <w:b/>
          <w:i/>
          <w:sz w:val="22"/>
          <w:szCs w:val="22"/>
        </w:rPr>
      </w:pPr>
    </w:p>
    <w:p w14:paraId="733CF369" w14:textId="13D6F4D8" w:rsidR="00035653" w:rsidRPr="008D5870" w:rsidRDefault="00DB752D" w:rsidP="00035653">
      <w:pPr>
        <w:pStyle w:val="ListParagraph"/>
        <w:numPr>
          <w:ilvl w:val="0"/>
          <w:numId w:val="6"/>
        </w:numPr>
        <w:spacing w:before="120" w:after="120" w:line="276" w:lineRule="auto"/>
        <w:rPr>
          <w:rFonts w:asciiTheme="majorHAnsi" w:hAnsiTheme="majorHAnsi"/>
          <w:b/>
          <w:i/>
          <w:sz w:val="22"/>
          <w:szCs w:val="22"/>
        </w:rPr>
      </w:pPr>
      <w:r>
        <w:rPr>
          <w:rFonts w:asciiTheme="majorHAnsi" w:hAnsiTheme="majorHAnsi"/>
          <w:b/>
          <w:i/>
          <w:sz w:val="22"/>
          <w:szCs w:val="22"/>
        </w:rPr>
        <w:t>To the best of your knowledge</w:t>
      </w:r>
      <w:r w:rsidR="00B53F04" w:rsidRPr="008D5870">
        <w:rPr>
          <w:rFonts w:asciiTheme="majorHAnsi" w:hAnsiTheme="majorHAnsi"/>
          <w:b/>
          <w:i/>
          <w:sz w:val="22"/>
          <w:szCs w:val="22"/>
        </w:rPr>
        <w:t xml:space="preserve">, </w:t>
      </w:r>
      <w:r w:rsidR="00E42486">
        <w:rPr>
          <w:rFonts w:asciiTheme="majorHAnsi" w:hAnsiTheme="majorHAnsi"/>
          <w:b/>
          <w:i/>
          <w:sz w:val="22"/>
          <w:szCs w:val="22"/>
        </w:rPr>
        <w:t>would</w:t>
      </w:r>
      <w:r w:rsidR="003374A6" w:rsidRPr="008D5870">
        <w:rPr>
          <w:rFonts w:asciiTheme="majorHAnsi" w:hAnsiTheme="majorHAnsi"/>
          <w:b/>
          <w:i/>
          <w:sz w:val="22"/>
          <w:szCs w:val="22"/>
        </w:rPr>
        <w:t xml:space="preserve"> it </w:t>
      </w:r>
      <w:r w:rsidR="00E42486">
        <w:rPr>
          <w:rFonts w:asciiTheme="majorHAnsi" w:hAnsiTheme="majorHAnsi"/>
          <w:b/>
          <w:i/>
          <w:sz w:val="22"/>
          <w:szCs w:val="22"/>
        </w:rPr>
        <w:t xml:space="preserve">be </w:t>
      </w:r>
      <w:r w:rsidR="003374A6" w:rsidRPr="008D5870">
        <w:rPr>
          <w:rFonts w:asciiTheme="majorHAnsi" w:hAnsiTheme="majorHAnsi"/>
          <w:b/>
          <w:i/>
          <w:sz w:val="22"/>
          <w:szCs w:val="22"/>
        </w:rPr>
        <w:t>relevant</w:t>
      </w:r>
      <w:r w:rsidR="00A75F56" w:rsidRPr="008D5870">
        <w:rPr>
          <w:rFonts w:asciiTheme="majorHAnsi" w:hAnsiTheme="majorHAnsi"/>
          <w:b/>
          <w:i/>
          <w:sz w:val="22"/>
          <w:szCs w:val="22"/>
        </w:rPr>
        <w:t xml:space="preserve"> </w:t>
      </w:r>
      <w:r>
        <w:rPr>
          <w:rFonts w:asciiTheme="majorHAnsi" w:hAnsiTheme="majorHAnsi"/>
          <w:b/>
          <w:i/>
          <w:sz w:val="22"/>
          <w:szCs w:val="22"/>
        </w:rPr>
        <w:t>whether</w:t>
      </w:r>
      <w:r w:rsidR="00CA45F1">
        <w:rPr>
          <w:rFonts w:asciiTheme="majorHAnsi" w:hAnsiTheme="majorHAnsi"/>
          <w:b/>
          <w:i/>
          <w:sz w:val="22"/>
          <w:szCs w:val="22"/>
        </w:rPr>
        <w:t xml:space="preserve"> the jurisdiction specified</w:t>
      </w:r>
      <w:r w:rsidR="00A75F56" w:rsidRPr="008D5870">
        <w:rPr>
          <w:rFonts w:asciiTheme="majorHAnsi" w:hAnsiTheme="majorHAnsi"/>
          <w:b/>
          <w:i/>
          <w:sz w:val="22"/>
          <w:szCs w:val="22"/>
        </w:rPr>
        <w:t xml:space="preserve"> </w:t>
      </w:r>
      <w:r>
        <w:rPr>
          <w:rFonts w:asciiTheme="majorHAnsi" w:hAnsiTheme="majorHAnsi"/>
          <w:b/>
          <w:i/>
          <w:sz w:val="22"/>
          <w:szCs w:val="22"/>
        </w:rPr>
        <w:t xml:space="preserve">is the location </w:t>
      </w:r>
      <w:r w:rsidR="00A75F56" w:rsidRPr="008D5870">
        <w:rPr>
          <w:rFonts w:asciiTheme="majorHAnsi" w:hAnsiTheme="majorHAnsi"/>
          <w:b/>
          <w:i/>
          <w:sz w:val="22"/>
          <w:szCs w:val="22"/>
        </w:rPr>
        <w:t xml:space="preserve">of the </w:t>
      </w:r>
      <w:r>
        <w:rPr>
          <w:rFonts w:asciiTheme="majorHAnsi" w:hAnsiTheme="majorHAnsi"/>
          <w:b/>
          <w:i/>
          <w:sz w:val="22"/>
          <w:szCs w:val="22"/>
        </w:rPr>
        <w:t>othe</w:t>
      </w:r>
      <w:r w:rsidR="00CA45F1">
        <w:rPr>
          <w:rFonts w:asciiTheme="majorHAnsi" w:hAnsiTheme="majorHAnsi"/>
          <w:b/>
          <w:i/>
          <w:sz w:val="22"/>
          <w:szCs w:val="22"/>
        </w:rPr>
        <w:t>r</w:t>
      </w:r>
      <w:r>
        <w:rPr>
          <w:rFonts w:asciiTheme="majorHAnsi" w:hAnsiTheme="majorHAnsi"/>
          <w:b/>
          <w:i/>
          <w:sz w:val="22"/>
          <w:szCs w:val="22"/>
        </w:rPr>
        <w:t xml:space="preserve"> </w:t>
      </w:r>
      <w:r w:rsidR="00CA45F1">
        <w:rPr>
          <w:rFonts w:asciiTheme="majorHAnsi" w:hAnsiTheme="majorHAnsi"/>
          <w:b/>
          <w:i/>
          <w:sz w:val="22"/>
          <w:szCs w:val="22"/>
        </w:rPr>
        <w:t>(</w:t>
      </w:r>
      <w:r>
        <w:rPr>
          <w:rFonts w:asciiTheme="majorHAnsi" w:hAnsiTheme="majorHAnsi"/>
          <w:b/>
          <w:i/>
          <w:sz w:val="22"/>
          <w:szCs w:val="22"/>
        </w:rPr>
        <w:t>non-IGO</w:t>
      </w:r>
      <w:r w:rsidR="00CA45F1">
        <w:rPr>
          <w:rFonts w:asciiTheme="majorHAnsi" w:hAnsiTheme="majorHAnsi"/>
          <w:b/>
          <w:i/>
          <w:sz w:val="22"/>
          <w:szCs w:val="22"/>
        </w:rPr>
        <w:t>)</w:t>
      </w:r>
      <w:r>
        <w:rPr>
          <w:rFonts w:asciiTheme="majorHAnsi" w:hAnsiTheme="majorHAnsi"/>
          <w:b/>
          <w:i/>
          <w:sz w:val="22"/>
          <w:szCs w:val="22"/>
        </w:rPr>
        <w:t xml:space="preserve"> party (which in the present case would be either that of the domain name registrant or her registrar), one selected by the IGO or the location of one of the IGO’s constituent member states</w:t>
      </w:r>
      <w:r w:rsidR="00B53F04" w:rsidRPr="008D5870">
        <w:rPr>
          <w:rFonts w:asciiTheme="majorHAnsi" w:hAnsiTheme="majorHAnsi"/>
          <w:b/>
          <w:i/>
          <w:sz w:val="22"/>
          <w:szCs w:val="22"/>
        </w:rPr>
        <w:t>?</w:t>
      </w:r>
      <w:r w:rsidR="00E42486">
        <w:rPr>
          <w:rFonts w:asciiTheme="majorHAnsi" w:hAnsiTheme="majorHAnsi"/>
          <w:b/>
          <w:i/>
          <w:sz w:val="22"/>
          <w:szCs w:val="22"/>
        </w:rPr>
        <w:t xml:space="preserve"> </w:t>
      </w:r>
      <w:r w:rsidR="00E42486" w:rsidRPr="008D5870">
        <w:rPr>
          <w:rFonts w:asciiTheme="majorHAnsi" w:hAnsiTheme="majorHAnsi"/>
          <w:b/>
          <w:i/>
          <w:sz w:val="22"/>
          <w:szCs w:val="22"/>
        </w:rPr>
        <w:t xml:space="preserve">What if the Mutual Jurisdiction requirement specified that, to apply to IGOs, it has to be a jurisdiction of one of its member states? </w:t>
      </w:r>
      <w:r w:rsidR="00E42486">
        <w:rPr>
          <w:rFonts w:asciiTheme="majorHAnsi" w:hAnsiTheme="majorHAnsi"/>
          <w:b/>
          <w:i/>
          <w:sz w:val="22"/>
          <w:szCs w:val="22"/>
        </w:rPr>
        <w:t>Is it common to expressly limit</w:t>
      </w:r>
      <w:r w:rsidR="00E42486" w:rsidRPr="008D5870">
        <w:rPr>
          <w:rFonts w:asciiTheme="majorHAnsi" w:hAnsiTheme="majorHAnsi"/>
          <w:b/>
          <w:i/>
          <w:sz w:val="22"/>
          <w:szCs w:val="22"/>
        </w:rPr>
        <w:t xml:space="preserve"> </w:t>
      </w:r>
      <w:r w:rsidR="00E42486">
        <w:rPr>
          <w:rFonts w:asciiTheme="majorHAnsi" w:hAnsiTheme="majorHAnsi"/>
          <w:b/>
          <w:i/>
          <w:sz w:val="22"/>
          <w:szCs w:val="22"/>
        </w:rPr>
        <w:t xml:space="preserve">an IGO’s </w:t>
      </w:r>
      <w:r w:rsidR="00E42486" w:rsidRPr="008D5870">
        <w:rPr>
          <w:rFonts w:asciiTheme="majorHAnsi" w:hAnsiTheme="majorHAnsi"/>
          <w:b/>
          <w:i/>
          <w:sz w:val="22"/>
          <w:szCs w:val="22"/>
        </w:rPr>
        <w:t xml:space="preserve">submission to jurisdiction only to that specific dispute </w:t>
      </w:r>
      <w:r w:rsidR="00E42486">
        <w:rPr>
          <w:rFonts w:asciiTheme="majorHAnsi" w:hAnsiTheme="majorHAnsi"/>
          <w:b/>
          <w:i/>
          <w:sz w:val="22"/>
          <w:szCs w:val="22"/>
        </w:rPr>
        <w:t>(in this context for ICANN it would mean the dispute involving</w:t>
      </w:r>
      <w:r w:rsidR="00E42486" w:rsidRPr="008D5870">
        <w:rPr>
          <w:rFonts w:asciiTheme="majorHAnsi" w:hAnsiTheme="majorHAnsi"/>
          <w:b/>
          <w:i/>
          <w:sz w:val="22"/>
          <w:szCs w:val="22"/>
        </w:rPr>
        <w:t xml:space="preserve"> that specific domain name and registrant</w:t>
      </w:r>
      <w:r w:rsidR="00E42486">
        <w:rPr>
          <w:rFonts w:asciiTheme="majorHAnsi" w:hAnsiTheme="majorHAnsi"/>
          <w:b/>
          <w:i/>
          <w:sz w:val="22"/>
          <w:szCs w:val="22"/>
        </w:rPr>
        <w:t>)</w:t>
      </w:r>
      <w:r w:rsidR="00E42486" w:rsidRPr="008D5870">
        <w:rPr>
          <w:rFonts w:asciiTheme="majorHAnsi" w:hAnsiTheme="majorHAnsi"/>
          <w:b/>
          <w:i/>
          <w:sz w:val="22"/>
          <w:szCs w:val="22"/>
        </w:rPr>
        <w:t>?</w:t>
      </w:r>
      <w:r w:rsidR="00E42486" w:rsidRPr="008D5870">
        <w:rPr>
          <w:rStyle w:val="FootnoteReference"/>
          <w:rFonts w:asciiTheme="majorHAnsi" w:hAnsiTheme="majorHAnsi"/>
          <w:b/>
          <w:i/>
          <w:sz w:val="22"/>
          <w:szCs w:val="22"/>
        </w:rPr>
        <w:footnoteReference w:id="5"/>
      </w:r>
    </w:p>
    <w:p w14:paraId="7DA07713" w14:textId="77777777" w:rsidR="00035653" w:rsidRPr="008D5870" w:rsidRDefault="00035653" w:rsidP="00035653">
      <w:pPr>
        <w:spacing w:before="120" w:after="120" w:line="276" w:lineRule="auto"/>
        <w:ind w:left="360"/>
        <w:rPr>
          <w:rFonts w:asciiTheme="majorHAnsi" w:hAnsiTheme="majorHAnsi"/>
          <w:b/>
          <w:i/>
          <w:sz w:val="22"/>
          <w:szCs w:val="22"/>
        </w:rPr>
      </w:pPr>
    </w:p>
    <w:p w14:paraId="4A5A4AFB" w14:textId="4809DF92" w:rsidR="002C74C3" w:rsidRDefault="00DB22E8" w:rsidP="00EF49FB">
      <w:pPr>
        <w:pStyle w:val="ListParagraph"/>
        <w:numPr>
          <w:ilvl w:val="0"/>
          <w:numId w:val="6"/>
        </w:numPr>
        <w:spacing w:before="120" w:after="120" w:line="276" w:lineRule="auto"/>
        <w:rPr>
          <w:rFonts w:asciiTheme="majorHAnsi" w:hAnsiTheme="majorHAnsi"/>
          <w:b/>
          <w:i/>
          <w:sz w:val="22"/>
          <w:szCs w:val="22"/>
        </w:rPr>
      </w:pPr>
      <w:r>
        <w:rPr>
          <w:rFonts w:asciiTheme="majorHAnsi" w:hAnsiTheme="majorHAnsi"/>
          <w:b/>
          <w:i/>
          <w:sz w:val="22"/>
          <w:szCs w:val="22"/>
        </w:rPr>
        <w:t>A</w:t>
      </w:r>
      <w:r w:rsidR="00E77D18" w:rsidRPr="008D5870">
        <w:rPr>
          <w:rFonts w:asciiTheme="majorHAnsi" w:hAnsiTheme="majorHAnsi"/>
          <w:b/>
          <w:i/>
          <w:sz w:val="22"/>
          <w:szCs w:val="22"/>
        </w:rPr>
        <w:t>re the</w:t>
      </w:r>
      <w:r>
        <w:rPr>
          <w:rFonts w:asciiTheme="majorHAnsi" w:hAnsiTheme="majorHAnsi"/>
          <w:b/>
          <w:i/>
          <w:sz w:val="22"/>
          <w:szCs w:val="22"/>
        </w:rPr>
        <w:t>re other</w:t>
      </w:r>
      <w:r w:rsidR="00E77D18" w:rsidRPr="008D5870">
        <w:rPr>
          <w:rFonts w:asciiTheme="majorHAnsi" w:hAnsiTheme="majorHAnsi"/>
          <w:b/>
          <w:i/>
          <w:sz w:val="22"/>
          <w:szCs w:val="22"/>
        </w:rPr>
        <w:t xml:space="preserve"> forms of </w:t>
      </w:r>
      <w:r w:rsidR="00B43E95" w:rsidRPr="008D5870">
        <w:rPr>
          <w:rFonts w:asciiTheme="majorHAnsi" w:hAnsiTheme="majorHAnsi"/>
          <w:b/>
          <w:i/>
          <w:sz w:val="22"/>
          <w:szCs w:val="22"/>
        </w:rPr>
        <w:t xml:space="preserve">legal </w:t>
      </w:r>
      <w:r w:rsidR="00E77D18" w:rsidRPr="008D5870">
        <w:rPr>
          <w:rFonts w:asciiTheme="majorHAnsi" w:hAnsiTheme="majorHAnsi"/>
          <w:b/>
          <w:i/>
          <w:sz w:val="22"/>
          <w:szCs w:val="22"/>
        </w:rPr>
        <w:t xml:space="preserve">action that IGOs </w:t>
      </w:r>
      <w:r>
        <w:rPr>
          <w:rFonts w:asciiTheme="majorHAnsi" w:hAnsiTheme="majorHAnsi"/>
          <w:b/>
          <w:i/>
          <w:sz w:val="22"/>
          <w:szCs w:val="22"/>
        </w:rPr>
        <w:t>can</w:t>
      </w:r>
      <w:r w:rsidR="00E77D18" w:rsidRPr="008D5870">
        <w:rPr>
          <w:rFonts w:asciiTheme="majorHAnsi" w:hAnsiTheme="majorHAnsi"/>
          <w:b/>
          <w:i/>
          <w:sz w:val="22"/>
          <w:szCs w:val="22"/>
        </w:rPr>
        <w:t xml:space="preserve"> pursue when they believe their rights (including those </w:t>
      </w:r>
      <w:r w:rsidR="00E42486">
        <w:rPr>
          <w:rFonts w:asciiTheme="majorHAnsi" w:hAnsiTheme="majorHAnsi"/>
          <w:b/>
          <w:i/>
          <w:sz w:val="22"/>
          <w:szCs w:val="22"/>
        </w:rPr>
        <w:t xml:space="preserve">going </w:t>
      </w:r>
      <w:r w:rsidR="00E77D18" w:rsidRPr="008D5870">
        <w:rPr>
          <w:rFonts w:asciiTheme="majorHAnsi" w:hAnsiTheme="majorHAnsi"/>
          <w:b/>
          <w:i/>
          <w:sz w:val="22"/>
          <w:szCs w:val="22"/>
        </w:rPr>
        <w:t>beyond the domain name system or trademark law) are infringed</w:t>
      </w:r>
      <w:r w:rsidR="00E77D18" w:rsidRPr="008D5870">
        <w:rPr>
          <w:rStyle w:val="FootnoteReference"/>
          <w:rFonts w:asciiTheme="majorHAnsi" w:hAnsiTheme="majorHAnsi"/>
          <w:b/>
          <w:i/>
          <w:sz w:val="22"/>
          <w:szCs w:val="22"/>
        </w:rPr>
        <w:footnoteReference w:id="6"/>
      </w:r>
      <w:r w:rsidR="00E77D18" w:rsidRPr="008D5870">
        <w:rPr>
          <w:rFonts w:asciiTheme="majorHAnsi" w:hAnsiTheme="majorHAnsi"/>
          <w:b/>
          <w:i/>
          <w:sz w:val="22"/>
          <w:szCs w:val="22"/>
        </w:rPr>
        <w:t>? For example, are there inter-governmental, national or other legal or judicial mechanisms that IGOs can use that do not involve a waiver of immunity?</w:t>
      </w:r>
      <w:r w:rsidR="001527CD" w:rsidRPr="008D5870">
        <w:rPr>
          <w:rFonts w:asciiTheme="majorHAnsi" w:hAnsiTheme="majorHAnsi"/>
          <w:b/>
          <w:i/>
          <w:sz w:val="22"/>
          <w:szCs w:val="22"/>
        </w:rPr>
        <w:t xml:space="preserve"> </w:t>
      </w:r>
      <w:r w:rsidR="00550904">
        <w:rPr>
          <w:rFonts w:asciiTheme="majorHAnsi" w:hAnsiTheme="majorHAnsi"/>
          <w:b/>
          <w:i/>
          <w:sz w:val="22"/>
          <w:szCs w:val="22"/>
        </w:rPr>
        <w:t>What would be the</w:t>
      </w:r>
      <w:r w:rsidR="00035653" w:rsidRPr="008D5870">
        <w:rPr>
          <w:rFonts w:asciiTheme="majorHAnsi" w:hAnsiTheme="majorHAnsi"/>
          <w:b/>
          <w:i/>
          <w:sz w:val="22"/>
          <w:szCs w:val="22"/>
        </w:rPr>
        <w:t xml:space="preserve"> difficulties</w:t>
      </w:r>
      <w:r w:rsidR="00550904">
        <w:rPr>
          <w:rFonts w:asciiTheme="majorHAnsi" w:hAnsiTheme="majorHAnsi"/>
          <w:b/>
          <w:i/>
          <w:sz w:val="22"/>
          <w:szCs w:val="22"/>
        </w:rPr>
        <w:t>, if any,</w:t>
      </w:r>
      <w:r w:rsidR="00035653" w:rsidRPr="008D5870">
        <w:rPr>
          <w:rFonts w:asciiTheme="majorHAnsi" w:hAnsiTheme="majorHAnsi"/>
          <w:b/>
          <w:i/>
          <w:sz w:val="22"/>
          <w:szCs w:val="22"/>
        </w:rPr>
        <w:t xml:space="preserve"> with a mechanism by which</w:t>
      </w:r>
      <w:r w:rsidR="0074464F" w:rsidRPr="008D5870">
        <w:rPr>
          <w:rFonts w:asciiTheme="majorHAnsi" w:hAnsiTheme="majorHAnsi"/>
          <w:b/>
          <w:i/>
          <w:sz w:val="22"/>
          <w:szCs w:val="22"/>
        </w:rPr>
        <w:t xml:space="preserve"> an IGO member state acts on the IGO’s behalf</w:t>
      </w:r>
      <w:r w:rsidR="00035653" w:rsidRPr="008D5870">
        <w:rPr>
          <w:rFonts w:asciiTheme="majorHAnsi" w:hAnsiTheme="majorHAnsi"/>
          <w:b/>
          <w:i/>
          <w:sz w:val="22"/>
          <w:szCs w:val="22"/>
        </w:rPr>
        <w:t xml:space="preserve">? </w:t>
      </w:r>
    </w:p>
    <w:p w14:paraId="3B106307" w14:textId="77777777" w:rsidR="00C86652" w:rsidRPr="00C86652" w:rsidRDefault="00C86652" w:rsidP="00C86652">
      <w:pPr>
        <w:spacing w:before="120" w:after="120" w:line="276" w:lineRule="auto"/>
        <w:ind w:left="360"/>
        <w:rPr>
          <w:rFonts w:asciiTheme="majorHAnsi" w:hAnsiTheme="majorHAnsi"/>
          <w:b/>
          <w:i/>
          <w:sz w:val="22"/>
          <w:szCs w:val="22"/>
        </w:rPr>
      </w:pPr>
    </w:p>
    <w:p w14:paraId="6C39BB5E" w14:textId="77777777" w:rsidR="00E4391A" w:rsidRDefault="00E4391A" w:rsidP="00EF49FB">
      <w:pPr>
        <w:pStyle w:val="ListParagraph"/>
        <w:numPr>
          <w:ilvl w:val="0"/>
          <w:numId w:val="6"/>
        </w:numPr>
        <w:spacing w:before="120" w:after="120" w:line="276" w:lineRule="auto"/>
        <w:rPr>
          <w:rFonts w:asciiTheme="majorHAnsi" w:hAnsiTheme="majorHAnsi"/>
          <w:b/>
          <w:i/>
          <w:sz w:val="22"/>
          <w:szCs w:val="22"/>
        </w:rPr>
      </w:pPr>
      <w:r>
        <w:rPr>
          <w:rFonts w:asciiTheme="majorHAnsi" w:hAnsiTheme="majorHAnsi"/>
          <w:b/>
          <w:i/>
          <w:sz w:val="22"/>
          <w:szCs w:val="22"/>
        </w:rPr>
        <w:t>Given that many states require proof of ‘use in commerce’ in granting a trademark, and that trademark disputes are primarily commercial in nature (although there are consumer protection aspects), how would this affect your view of the appropriate breadth of immunity for IGOs involved in trademark disputes?</w:t>
      </w:r>
    </w:p>
    <w:p w14:paraId="712ACB26" w14:textId="77777777" w:rsidR="00C86652" w:rsidRPr="00C86652" w:rsidRDefault="00C86652" w:rsidP="00C86652">
      <w:pPr>
        <w:spacing w:before="120" w:after="120" w:line="276" w:lineRule="auto"/>
        <w:ind w:left="360"/>
        <w:rPr>
          <w:rFonts w:asciiTheme="majorHAnsi" w:hAnsiTheme="majorHAnsi"/>
          <w:b/>
          <w:i/>
          <w:sz w:val="22"/>
          <w:szCs w:val="22"/>
        </w:rPr>
      </w:pPr>
    </w:p>
    <w:p w14:paraId="78B576E5" w14:textId="65167EDD" w:rsidR="00E4391A" w:rsidRPr="008D5870" w:rsidRDefault="00E4391A" w:rsidP="00EF49FB">
      <w:pPr>
        <w:pStyle w:val="ListParagraph"/>
        <w:numPr>
          <w:ilvl w:val="0"/>
          <w:numId w:val="6"/>
        </w:numPr>
        <w:spacing w:before="120" w:after="120" w:line="276" w:lineRule="auto"/>
        <w:rPr>
          <w:rFonts w:asciiTheme="majorHAnsi" w:hAnsiTheme="majorHAnsi"/>
          <w:b/>
          <w:i/>
          <w:sz w:val="22"/>
          <w:szCs w:val="22"/>
        </w:rPr>
      </w:pPr>
      <w:r>
        <w:rPr>
          <w:rFonts w:asciiTheme="majorHAnsi" w:hAnsiTheme="majorHAnsi"/>
          <w:b/>
          <w:i/>
          <w:sz w:val="22"/>
          <w:szCs w:val="22"/>
        </w:rPr>
        <w:t>How does current International law and practice balance the immunity claims of IGOs against the legal rights of private parties, such as domain registrants</w:t>
      </w:r>
      <w:r w:rsidR="009A4811">
        <w:rPr>
          <w:rFonts w:asciiTheme="majorHAnsi" w:hAnsiTheme="majorHAnsi"/>
          <w:b/>
          <w:i/>
          <w:sz w:val="22"/>
          <w:szCs w:val="22"/>
        </w:rPr>
        <w:t>?</w:t>
      </w:r>
      <w:r>
        <w:rPr>
          <w:rFonts w:asciiTheme="majorHAnsi" w:hAnsiTheme="majorHAnsi"/>
          <w:b/>
          <w:i/>
          <w:sz w:val="22"/>
          <w:szCs w:val="22"/>
        </w:rPr>
        <w:t xml:space="preserve"> </w:t>
      </w:r>
    </w:p>
    <w:p w14:paraId="6FF242A6" w14:textId="77777777" w:rsidR="00EF49FB" w:rsidRPr="00891FAA" w:rsidRDefault="00EF49FB" w:rsidP="00EF49FB">
      <w:pPr>
        <w:pStyle w:val="ListParagraph"/>
        <w:rPr>
          <w:rFonts w:asciiTheme="majorHAnsi" w:hAnsiTheme="majorHAnsi"/>
          <w:b/>
          <w:i/>
          <w:sz w:val="22"/>
          <w:szCs w:val="22"/>
        </w:rPr>
      </w:pPr>
    </w:p>
    <w:p w14:paraId="2E49A1B6" w14:textId="79F9BCAC" w:rsidR="009C2980" w:rsidRDefault="00891FAA" w:rsidP="00891FAA">
      <w:pPr>
        <w:spacing w:before="120" w:after="120" w:line="276" w:lineRule="auto"/>
        <w:ind w:firstLine="720"/>
        <w:contextualSpacing/>
        <w:rPr>
          <w:rFonts w:ascii="Calibri" w:hAnsi="Calibri" w:cs="Calibri"/>
          <w:sz w:val="22"/>
          <w:szCs w:val="22"/>
        </w:rPr>
      </w:pPr>
      <w:r>
        <w:rPr>
          <w:rFonts w:ascii="Calibri" w:hAnsi="Calibri" w:cs="Calibri"/>
          <w:sz w:val="22"/>
          <w:szCs w:val="22"/>
        </w:rPr>
        <w:t>On behalf of our Working Group, we t</w:t>
      </w:r>
      <w:r w:rsidRPr="00891FAA">
        <w:rPr>
          <w:rFonts w:ascii="Calibri" w:hAnsi="Calibri" w:cs="Calibri"/>
          <w:sz w:val="22"/>
          <w:szCs w:val="22"/>
        </w:rPr>
        <w:t xml:space="preserve">hank you in advance for your consideration of these questions. Your reply, as well as any additional comments/information that you </w:t>
      </w:r>
      <w:r>
        <w:rPr>
          <w:rFonts w:ascii="Calibri" w:hAnsi="Calibri" w:cs="Calibri"/>
          <w:sz w:val="22"/>
          <w:szCs w:val="22"/>
        </w:rPr>
        <w:t xml:space="preserve">may </w:t>
      </w:r>
      <w:r w:rsidRPr="00891FAA">
        <w:rPr>
          <w:rFonts w:ascii="Calibri" w:hAnsi="Calibri" w:cs="Calibri"/>
          <w:sz w:val="22"/>
          <w:szCs w:val="22"/>
        </w:rPr>
        <w:t xml:space="preserve">wish </w:t>
      </w:r>
      <w:r w:rsidRPr="00891FAA">
        <w:rPr>
          <w:rFonts w:ascii="Calibri" w:hAnsi="Calibri" w:cs="Calibri"/>
          <w:sz w:val="22"/>
          <w:szCs w:val="22"/>
        </w:rPr>
        <w:lastRenderedPageBreak/>
        <w:t xml:space="preserve">to make, will be an important base for our </w:t>
      </w:r>
      <w:r>
        <w:rPr>
          <w:rFonts w:ascii="Calibri" w:hAnsi="Calibri" w:cs="Calibri"/>
          <w:sz w:val="22"/>
          <w:szCs w:val="22"/>
        </w:rPr>
        <w:t xml:space="preserve">better </w:t>
      </w:r>
      <w:r w:rsidRPr="00891FAA">
        <w:rPr>
          <w:rFonts w:ascii="Calibri" w:hAnsi="Calibri" w:cs="Calibri"/>
          <w:sz w:val="22"/>
          <w:szCs w:val="22"/>
        </w:rPr>
        <w:t>understanding of IGO</w:t>
      </w:r>
      <w:r>
        <w:rPr>
          <w:rFonts w:ascii="Calibri" w:hAnsi="Calibri" w:cs="Calibri"/>
          <w:sz w:val="22"/>
          <w:szCs w:val="22"/>
        </w:rPr>
        <w:t>s</w:t>
      </w:r>
      <w:r w:rsidR="00DB22E8">
        <w:rPr>
          <w:rFonts w:ascii="Calibri" w:hAnsi="Calibri" w:cs="Calibri"/>
          <w:sz w:val="22"/>
          <w:szCs w:val="22"/>
        </w:rPr>
        <w:t>’</w:t>
      </w:r>
      <w:r>
        <w:rPr>
          <w:rFonts w:ascii="Calibri" w:hAnsi="Calibri" w:cs="Calibri"/>
          <w:sz w:val="22"/>
          <w:szCs w:val="22"/>
        </w:rPr>
        <w:t xml:space="preserve"> needs and </w:t>
      </w:r>
      <w:r w:rsidRPr="00891FAA">
        <w:rPr>
          <w:rFonts w:ascii="Calibri" w:hAnsi="Calibri" w:cs="Calibri"/>
          <w:sz w:val="22"/>
          <w:szCs w:val="22"/>
        </w:rPr>
        <w:t xml:space="preserve">our </w:t>
      </w:r>
      <w:r>
        <w:rPr>
          <w:rFonts w:ascii="Calibri" w:hAnsi="Calibri" w:cs="Calibri"/>
          <w:sz w:val="22"/>
          <w:szCs w:val="22"/>
        </w:rPr>
        <w:t>eventual policy recommendations</w:t>
      </w:r>
      <w:r w:rsidRPr="00891FAA">
        <w:rPr>
          <w:rFonts w:ascii="Calibri" w:hAnsi="Calibri" w:cs="Calibri"/>
          <w:sz w:val="22"/>
          <w:szCs w:val="22"/>
        </w:rPr>
        <w:t xml:space="preserve"> on how to solve any problems and/or ambiguities.</w:t>
      </w:r>
    </w:p>
    <w:p w14:paraId="247EB600" w14:textId="77777777" w:rsidR="00891FAA" w:rsidRDefault="00891FAA" w:rsidP="00891FAA">
      <w:pPr>
        <w:spacing w:before="120" w:after="120" w:line="276" w:lineRule="auto"/>
        <w:ind w:firstLine="720"/>
        <w:contextualSpacing/>
        <w:rPr>
          <w:rFonts w:ascii="Calibri" w:hAnsi="Calibri" w:cs="Calibri"/>
          <w:sz w:val="22"/>
          <w:szCs w:val="22"/>
        </w:rPr>
      </w:pPr>
    </w:p>
    <w:p w14:paraId="73EDBFB1" w14:textId="77777777" w:rsidR="00891FAA" w:rsidRDefault="00891FAA" w:rsidP="00891FAA">
      <w:pPr>
        <w:spacing w:before="120" w:after="120" w:line="276" w:lineRule="auto"/>
        <w:contextualSpacing/>
        <w:rPr>
          <w:rFonts w:ascii="Calibri" w:hAnsi="Calibri" w:cs="Calibri"/>
          <w:sz w:val="22"/>
          <w:szCs w:val="22"/>
        </w:rPr>
      </w:pPr>
    </w:p>
    <w:p w14:paraId="2C18D2D3" w14:textId="34F189B2" w:rsidR="00891FAA" w:rsidRDefault="00891FAA" w:rsidP="00891FAA">
      <w:pPr>
        <w:spacing w:before="120" w:after="120" w:line="276" w:lineRule="auto"/>
        <w:contextualSpacing/>
        <w:rPr>
          <w:rFonts w:ascii="Calibri" w:hAnsi="Calibri" w:cs="Calibri"/>
          <w:sz w:val="22"/>
          <w:szCs w:val="22"/>
        </w:rPr>
      </w:pPr>
      <w:r>
        <w:rPr>
          <w:rFonts w:ascii="Calibri" w:hAnsi="Calibri" w:cs="Calibri"/>
          <w:sz w:val="22"/>
          <w:szCs w:val="22"/>
        </w:rPr>
        <w:t>Sincerely,</w:t>
      </w:r>
    </w:p>
    <w:p w14:paraId="4F5CC4AA" w14:textId="77777777" w:rsidR="00891FAA" w:rsidRDefault="00891FAA" w:rsidP="00891FAA">
      <w:pPr>
        <w:spacing w:before="120" w:after="120" w:line="276" w:lineRule="auto"/>
        <w:contextualSpacing/>
        <w:rPr>
          <w:rFonts w:ascii="Calibri" w:hAnsi="Calibri" w:cs="Calibri"/>
          <w:sz w:val="22"/>
          <w:szCs w:val="22"/>
        </w:rPr>
      </w:pPr>
    </w:p>
    <w:p w14:paraId="313C46A2" w14:textId="77777777" w:rsidR="00891FAA" w:rsidRDefault="00891FAA" w:rsidP="00891FAA">
      <w:pPr>
        <w:spacing w:before="120" w:after="120" w:line="276" w:lineRule="auto"/>
        <w:contextualSpacing/>
        <w:rPr>
          <w:rFonts w:ascii="Calibri" w:hAnsi="Calibri" w:cs="Calibri"/>
          <w:sz w:val="22"/>
          <w:szCs w:val="22"/>
        </w:rPr>
      </w:pPr>
    </w:p>
    <w:p w14:paraId="706E8DF0" w14:textId="77777777" w:rsidR="00891FAA" w:rsidRDefault="00891FAA" w:rsidP="00891FAA">
      <w:pPr>
        <w:spacing w:before="120" w:after="120" w:line="276" w:lineRule="auto"/>
        <w:contextualSpacing/>
        <w:rPr>
          <w:rFonts w:ascii="Calibri" w:hAnsi="Calibri" w:cs="Calibri"/>
          <w:sz w:val="22"/>
          <w:szCs w:val="22"/>
        </w:rPr>
      </w:pPr>
    </w:p>
    <w:p w14:paraId="5C482F44" w14:textId="584A1FF0" w:rsidR="00891FAA" w:rsidRDefault="00891FAA" w:rsidP="00891FAA">
      <w:pPr>
        <w:spacing w:before="120" w:after="120" w:line="276" w:lineRule="auto"/>
        <w:contextualSpacing/>
        <w:rPr>
          <w:rFonts w:ascii="Calibri" w:hAnsi="Calibri" w:cs="Calibri"/>
          <w:sz w:val="22"/>
          <w:szCs w:val="22"/>
        </w:rPr>
      </w:pPr>
      <w:r>
        <w:rPr>
          <w:rFonts w:ascii="Calibri" w:hAnsi="Calibri" w:cs="Calibri"/>
          <w:sz w:val="22"/>
          <w:szCs w:val="22"/>
        </w:rPr>
        <w:t>Philip Corwin &amp; Petter Rindforth (Working Group co-chairs)</w:t>
      </w:r>
    </w:p>
    <w:p w14:paraId="55AD20A3" w14:textId="77777777" w:rsidR="00E42486" w:rsidRDefault="00E42486" w:rsidP="00891FAA">
      <w:pPr>
        <w:spacing w:before="120" w:after="120" w:line="276" w:lineRule="auto"/>
        <w:contextualSpacing/>
        <w:rPr>
          <w:rFonts w:asciiTheme="majorHAnsi" w:hAnsiTheme="majorHAnsi" w:cs="Calibri"/>
          <w:b/>
          <w:color w:val="1F497D" w:themeColor="text2"/>
          <w:sz w:val="22"/>
          <w:szCs w:val="22"/>
        </w:rPr>
        <w:sectPr w:rsidR="00E42486" w:rsidSect="00C23AAA">
          <w:pgSz w:w="12240" w:h="15840"/>
          <w:pgMar w:top="1440" w:right="1800" w:bottom="1440" w:left="1800" w:header="720" w:footer="720" w:gutter="0"/>
          <w:cols w:space="720"/>
          <w:docGrid w:linePitch="360"/>
        </w:sectPr>
      </w:pPr>
    </w:p>
    <w:p w14:paraId="4818B24D" w14:textId="78B1BD03" w:rsidR="009D0EC8" w:rsidRPr="009D0EC8" w:rsidRDefault="009D0EC8" w:rsidP="00891FAA">
      <w:pPr>
        <w:spacing w:before="120" w:after="120" w:line="276" w:lineRule="auto"/>
        <w:contextualSpacing/>
        <w:rPr>
          <w:rFonts w:asciiTheme="majorHAnsi" w:hAnsiTheme="majorHAnsi" w:cs="Calibri"/>
          <w:b/>
          <w:color w:val="1F497D" w:themeColor="text2"/>
          <w:sz w:val="22"/>
          <w:szCs w:val="22"/>
        </w:rPr>
      </w:pPr>
      <w:r w:rsidRPr="009D0EC8">
        <w:rPr>
          <w:rFonts w:asciiTheme="majorHAnsi" w:hAnsiTheme="majorHAnsi" w:cs="Calibri"/>
          <w:b/>
          <w:color w:val="1F497D" w:themeColor="text2"/>
          <w:sz w:val="22"/>
          <w:szCs w:val="22"/>
        </w:rPr>
        <w:lastRenderedPageBreak/>
        <w:t>ANNEX A</w:t>
      </w:r>
      <w:r>
        <w:rPr>
          <w:rFonts w:asciiTheme="majorHAnsi" w:hAnsiTheme="majorHAnsi" w:cs="Calibri"/>
          <w:b/>
          <w:color w:val="1F497D" w:themeColor="text2"/>
          <w:sz w:val="22"/>
          <w:szCs w:val="22"/>
        </w:rPr>
        <w:t>: LIST OF SELECTED COUNTRIES WITH LEGISLATION CONCERNING IGO IMMUNITIES</w:t>
      </w:r>
    </w:p>
    <w:p w14:paraId="767D102B" w14:textId="77777777" w:rsidR="009D0EC8" w:rsidRPr="009D0EC8" w:rsidRDefault="009D0EC8" w:rsidP="00891FAA">
      <w:pPr>
        <w:spacing w:before="120" w:after="120" w:line="276" w:lineRule="auto"/>
        <w:contextualSpacing/>
        <w:rPr>
          <w:rFonts w:asciiTheme="majorHAnsi" w:hAnsiTheme="majorHAnsi" w:cs="Calibri"/>
          <w:sz w:val="22"/>
          <w:szCs w:val="22"/>
        </w:rPr>
      </w:pPr>
    </w:p>
    <w:p w14:paraId="5AE013FE" w14:textId="77777777" w:rsidR="009D0EC8" w:rsidRPr="009D0EC8" w:rsidRDefault="009D0EC8" w:rsidP="009D0EC8">
      <w:pPr>
        <w:ind w:firstLine="720"/>
        <w:rPr>
          <w:rFonts w:asciiTheme="majorHAnsi" w:hAnsiTheme="majorHAnsi"/>
          <w:sz w:val="22"/>
          <w:szCs w:val="22"/>
        </w:rPr>
      </w:pPr>
    </w:p>
    <w:p w14:paraId="616BEDBC" w14:textId="77777777" w:rsidR="009D0EC8" w:rsidRPr="009D0EC8" w:rsidRDefault="009D0EC8" w:rsidP="009D0EC8">
      <w:pPr>
        <w:ind w:firstLine="720"/>
        <w:rPr>
          <w:rFonts w:asciiTheme="majorHAnsi" w:hAnsiTheme="majorHAnsi"/>
          <w:sz w:val="22"/>
          <w:szCs w:val="22"/>
        </w:rPr>
      </w:pPr>
      <w:r w:rsidRPr="009D0EC8">
        <w:rPr>
          <w:rFonts w:asciiTheme="majorHAnsi" w:hAnsiTheme="majorHAnsi"/>
          <w:b/>
          <w:i/>
          <w:sz w:val="22"/>
          <w:szCs w:val="22"/>
        </w:rPr>
        <w:t>Australia</w:t>
      </w:r>
      <w:r w:rsidRPr="009D0EC8">
        <w:rPr>
          <w:rFonts w:asciiTheme="majorHAnsi" w:hAnsiTheme="majorHAnsi"/>
          <w:sz w:val="22"/>
          <w:szCs w:val="22"/>
        </w:rPr>
        <w:t xml:space="preserve"> – the </w:t>
      </w:r>
      <w:r w:rsidRPr="009D0EC8">
        <w:rPr>
          <w:rFonts w:asciiTheme="majorHAnsi" w:hAnsiTheme="majorHAnsi"/>
          <w:i/>
          <w:sz w:val="22"/>
          <w:szCs w:val="22"/>
        </w:rPr>
        <w:t>Foreign States Immunities Act</w:t>
      </w:r>
      <w:r w:rsidRPr="009D0EC8">
        <w:rPr>
          <w:rFonts w:asciiTheme="majorHAnsi" w:hAnsiTheme="majorHAnsi"/>
          <w:sz w:val="22"/>
          <w:szCs w:val="22"/>
        </w:rPr>
        <w:t xml:space="preserve"> (1985), granting immunity to foreign States as well as individuals or corporations that are their agencies and instrumentalities, subject to certain exceptions (including a “commercial transactions” exception)</w:t>
      </w:r>
    </w:p>
    <w:p w14:paraId="048C25CF" w14:textId="77777777" w:rsidR="009D0EC8" w:rsidRPr="009D0EC8" w:rsidRDefault="009D0EC8" w:rsidP="009D0EC8">
      <w:pPr>
        <w:ind w:firstLine="720"/>
        <w:rPr>
          <w:rFonts w:asciiTheme="majorHAnsi" w:hAnsiTheme="majorHAnsi"/>
          <w:sz w:val="22"/>
          <w:szCs w:val="22"/>
        </w:rPr>
      </w:pPr>
    </w:p>
    <w:p w14:paraId="0F9327E1" w14:textId="07866526" w:rsidR="009D0EC8" w:rsidRPr="009D0EC8" w:rsidRDefault="009D0EC8" w:rsidP="009D0EC8">
      <w:pPr>
        <w:ind w:firstLine="720"/>
        <w:rPr>
          <w:rFonts w:asciiTheme="majorHAnsi" w:hAnsiTheme="majorHAnsi"/>
          <w:sz w:val="22"/>
          <w:szCs w:val="22"/>
        </w:rPr>
      </w:pPr>
      <w:r w:rsidRPr="009D0EC8">
        <w:rPr>
          <w:rFonts w:asciiTheme="majorHAnsi" w:hAnsiTheme="majorHAnsi"/>
          <w:b/>
          <w:i/>
          <w:sz w:val="22"/>
          <w:szCs w:val="22"/>
        </w:rPr>
        <w:t>Canada</w:t>
      </w:r>
      <w:r w:rsidRPr="009D0EC8">
        <w:rPr>
          <w:rFonts w:asciiTheme="majorHAnsi" w:hAnsiTheme="majorHAnsi"/>
          <w:sz w:val="22"/>
          <w:szCs w:val="22"/>
        </w:rPr>
        <w:t xml:space="preserve"> – the </w:t>
      </w:r>
      <w:r w:rsidRPr="009D0EC8">
        <w:rPr>
          <w:rFonts w:asciiTheme="majorHAnsi" w:hAnsiTheme="majorHAnsi"/>
          <w:i/>
          <w:sz w:val="22"/>
          <w:szCs w:val="22"/>
        </w:rPr>
        <w:t>State Immunity Act</w:t>
      </w:r>
      <w:r w:rsidRPr="009D0EC8">
        <w:rPr>
          <w:rFonts w:asciiTheme="majorHAnsi" w:hAnsiTheme="majorHAnsi"/>
          <w:sz w:val="22"/>
          <w:szCs w:val="22"/>
        </w:rPr>
        <w:t xml:space="preserve"> (1985), granting immunity to foreign States, their political subdivisions and agencies, subject to certain exceptions (including a “commercial activity” exception); also the </w:t>
      </w:r>
      <w:r w:rsidRPr="009D0EC8">
        <w:rPr>
          <w:rFonts w:asciiTheme="majorHAnsi" w:hAnsiTheme="majorHAnsi"/>
          <w:i/>
          <w:sz w:val="22"/>
          <w:szCs w:val="22"/>
        </w:rPr>
        <w:t>Foreign Missions and International Organizations Act</w:t>
      </w:r>
      <w:r w:rsidRPr="009D0EC8">
        <w:rPr>
          <w:rStyle w:val="FootnoteReference"/>
          <w:rFonts w:asciiTheme="majorHAnsi" w:hAnsiTheme="majorHAnsi"/>
          <w:i/>
          <w:sz w:val="22"/>
          <w:szCs w:val="22"/>
        </w:rPr>
        <w:footnoteReference w:id="7"/>
      </w:r>
      <w:r w:rsidRPr="009D0EC8">
        <w:rPr>
          <w:rFonts w:asciiTheme="majorHAnsi" w:hAnsiTheme="majorHAnsi"/>
          <w:sz w:val="22"/>
          <w:szCs w:val="22"/>
        </w:rPr>
        <w:t xml:space="preserve"> (1991), granting immunity to I</w:t>
      </w:r>
      <w:r>
        <w:rPr>
          <w:rFonts w:asciiTheme="majorHAnsi" w:hAnsiTheme="majorHAnsi"/>
          <w:sz w:val="22"/>
          <w:szCs w:val="22"/>
        </w:rPr>
        <w:t>G</w:t>
      </w:r>
      <w:r w:rsidRPr="009D0EC8">
        <w:rPr>
          <w:rFonts w:asciiTheme="majorHAnsi" w:hAnsiTheme="majorHAnsi"/>
          <w:sz w:val="22"/>
          <w:szCs w:val="22"/>
        </w:rPr>
        <w:t>Os</w:t>
      </w:r>
      <w:r w:rsidRPr="009D0EC8">
        <w:rPr>
          <w:rStyle w:val="FootnoteReference"/>
          <w:rFonts w:asciiTheme="majorHAnsi" w:hAnsiTheme="majorHAnsi"/>
          <w:sz w:val="22"/>
          <w:szCs w:val="22"/>
        </w:rPr>
        <w:footnoteReference w:id="8"/>
      </w:r>
      <w:r w:rsidRPr="009D0EC8">
        <w:rPr>
          <w:rFonts w:asciiTheme="majorHAnsi" w:hAnsiTheme="majorHAnsi"/>
          <w:sz w:val="22"/>
          <w:szCs w:val="22"/>
        </w:rPr>
        <w:t xml:space="preserve"> similar to that enjoyed by the UN under the relevant UN Convention (see below)</w:t>
      </w:r>
    </w:p>
    <w:p w14:paraId="1B6DA6A0" w14:textId="77777777" w:rsidR="009D0EC8" w:rsidRPr="009D0EC8" w:rsidRDefault="009D0EC8" w:rsidP="009D0EC8">
      <w:pPr>
        <w:ind w:firstLine="720"/>
        <w:rPr>
          <w:rFonts w:asciiTheme="majorHAnsi" w:hAnsiTheme="majorHAnsi"/>
          <w:sz w:val="22"/>
          <w:szCs w:val="22"/>
        </w:rPr>
      </w:pPr>
    </w:p>
    <w:p w14:paraId="589E1154" w14:textId="77777777" w:rsidR="009D0EC8" w:rsidRPr="009D0EC8" w:rsidRDefault="009D0EC8" w:rsidP="009D0EC8">
      <w:pPr>
        <w:ind w:firstLine="720"/>
        <w:rPr>
          <w:rFonts w:asciiTheme="majorHAnsi" w:hAnsiTheme="majorHAnsi"/>
          <w:sz w:val="22"/>
          <w:szCs w:val="22"/>
        </w:rPr>
      </w:pPr>
      <w:r w:rsidRPr="009D0EC8">
        <w:rPr>
          <w:rFonts w:asciiTheme="majorHAnsi" w:hAnsiTheme="majorHAnsi"/>
          <w:b/>
          <w:i/>
          <w:sz w:val="22"/>
          <w:szCs w:val="22"/>
        </w:rPr>
        <w:t>Malaysia</w:t>
      </w:r>
      <w:r w:rsidRPr="009D0EC8">
        <w:rPr>
          <w:rFonts w:asciiTheme="majorHAnsi" w:hAnsiTheme="majorHAnsi"/>
          <w:sz w:val="22"/>
          <w:szCs w:val="22"/>
        </w:rPr>
        <w:t xml:space="preserve"> – the </w:t>
      </w:r>
      <w:r w:rsidRPr="009D0EC8">
        <w:rPr>
          <w:rFonts w:asciiTheme="majorHAnsi" w:hAnsiTheme="majorHAnsi"/>
          <w:i/>
          <w:sz w:val="22"/>
          <w:szCs w:val="22"/>
        </w:rPr>
        <w:t>International Organizations (Privileges and Immunities) Act</w:t>
      </w:r>
      <w:r w:rsidRPr="009D0EC8">
        <w:rPr>
          <w:rFonts w:asciiTheme="majorHAnsi" w:hAnsiTheme="majorHAnsi"/>
          <w:sz w:val="22"/>
          <w:szCs w:val="22"/>
        </w:rPr>
        <w:t xml:space="preserve"> (1992), applying the two Conventions protecting the UN and its specialized agencies (see below) as well as extending protection to other international organizations to be designated from time to time by the Minister for Foreign Affairs</w:t>
      </w:r>
    </w:p>
    <w:p w14:paraId="430BAF1D" w14:textId="77777777" w:rsidR="009D0EC8" w:rsidRPr="009D0EC8" w:rsidRDefault="009D0EC8" w:rsidP="009D0EC8">
      <w:pPr>
        <w:ind w:firstLine="720"/>
        <w:rPr>
          <w:rFonts w:asciiTheme="majorHAnsi" w:hAnsiTheme="majorHAnsi"/>
          <w:sz w:val="22"/>
          <w:szCs w:val="22"/>
        </w:rPr>
      </w:pPr>
    </w:p>
    <w:p w14:paraId="3249BF15" w14:textId="03E1C670" w:rsidR="009D0EC8" w:rsidRPr="009D0EC8" w:rsidRDefault="009D0EC8" w:rsidP="009D0EC8">
      <w:pPr>
        <w:ind w:firstLine="720"/>
        <w:rPr>
          <w:rFonts w:asciiTheme="majorHAnsi" w:hAnsiTheme="majorHAnsi"/>
          <w:sz w:val="22"/>
          <w:szCs w:val="22"/>
        </w:rPr>
      </w:pPr>
      <w:r w:rsidRPr="009D0EC8">
        <w:rPr>
          <w:rFonts w:asciiTheme="majorHAnsi" w:hAnsiTheme="majorHAnsi"/>
          <w:b/>
          <w:i/>
          <w:sz w:val="22"/>
          <w:szCs w:val="22"/>
        </w:rPr>
        <w:t>The United Kingdom</w:t>
      </w:r>
      <w:r w:rsidRPr="009D0EC8">
        <w:rPr>
          <w:rFonts w:asciiTheme="majorHAnsi" w:hAnsiTheme="majorHAnsi"/>
          <w:sz w:val="22"/>
          <w:szCs w:val="22"/>
        </w:rPr>
        <w:t xml:space="preserve"> – the </w:t>
      </w:r>
      <w:r w:rsidRPr="009D0EC8">
        <w:rPr>
          <w:rFonts w:asciiTheme="majorHAnsi" w:hAnsiTheme="majorHAnsi"/>
          <w:i/>
          <w:sz w:val="22"/>
          <w:szCs w:val="22"/>
        </w:rPr>
        <w:t>International Organisations Act (1968)</w:t>
      </w:r>
      <w:r w:rsidRPr="009D0EC8">
        <w:rPr>
          <w:rFonts w:asciiTheme="majorHAnsi" w:hAnsiTheme="majorHAnsi"/>
          <w:sz w:val="22"/>
          <w:szCs w:val="22"/>
        </w:rPr>
        <w:t>, granting immunity to those I</w:t>
      </w:r>
      <w:r>
        <w:rPr>
          <w:rFonts w:asciiTheme="majorHAnsi" w:hAnsiTheme="majorHAnsi"/>
          <w:sz w:val="22"/>
          <w:szCs w:val="22"/>
        </w:rPr>
        <w:t>G</w:t>
      </w:r>
      <w:r w:rsidRPr="009D0EC8">
        <w:rPr>
          <w:rFonts w:asciiTheme="majorHAnsi" w:hAnsiTheme="majorHAnsi"/>
          <w:sz w:val="22"/>
          <w:szCs w:val="22"/>
        </w:rPr>
        <w:t>Os that the UK is a member</w:t>
      </w:r>
      <w:r w:rsidRPr="009D0EC8">
        <w:rPr>
          <w:rStyle w:val="FootnoteReference"/>
          <w:rFonts w:asciiTheme="majorHAnsi" w:hAnsiTheme="majorHAnsi"/>
          <w:sz w:val="22"/>
          <w:szCs w:val="22"/>
        </w:rPr>
        <w:footnoteReference w:id="9"/>
      </w:r>
      <w:r w:rsidRPr="009D0EC8">
        <w:rPr>
          <w:rFonts w:asciiTheme="majorHAnsi" w:hAnsiTheme="majorHAnsi"/>
          <w:sz w:val="22"/>
          <w:szCs w:val="22"/>
        </w:rPr>
        <w:t xml:space="preserve"> of and that have been recognized to have legal personality by an Order in Council</w:t>
      </w:r>
    </w:p>
    <w:p w14:paraId="52345069" w14:textId="77777777" w:rsidR="009D0EC8" w:rsidRPr="009D0EC8" w:rsidRDefault="009D0EC8" w:rsidP="009D0EC8">
      <w:pPr>
        <w:ind w:firstLine="720"/>
        <w:rPr>
          <w:rFonts w:asciiTheme="majorHAnsi" w:hAnsiTheme="majorHAnsi"/>
          <w:sz w:val="22"/>
          <w:szCs w:val="22"/>
        </w:rPr>
      </w:pPr>
    </w:p>
    <w:p w14:paraId="3BFDA66F" w14:textId="227F2CAE" w:rsidR="009D0EC8" w:rsidRPr="009D0EC8" w:rsidRDefault="009D0EC8" w:rsidP="009D0EC8">
      <w:pPr>
        <w:ind w:firstLine="720"/>
        <w:rPr>
          <w:rFonts w:asciiTheme="majorHAnsi" w:eastAsia="Times New Roman" w:hAnsiTheme="majorHAnsi" w:cs="Times New Roman"/>
          <w:sz w:val="22"/>
          <w:szCs w:val="22"/>
        </w:rPr>
      </w:pPr>
      <w:r w:rsidRPr="009D0EC8">
        <w:rPr>
          <w:rFonts w:asciiTheme="majorHAnsi" w:hAnsiTheme="majorHAnsi"/>
          <w:b/>
          <w:i/>
          <w:sz w:val="22"/>
          <w:szCs w:val="22"/>
        </w:rPr>
        <w:t>The United States</w:t>
      </w:r>
      <w:r w:rsidRPr="009D0EC8">
        <w:rPr>
          <w:rFonts w:asciiTheme="majorHAnsi" w:hAnsiTheme="majorHAnsi"/>
          <w:sz w:val="22"/>
          <w:szCs w:val="22"/>
        </w:rPr>
        <w:t xml:space="preserve"> – the </w:t>
      </w:r>
      <w:r w:rsidRPr="009D0EC8">
        <w:rPr>
          <w:rFonts w:asciiTheme="majorHAnsi" w:hAnsiTheme="majorHAnsi"/>
          <w:i/>
          <w:sz w:val="22"/>
          <w:szCs w:val="22"/>
        </w:rPr>
        <w:t>Foreign Sovereign Immunities Act</w:t>
      </w:r>
      <w:r w:rsidRPr="009D0EC8">
        <w:rPr>
          <w:rFonts w:asciiTheme="majorHAnsi" w:hAnsiTheme="majorHAnsi"/>
          <w:sz w:val="22"/>
          <w:szCs w:val="22"/>
        </w:rPr>
        <w:t xml:space="preserve"> (1976), granting immunity to foreign States, their political subdivisions, agencies and instrumentalities, subject to certain exceptions (including a “commercial activity” exception); also, the </w:t>
      </w:r>
      <w:r w:rsidRPr="009D0EC8">
        <w:rPr>
          <w:rFonts w:asciiTheme="majorHAnsi" w:hAnsiTheme="majorHAnsi"/>
          <w:i/>
          <w:sz w:val="22"/>
          <w:szCs w:val="22"/>
        </w:rPr>
        <w:t>International Organizations Immunities Act</w:t>
      </w:r>
      <w:r w:rsidRPr="009D0EC8">
        <w:rPr>
          <w:rFonts w:asciiTheme="majorHAnsi" w:hAnsiTheme="majorHAnsi"/>
          <w:sz w:val="22"/>
          <w:szCs w:val="22"/>
        </w:rPr>
        <w:t xml:space="preserve"> (1945), granting I</w:t>
      </w:r>
      <w:r>
        <w:rPr>
          <w:rFonts w:asciiTheme="majorHAnsi" w:hAnsiTheme="majorHAnsi"/>
          <w:sz w:val="22"/>
          <w:szCs w:val="22"/>
        </w:rPr>
        <w:t>G</w:t>
      </w:r>
      <w:r w:rsidRPr="009D0EC8">
        <w:rPr>
          <w:rFonts w:asciiTheme="majorHAnsi" w:hAnsiTheme="majorHAnsi"/>
          <w:sz w:val="22"/>
          <w:szCs w:val="22"/>
        </w:rPr>
        <w:t xml:space="preserve">Os </w:t>
      </w:r>
      <w:r w:rsidRPr="009D0EC8">
        <w:rPr>
          <w:rFonts w:asciiTheme="majorHAnsi" w:eastAsia="Times New Roman" w:hAnsiTheme="majorHAnsi" w:cs="Times New Roman"/>
          <w:sz w:val="22"/>
          <w:szCs w:val="22"/>
        </w:rPr>
        <w:t xml:space="preserve">“the same immunity from suit and every form of judicial process as is enjoyed by foreign governments”. </w:t>
      </w:r>
    </w:p>
    <w:p w14:paraId="0CE6C572" w14:textId="77777777" w:rsidR="009D0EC8" w:rsidRPr="009D0EC8" w:rsidRDefault="009D0EC8" w:rsidP="009D0EC8">
      <w:pPr>
        <w:ind w:firstLine="720"/>
        <w:rPr>
          <w:rFonts w:asciiTheme="majorHAnsi" w:eastAsia="Times New Roman" w:hAnsiTheme="majorHAnsi" w:cs="Times New Roman"/>
          <w:sz w:val="22"/>
          <w:szCs w:val="22"/>
        </w:rPr>
      </w:pPr>
    </w:p>
    <w:p w14:paraId="0C316715" w14:textId="590EA93B" w:rsidR="009D0EC8" w:rsidRPr="009D0EC8" w:rsidRDefault="009D0EC8" w:rsidP="009D0EC8">
      <w:pPr>
        <w:ind w:left="720"/>
        <w:rPr>
          <w:rFonts w:asciiTheme="majorHAnsi" w:eastAsia="Times New Roman" w:hAnsiTheme="majorHAnsi" w:cs="Times New Roman"/>
          <w:sz w:val="22"/>
          <w:szCs w:val="22"/>
        </w:rPr>
      </w:pPr>
      <w:r w:rsidRPr="009D0EC8">
        <w:rPr>
          <w:rFonts w:asciiTheme="majorHAnsi" w:eastAsia="Times New Roman" w:hAnsiTheme="majorHAnsi" w:cs="Times New Roman"/>
          <w:sz w:val="22"/>
          <w:szCs w:val="22"/>
          <w:u w:val="single"/>
        </w:rPr>
        <w:t>Note</w:t>
      </w:r>
      <w:r w:rsidRPr="009D0EC8">
        <w:rPr>
          <w:rFonts w:asciiTheme="majorHAnsi" w:eastAsia="Times New Roman" w:hAnsiTheme="majorHAnsi" w:cs="Times New Roman"/>
          <w:sz w:val="22"/>
          <w:szCs w:val="22"/>
        </w:rPr>
        <w:t xml:space="preserve">: Because the IOIA predates the FSIA, </w:t>
      </w:r>
      <w:r>
        <w:rPr>
          <w:rFonts w:asciiTheme="majorHAnsi" w:eastAsia="Times New Roman" w:hAnsiTheme="majorHAnsi" w:cs="Times New Roman"/>
          <w:sz w:val="22"/>
          <w:szCs w:val="22"/>
        </w:rPr>
        <w:t xml:space="preserve">we understand that </w:t>
      </w:r>
      <w:r w:rsidRPr="009D0EC8">
        <w:rPr>
          <w:rFonts w:asciiTheme="majorHAnsi" w:eastAsia="Times New Roman" w:hAnsiTheme="majorHAnsi" w:cs="Times New Roman"/>
          <w:sz w:val="22"/>
          <w:szCs w:val="22"/>
        </w:rPr>
        <w:t>there is some disagreement amongst US courts and academics as to whether the more restrictive provisions of the FSIA now apply also to I</w:t>
      </w:r>
      <w:r>
        <w:rPr>
          <w:rFonts w:asciiTheme="majorHAnsi" w:eastAsia="Times New Roman" w:hAnsiTheme="majorHAnsi" w:cs="Times New Roman"/>
          <w:sz w:val="22"/>
          <w:szCs w:val="22"/>
        </w:rPr>
        <w:t>G</w:t>
      </w:r>
      <w:r w:rsidRPr="009D0EC8">
        <w:rPr>
          <w:rFonts w:asciiTheme="majorHAnsi" w:eastAsia="Times New Roman" w:hAnsiTheme="majorHAnsi" w:cs="Times New Roman"/>
          <w:sz w:val="22"/>
          <w:szCs w:val="22"/>
        </w:rPr>
        <w:t xml:space="preserve">Os – this arises because the IOIA was enacted when the prevailing theory of immunity was more of an absolute one. </w:t>
      </w:r>
    </w:p>
    <w:p w14:paraId="21126CAE" w14:textId="77777777" w:rsidR="009D0EC8" w:rsidRPr="00891FAA" w:rsidRDefault="009D0EC8" w:rsidP="00891FAA">
      <w:pPr>
        <w:spacing w:before="120" w:after="120" w:line="276" w:lineRule="auto"/>
        <w:contextualSpacing/>
        <w:rPr>
          <w:rFonts w:asciiTheme="majorHAnsi" w:hAnsiTheme="majorHAnsi"/>
          <w:sz w:val="22"/>
          <w:szCs w:val="22"/>
        </w:rPr>
      </w:pPr>
    </w:p>
    <w:sectPr w:rsidR="009D0EC8" w:rsidRPr="00891FAA" w:rsidSect="00C23A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37E56" w14:textId="77777777" w:rsidR="003846EC" w:rsidRDefault="003846EC" w:rsidP="009E38A3">
      <w:r>
        <w:separator/>
      </w:r>
    </w:p>
  </w:endnote>
  <w:endnote w:type="continuationSeparator" w:id="0">
    <w:p w14:paraId="4B4B98B4" w14:textId="77777777" w:rsidR="003846EC" w:rsidRDefault="003846EC" w:rsidP="009E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5F905" w14:textId="77777777" w:rsidR="003846EC" w:rsidRDefault="003846EC" w:rsidP="009E38A3">
      <w:r>
        <w:separator/>
      </w:r>
    </w:p>
  </w:footnote>
  <w:footnote w:type="continuationSeparator" w:id="0">
    <w:p w14:paraId="582CD77E" w14:textId="77777777" w:rsidR="003846EC" w:rsidRDefault="003846EC" w:rsidP="009E38A3">
      <w:r>
        <w:continuationSeparator/>
      </w:r>
    </w:p>
  </w:footnote>
  <w:footnote w:id="1">
    <w:p w14:paraId="41B8B87D" w14:textId="3E9CD8A4" w:rsidR="002817F9" w:rsidRPr="000E1E88" w:rsidRDefault="002817F9" w:rsidP="000E1E88">
      <w:pPr>
        <w:rPr>
          <w:rFonts w:asciiTheme="majorHAnsi" w:hAnsiTheme="majorHAnsi"/>
          <w:b/>
          <w:sz w:val="20"/>
          <w:szCs w:val="20"/>
        </w:rPr>
      </w:pPr>
      <w:r w:rsidRPr="000E1E88">
        <w:rPr>
          <w:rStyle w:val="FootnoteReference"/>
        </w:rPr>
        <w:footnoteRef/>
      </w:r>
      <w:r w:rsidRPr="000E1E88">
        <w:t xml:space="preserve"> </w:t>
      </w:r>
      <w:r w:rsidR="00F73311" w:rsidRPr="000E1E88">
        <w:rPr>
          <w:rFonts w:asciiTheme="majorHAnsi" w:hAnsiTheme="majorHAnsi"/>
          <w:sz w:val="20"/>
          <w:szCs w:val="20"/>
          <w:shd w:val="clear" w:color="auto" w:fill="FAFAFA"/>
        </w:rPr>
        <w:t>These panelists are selected from a</w:t>
      </w:r>
      <w:r w:rsidR="00F73311" w:rsidRPr="000E1E88">
        <w:rPr>
          <w:rStyle w:val="apple-converted-space"/>
          <w:rFonts w:asciiTheme="majorHAnsi" w:hAnsiTheme="majorHAnsi"/>
          <w:sz w:val="20"/>
          <w:szCs w:val="20"/>
          <w:shd w:val="clear" w:color="auto" w:fill="FAFAFA"/>
        </w:rPr>
        <w:t> </w:t>
      </w:r>
      <w:r w:rsidR="00F73311" w:rsidRPr="000E1E88">
        <w:rPr>
          <w:rFonts w:asciiTheme="majorHAnsi" w:hAnsiTheme="majorHAnsi"/>
          <w:sz w:val="20"/>
          <w:szCs w:val="20"/>
          <w:shd w:val="clear" w:color="auto" w:fill="FAFAFA"/>
        </w:rPr>
        <w:t>roster of independent individuals qualified</w:t>
      </w:r>
      <w:r w:rsidR="00F73311" w:rsidRPr="000E1E88">
        <w:rPr>
          <w:rStyle w:val="apple-converted-space"/>
          <w:rFonts w:asciiTheme="majorHAnsi" w:hAnsiTheme="majorHAnsi"/>
          <w:sz w:val="20"/>
          <w:szCs w:val="20"/>
          <w:shd w:val="clear" w:color="auto" w:fill="FAFAFA"/>
        </w:rPr>
        <w:t> </w:t>
      </w:r>
      <w:r w:rsidR="00F73311" w:rsidRPr="000E1E88">
        <w:rPr>
          <w:rFonts w:asciiTheme="majorHAnsi" w:hAnsiTheme="majorHAnsi"/>
          <w:sz w:val="20"/>
          <w:szCs w:val="20"/>
          <w:shd w:val="clear" w:color="auto" w:fill="FAFAFA"/>
        </w:rPr>
        <w:t xml:space="preserve">for deciding such cases, and must confirm the absence of any potential conflict of interest before taking a case. See </w:t>
      </w:r>
      <w:hyperlink r:id="rId1" w:anchor="9" w:history="1">
        <w:r w:rsidR="000D7E3E" w:rsidRPr="000E1E88">
          <w:rPr>
            <w:rStyle w:val="Hyperlink"/>
            <w:rFonts w:asciiTheme="majorHAnsi" w:hAnsiTheme="majorHAnsi"/>
            <w:color w:val="0000FF"/>
            <w:sz w:val="20"/>
            <w:szCs w:val="20"/>
          </w:rPr>
          <w:t>http://www.wipo.int/amc/en/center/faq/domains.html#9</w:t>
        </w:r>
      </w:hyperlink>
      <w:r w:rsidR="00C86652" w:rsidRPr="000E1E88">
        <w:rPr>
          <w:rFonts w:asciiTheme="majorHAnsi" w:hAnsiTheme="majorHAnsi"/>
          <w:sz w:val="20"/>
          <w:szCs w:val="20"/>
        </w:rPr>
        <w:t>.</w:t>
      </w:r>
      <w:r w:rsidR="00FD57EB" w:rsidRPr="000E1E88">
        <w:rPr>
          <w:rFonts w:asciiTheme="majorHAnsi" w:hAnsiTheme="majorHAnsi"/>
          <w:sz w:val="20"/>
          <w:szCs w:val="20"/>
        </w:rPr>
        <w:t xml:space="preserve"> Other ICANN-accredited arbitration providers have similar standards in place. </w:t>
      </w:r>
    </w:p>
  </w:footnote>
  <w:footnote w:id="2">
    <w:p w14:paraId="6960DC12" w14:textId="239DB10D" w:rsidR="00CC395B" w:rsidRDefault="00CC395B">
      <w:pPr>
        <w:pStyle w:val="FootnoteText"/>
      </w:pPr>
      <w:r>
        <w:rPr>
          <w:rStyle w:val="FootnoteReference"/>
        </w:rPr>
        <w:footnoteRef/>
      </w:r>
      <w:r>
        <w:t xml:space="preserve"> </w:t>
      </w:r>
      <w:proofErr w:type="gramStart"/>
      <w:r w:rsidRPr="008D5870">
        <w:rPr>
          <w:rFonts w:asciiTheme="majorHAnsi" w:eastAsia="TimesNewRomanPSMT" w:hAnsiTheme="majorHAnsi" w:cs="Arial"/>
          <w:sz w:val="20"/>
          <w:szCs w:val="20"/>
        </w:rPr>
        <w:t>In accordance with Paragraph 3(b)(xiii) of the Rules applicable to the UDRP</w:t>
      </w:r>
      <w:r w:rsidRPr="008D5870">
        <w:rPr>
          <w:rFonts w:asciiTheme="majorHAnsi" w:hAnsiTheme="majorHAnsi"/>
          <w:sz w:val="20"/>
          <w:szCs w:val="20"/>
          <w:shd w:val="clear" w:color="auto" w:fill="FFFFFF"/>
        </w:rPr>
        <w:t>.</w:t>
      </w:r>
      <w:proofErr w:type="gramEnd"/>
      <w:r w:rsidRPr="008D5870">
        <w:rPr>
          <w:rFonts w:asciiTheme="majorHAnsi" w:hAnsiTheme="majorHAnsi"/>
          <w:sz w:val="20"/>
          <w:szCs w:val="20"/>
          <w:shd w:val="clear" w:color="auto" w:fill="FFFFFF"/>
        </w:rPr>
        <w:t xml:space="preserve">  </w:t>
      </w:r>
      <w:r w:rsidRPr="008D5870">
        <w:rPr>
          <w:rFonts w:asciiTheme="majorHAnsi" w:hAnsiTheme="majorHAnsi"/>
          <w:sz w:val="20"/>
          <w:szCs w:val="20"/>
        </w:rPr>
        <w:t xml:space="preserve">The WG notes that the UDRP is a mandatory administrative proceeding designed to be faster and cheaper than most court proceedings; it is an optional addition to and not a preemptive substitute for a Complainant or Respondent’s rights and remedies under applicable law, including access to the judicial system. As an ICANN Consensus Policy, it is binding on all ICANN registries and registrars (who are contractually bound to ICANN) and thus applies to all registrants of domain names in the gTLD space. The Policy can be viewed in its entirety at </w:t>
      </w:r>
      <w:hyperlink r:id="rId2" w:history="1">
        <w:r w:rsidRPr="008D5870">
          <w:rPr>
            <w:rStyle w:val="Hyperlink"/>
            <w:rFonts w:asciiTheme="majorHAnsi" w:hAnsiTheme="majorHAnsi"/>
            <w:sz w:val="20"/>
            <w:szCs w:val="20"/>
          </w:rPr>
          <w:t>https://www.icann.org/resources/pages/policy-2012-02-25-en</w:t>
        </w:r>
      </w:hyperlink>
      <w:r w:rsidRPr="008D5870">
        <w:rPr>
          <w:rFonts w:asciiTheme="majorHAnsi" w:hAnsiTheme="majorHAnsi"/>
          <w:sz w:val="20"/>
          <w:szCs w:val="20"/>
        </w:rPr>
        <w:t>.</w:t>
      </w:r>
      <w:r w:rsidR="00E61E77">
        <w:rPr>
          <w:rFonts w:asciiTheme="majorHAnsi" w:hAnsiTheme="majorHAnsi"/>
          <w:sz w:val="20"/>
          <w:szCs w:val="20"/>
        </w:rPr>
        <w:t xml:space="preserve"> The equivalent provision in the Uniform Rapid Suspension procedure is Paragraph 3(b)(ix) of the Rules applicable to the URS; the procedure in its entirety can be viewed here: </w:t>
      </w:r>
      <w:hyperlink r:id="rId3" w:history="1">
        <w:r w:rsidR="00E61E77" w:rsidRPr="008A293B">
          <w:rPr>
            <w:rStyle w:val="Hyperlink"/>
            <w:rFonts w:asciiTheme="majorHAnsi" w:hAnsiTheme="majorHAnsi"/>
            <w:sz w:val="20"/>
            <w:szCs w:val="20"/>
          </w:rPr>
          <w:t>http://newgtlds.icann.org/en/applicants/urs</w:t>
        </w:r>
      </w:hyperlink>
      <w:r w:rsidR="00E61E77">
        <w:rPr>
          <w:rFonts w:asciiTheme="majorHAnsi" w:hAnsiTheme="majorHAnsi"/>
          <w:sz w:val="20"/>
          <w:szCs w:val="20"/>
        </w:rPr>
        <w:t>.</w:t>
      </w:r>
      <w:r w:rsidR="0065613F">
        <w:rPr>
          <w:rFonts w:asciiTheme="majorHAnsi" w:hAnsiTheme="majorHAnsi"/>
          <w:sz w:val="20"/>
          <w:szCs w:val="20"/>
        </w:rPr>
        <w:t xml:space="preserve"> The URS is not yet an ICANN Consensus Policy and was created as an additional protection for the new gTLD program.</w:t>
      </w:r>
      <w:r w:rsidR="00E61E77">
        <w:rPr>
          <w:rFonts w:asciiTheme="majorHAnsi" w:hAnsiTheme="majorHAnsi"/>
          <w:sz w:val="20"/>
          <w:szCs w:val="20"/>
        </w:rPr>
        <w:t xml:space="preserve"> </w:t>
      </w:r>
    </w:p>
  </w:footnote>
  <w:footnote w:id="3">
    <w:p w14:paraId="3D267A71" w14:textId="785D34A4" w:rsidR="00CC395B" w:rsidRPr="00DB752D" w:rsidRDefault="00CC395B">
      <w:pPr>
        <w:pStyle w:val="FootnoteText"/>
        <w:rPr>
          <w:rFonts w:asciiTheme="majorHAnsi" w:hAnsiTheme="majorHAnsi"/>
          <w:sz w:val="20"/>
          <w:szCs w:val="20"/>
        </w:rPr>
      </w:pPr>
      <w:r w:rsidRPr="00DB752D">
        <w:rPr>
          <w:rStyle w:val="FootnoteReference"/>
          <w:rFonts w:asciiTheme="majorHAnsi" w:hAnsiTheme="majorHAnsi"/>
          <w:sz w:val="20"/>
          <w:szCs w:val="20"/>
        </w:rPr>
        <w:footnoteRef/>
      </w:r>
      <w:r w:rsidRPr="00DB752D">
        <w:rPr>
          <w:rFonts w:asciiTheme="majorHAnsi" w:hAnsiTheme="majorHAnsi"/>
          <w:sz w:val="20"/>
          <w:szCs w:val="20"/>
        </w:rPr>
        <w:t xml:space="preserve"> See </w:t>
      </w:r>
      <w:r w:rsidRPr="00DB752D">
        <w:rPr>
          <w:rFonts w:asciiTheme="majorHAnsi" w:hAnsiTheme="majorHAnsi"/>
          <w:sz w:val="20"/>
          <w:szCs w:val="20"/>
          <w:u w:val="single"/>
        </w:rPr>
        <w:t>Appendix A</w:t>
      </w:r>
      <w:r w:rsidRPr="00DB752D">
        <w:rPr>
          <w:rFonts w:asciiTheme="majorHAnsi" w:hAnsiTheme="majorHAnsi"/>
          <w:sz w:val="20"/>
          <w:szCs w:val="20"/>
        </w:rPr>
        <w:t xml:space="preserve"> for a list of illustrative laws in select countries that the WG came across as part of our research.</w:t>
      </w:r>
    </w:p>
  </w:footnote>
  <w:footnote w:id="4">
    <w:p w14:paraId="6D2B49D9" w14:textId="3D90D7D9" w:rsidR="00CC395B" w:rsidRPr="00DB752D" w:rsidRDefault="00CC395B" w:rsidP="00A34EB3">
      <w:pPr>
        <w:pStyle w:val="FootnoteText"/>
        <w:rPr>
          <w:rFonts w:asciiTheme="majorHAnsi" w:hAnsiTheme="majorHAnsi"/>
          <w:sz w:val="20"/>
          <w:szCs w:val="20"/>
        </w:rPr>
      </w:pPr>
      <w:r w:rsidRPr="00DB752D">
        <w:rPr>
          <w:rStyle w:val="FootnoteReference"/>
          <w:rFonts w:asciiTheme="majorHAnsi" w:hAnsiTheme="majorHAnsi"/>
        </w:rPr>
        <w:footnoteRef/>
      </w:r>
      <w:r w:rsidRPr="00DB752D">
        <w:rPr>
          <w:rFonts w:asciiTheme="majorHAnsi" w:hAnsiTheme="majorHAnsi"/>
        </w:rPr>
        <w:t xml:space="preserve"> </w:t>
      </w:r>
      <w:r w:rsidRPr="00DB752D">
        <w:rPr>
          <w:rFonts w:asciiTheme="majorHAnsi" w:hAnsiTheme="majorHAnsi"/>
          <w:sz w:val="20"/>
          <w:szCs w:val="20"/>
        </w:rPr>
        <w:t>Our limited research on the case law on this seems to show the position to be rather fragmented, with conflicting decisions in some countries (e.g. Belgium, France, Germany, Italy) and a more prevalent view in others (e.g. the Netherlands courts have tended to recognize I</w:t>
      </w:r>
      <w:r w:rsidR="00E4391A">
        <w:rPr>
          <w:rFonts w:asciiTheme="majorHAnsi" w:hAnsiTheme="majorHAnsi"/>
          <w:sz w:val="20"/>
          <w:szCs w:val="20"/>
        </w:rPr>
        <w:t>G</w:t>
      </w:r>
      <w:r w:rsidRPr="00DB752D">
        <w:rPr>
          <w:rFonts w:asciiTheme="majorHAnsi" w:hAnsiTheme="majorHAnsi"/>
          <w:sz w:val="20"/>
          <w:szCs w:val="20"/>
        </w:rPr>
        <w:t>O immunity as being based on customary international law).</w:t>
      </w:r>
    </w:p>
  </w:footnote>
  <w:footnote w:id="5">
    <w:p w14:paraId="204A7770" w14:textId="77777777" w:rsidR="00E42486" w:rsidRPr="008D5870" w:rsidRDefault="00E42486" w:rsidP="00E42486">
      <w:pPr>
        <w:pStyle w:val="FootnoteText"/>
        <w:rPr>
          <w:rFonts w:asciiTheme="majorHAnsi" w:hAnsiTheme="majorHAnsi"/>
        </w:rPr>
      </w:pPr>
      <w:r w:rsidRPr="008D5870">
        <w:rPr>
          <w:rStyle w:val="FootnoteReference"/>
          <w:rFonts w:asciiTheme="majorHAnsi" w:hAnsiTheme="majorHAnsi"/>
          <w:sz w:val="20"/>
          <w:szCs w:val="20"/>
        </w:rPr>
        <w:footnoteRef/>
      </w:r>
      <w:r w:rsidRPr="008D5870">
        <w:rPr>
          <w:rFonts w:asciiTheme="majorHAnsi" w:hAnsiTheme="majorHAnsi"/>
          <w:sz w:val="20"/>
          <w:szCs w:val="20"/>
        </w:rPr>
        <w:t xml:space="preserve"> The WG understands that some of these possibilities may create broader immunity issues beyond the domain name context and is seeking to understand the impediments faced by IGOs in exploring these alternatives.</w:t>
      </w:r>
    </w:p>
  </w:footnote>
  <w:footnote w:id="6">
    <w:p w14:paraId="23219BA4" w14:textId="386C091F" w:rsidR="00CC395B" w:rsidRPr="008D5870" w:rsidRDefault="00CC395B" w:rsidP="00E77D18">
      <w:pPr>
        <w:pStyle w:val="FootnoteText"/>
        <w:rPr>
          <w:rFonts w:asciiTheme="majorHAnsi" w:hAnsiTheme="majorHAnsi"/>
          <w:sz w:val="20"/>
          <w:szCs w:val="20"/>
        </w:rPr>
      </w:pPr>
      <w:r w:rsidRPr="008D5870">
        <w:rPr>
          <w:rStyle w:val="FootnoteReference"/>
          <w:rFonts w:asciiTheme="majorHAnsi" w:hAnsiTheme="majorHAnsi"/>
          <w:sz w:val="20"/>
          <w:szCs w:val="20"/>
        </w:rPr>
        <w:footnoteRef/>
      </w:r>
      <w:r w:rsidR="00E42486">
        <w:rPr>
          <w:rFonts w:asciiTheme="majorHAnsi" w:hAnsiTheme="majorHAnsi"/>
          <w:sz w:val="20"/>
          <w:szCs w:val="20"/>
        </w:rPr>
        <w:t xml:space="preserve"> The WG</w:t>
      </w:r>
      <w:r w:rsidRPr="008D5870">
        <w:rPr>
          <w:rFonts w:asciiTheme="majorHAnsi" w:hAnsiTheme="majorHAnsi"/>
          <w:sz w:val="20"/>
          <w:szCs w:val="20"/>
        </w:rPr>
        <w:t xml:space="preserve"> has been informed that some IGOs may rely on national governments or governmental agencies to bring suit</w:t>
      </w:r>
      <w:r>
        <w:rPr>
          <w:rFonts w:asciiTheme="majorHAnsi" w:hAnsiTheme="majorHAnsi"/>
          <w:sz w:val="20"/>
          <w:szCs w:val="20"/>
        </w:rPr>
        <w:t xml:space="preserve">. </w:t>
      </w:r>
      <w:r w:rsidRPr="008D5870">
        <w:rPr>
          <w:rFonts w:asciiTheme="majorHAnsi" w:hAnsiTheme="majorHAnsi"/>
          <w:sz w:val="20"/>
          <w:szCs w:val="20"/>
        </w:rPr>
        <w:t xml:space="preserve">In addition, we have </w:t>
      </w:r>
      <w:r w:rsidR="00E42486">
        <w:rPr>
          <w:rFonts w:asciiTheme="majorHAnsi" w:hAnsiTheme="majorHAnsi"/>
          <w:sz w:val="20"/>
          <w:szCs w:val="20"/>
        </w:rPr>
        <w:t>found cases where</w:t>
      </w:r>
      <w:r w:rsidRPr="008D5870">
        <w:rPr>
          <w:rFonts w:asciiTheme="majorHAnsi" w:hAnsiTheme="majorHAnsi"/>
          <w:sz w:val="20"/>
          <w:szCs w:val="20"/>
        </w:rPr>
        <w:t xml:space="preserve"> a third party </w:t>
      </w:r>
      <w:r w:rsidR="00E42486">
        <w:rPr>
          <w:rFonts w:asciiTheme="majorHAnsi" w:hAnsiTheme="majorHAnsi"/>
          <w:sz w:val="20"/>
          <w:szCs w:val="20"/>
        </w:rPr>
        <w:t>(e.g. a law firm)</w:t>
      </w:r>
      <w:r w:rsidRPr="008D5870">
        <w:rPr>
          <w:rFonts w:asciiTheme="majorHAnsi" w:hAnsiTheme="majorHAnsi"/>
          <w:sz w:val="20"/>
          <w:szCs w:val="20"/>
        </w:rPr>
        <w:t xml:space="preserve"> hold</w:t>
      </w:r>
      <w:r w:rsidR="00E42486">
        <w:rPr>
          <w:rFonts w:asciiTheme="majorHAnsi" w:hAnsiTheme="majorHAnsi"/>
          <w:sz w:val="20"/>
          <w:szCs w:val="20"/>
        </w:rPr>
        <w:t>s</w:t>
      </w:r>
      <w:r w:rsidRPr="008D5870">
        <w:rPr>
          <w:rFonts w:asciiTheme="majorHAnsi" w:hAnsiTheme="majorHAnsi"/>
          <w:sz w:val="20"/>
          <w:szCs w:val="20"/>
        </w:rPr>
        <w:t xml:space="preserve"> trademark</w:t>
      </w:r>
      <w:r>
        <w:rPr>
          <w:sz w:val="20"/>
          <w:szCs w:val="20"/>
        </w:rPr>
        <w:t xml:space="preserve"> </w:t>
      </w:r>
      <w:r w:rsidRPr="008D5870">
        <w:rPr>
          <w:rFonts w:asciiTheme="majorHAnsi" w:hAnsiTheme="majorHAnsi"/>
          <w:sz w:val="20"/>
          <w:szCs w:val="20"/>
        </w:rPr>
        <w:t xml:space="preserve">rights </w:t>
      </w:r>
      <w:r w:rsidR="00E42486">
        <w:rPr>
          <w:rFonts w:asciiTheme="majorHAnsi" w:hAnsiTheme="majorHAnsi"/>
          <w:sz w:val="20"/>
          <w:szCs w:val="20"/>
        </w:rPr>
        <w:t xml:space="preserve">in its own name </w:t>
      </w:r>
      <w:r w:rsidRPr="008D5870">
        <w:rPr>
          <w:rFonts w:asciiTheme="majorHAnsi" w:hAnsiTheme="majorHAnsi"/>
          <w:sz w:val="20"/>
          <w:szCs w:val="20"/>
        </w:rPr>
        <w:t>for t</w:t>
      </w:r>
      <w:r w:rsidR="00E42486">
        <w:rPr>
          <w:rFonts w:asciiTheme="majorHAnsi" w:hAnsiTheme="majorHAnsi"/>
          <w:sz w:val="20"/>
          <w:szCs w:val="20"/>
        </w:rPr>
        <w:t>he benefit of an IGO and thus is</w:t>
      </w:r>
      <w:r w:rsidRPr="008D5870">
        <w:rPr>
          <w:rFonts w:asciiTheme="majorHAnsi" w:hAnsiTheme="majorHAnsi"/>
          <w:sz w:val="20"/>
          <w:szCs w:val="20"/>
        </w:rPr>
        <w:t xml:space="preserve"> able to file a UDRP complaint on behalf of that IGO</w:t>
      </w:r>
      <w:r>
        <w:rPr>
          <w:rFonts w:asciiTheme="majorHAnsi" w:hAnsiTheme="majorHAnsi"/>
          <w:sz w:val="20"/>
          <w:szCs w:val="20"/>
        </w:rPr>
        <w:t>.</w:t>
      </w:r>
    </w:p>
  </w:footnote>
  <w:footnote w:id="7">
    <w:p w14:paraId="5E4C3ABD" w14:textId="3191D2EC" w:rsidR="00CC395B" w:rsidRPr="00E225A6" w:rsidRDefault="00CC395B" w:rsidP="009D0EC8">
      <w:pPr>
        <w:pStyle w:val="FootnoteText"/>
        <w:rPr>
          <w:rFonts w:asciiTheme="majorHAnsi" w:hAnsiTheme="majorHAnsi"/>
          <w:sz w:val="20"/>
          <w:szCs w:val="20"/>
        </w:rPr>
      </w:pPr>
      <w:r w:rsidRPr="00E225A6">
        <w:rPr>
          <w:rStyle w:val="FootnoteReference"/>
          <w:rFonts w:asciiTheme="majorHAnsi" w:hAnsiTheme="majorHAnsi"/>
          <w:sz w:val="20"/>
          <w:szCs w:val="20"/>
        </w:rPr>
        <w:footnoteRef/>
      </w:r>
      <w:r w:rsidRPr="00E225A6">
        <w:rPr>
          <w:rFonts w:asciiTheme="majorHAnsi" w:hAnsiTheme="majorHAnsi"/>
          <w:sz w:val="20"/>
          <w:szCs w:val="20"/>
        </w:rPr>
        <w:t xml:space="preserve"> </w:t>
      </w:r>
      <w:r>
        <w:rPr>
          <w:rFonts w:asciiTheme="majorHAnsi" w:hAnsiTheme="majorHAnsi"/>
          <w:sz w:val="20"/>
          <w:szCs w:val="20"/>
        </w:rPr>
        <w:t>We note that t</w:t>
      </w:r>
      <w:r w:rsidRPr="00E225A6">
        <w:rPr>
          <w:rFonts w:asciiTheme="majorHAnsi" w:hAnsiTheme="majorHAnsi"/>
          <w:sz w:val="20"/>
          <w:szCs w:val="20"/>
        </w:rPr>
        <w:t>his statute contains a definition of “international organization”, meaning “an intergovernmental organization, whether or not established by treaty, of which two or more states are members”</w:t>
      </w:r>
      <w:r>
        <w:rPr>
          <w:rFonts w:asciiTheme="majorHAnsi" w:hAnsiTheme="majorHAnsi"/>
          <w:sz w:val="20"/>
          <w:szCs w:val="20"/>
        </w:rPr>
        <w:t xml:space="preserve">; </w:t>
      </w:r>
      <w:r w:rsidRPr="00E225A6">
        <w:rPr>
          <w:rFonts w:asciiTheme="majorHAnsi" w:hAnsiTheme="majorHAnsi"/>
          <w:sz w:val="20"/>
          <w:szCs w:val="20"/>
        </w:rPr>
        <w:t xml:space="preserve">this </w:t>
      </w:r>
      <w:r>
        <w:rPr>
          <w:rFonts w:asciiTheme="majorHAnsi" w:hAnsiTheme="majorHAnsi"/>
          <w:sz w:val="20"/>
          <w:szCs w:val="20"/>
        </w:rPr>
        <w:t>seems</w:t>
      </w:r>
      <w:r w:rsidRPr="00E225A6">
        <w:rPr>
          <w:rFonts w:asciiTheme="majorHAnsi" w:hAnsiTheme="majorHAnsi"/>
          <w:sz w:val="20"/>
          <w:szCs w:val="20"/>
        </w:rPr>
        <w:t xml:space="preserve"> more specific than the definition used in the Vienna Convention.</w:t>
      </w:r>
    </w:p>
  </w:footnote>
  <w:footnote w:id="8">
    <w:p w14:paraId="2D7641A6" w14:textId="1A006AC6" w:rsidR="00CC395B" w:rsidRPr="00E225A6" w:rsidRDefault="00CC395B" w:rsidP="009D0EC8">
      <w:pPr>
        <w:pStyle w:val="FootnoteText"/>
        <w:rPr>
          <w:rFonts w:asciiTheme="majorHAnsi" w:hAnsiTheme="majorHAnsi"/>
          <w:sz w:val="20"/>
          <w:szCs w:val="20"/>
        </w:rPr>
      </w:pPr>
      <w:r w:rsidRPr="00E225A6">
        <w:rPr>
          <w:rStyle w:val="FootnoteReference"/>
          <w:rFonts w:asciiTheme="majorHAnsi" w:hAnsiTheme="majorHAnsi"/>
          <w:sz w:val="20"/>
          <w:szCs w:val="20"/>
        </w:rPr>
        <w:footnoteRef/>
      </w:r>
      <w:r w:rsidRPr="00E225A6">
        <w:rPr>
          <w:rFonts w:asciiTheme="majorHAnsi" w:hAnsiTheme="majorHAnsi"/>
          <w:sz w:val="20"/>
          <w:szCs w:val="20"/>
        </w:rPr>
        <w:t xml:space="preserve"> </w:t>
      </w:r>
      <w:r>
        <w:rPr>
          <w:rFonts w:asciiTheme="majorHAnsi" w:hAnsiTheme="majorHAnsi"/>
          <w:sz w:val="20"/>
          <w:szCs w:val="20"/>
        </w:rPr>
        <w:t>We found t</w:t>
      </w:r>
      <w:r w:rsidRPr="00E225A6">
        <w:rPr>
          <w:rFonts w:asciiTheme="majorHAnsi" w:hAnsiTheme="majorHAnsi"/>
          <w:sz w:val="20"/>
          <w:szCs w:val="20"/>
        </w:rPr>
        <w:t xml:space="preserve">he most current list of IGOs that have been granted protection in Canada </w:t>
      </w:r>
      <w:r>
        <w:rPr>
          <w:rFonts w:asciiTheme="majorHAnsi" w:hAnsiTheme="majorHAnsi"/>
          <w:sz w:val="20"/>
          <w:szCs w:val="20"/>
        </w:rPr>
        <w:t>at</w:t>
      </w:r>
      <w:r w:rsidRPr="00E225A6">
        <w:rPr>
          <w:rFonts w:asciiTheme="majorHAnsi" w:hAnsiTheme="majorHAnsi"/>
          <w:sz w:val="20"/>
          <w:szCs w:val="20"/>
        </w:rPr>
        <w:t xml:space="preserve"> </w:t>
      </w:r>
      <w:hyperlink r:id="rId4" w:history="1">
        <w:r w:rsidRPr="00E225A6">
          <w:rPr>
            <w:rStyle w:val="Hyperlink"/>
            <w:rFonts w:asciiTheme="majorHAnsi" w:hAnsiTheme="majorHAnsi"/>
            <w:sz w:val="20"/>
            <w:szCs w:val="20"/>
          </w:rPr>
          <w:t>http://laws-lois.justice.gc.ca/eng/acts/F-29.4/</w:t>
        </w:r>
      </w:hyperlink>
      <w:r w:rsidRPr="00E225A6">
        <w:rPr>
          <w:rFonts w:asciiTheme="majorHAnsi" w:hAnsiTheme="majorHAnsi"/>
          <w:sz w:val="20"/>
          <w:szCs w:val="20"/>
        </w:rPr>
        <w:t xml:space="preserve">. </w:t>
      </w:r>
    </w:p>
  </w:footnote>
  <w:footnote w:id="9">
    <w:p w14:paraId="2CC140BE" w14:textId="1D0CE30E" w:rsidR="00CC395B" w:rsidRPr="00E225A6" w:rsidRDefault="00CC395B" w:rsidP="009D0EC8">
      <w:pPr>
        <w:pStyle w:val="FootnoteText"/>
        <w:rPr>
          <w:rFonts w:asciiTheme="majorHAnsi" w:hAnsiTheme="majorHAnsi"/>
          <w:sz w:val="20"/>
          <w:szCs w:val="20"/>
        </w:rPr>
      </w:pPr>
      <w:r w:rsidRPr="00E225A6">
        <w:rPr>
          <w:rStyle w:val="FootnoteReference"/>
          <w:rFonts w:asciiTheme="majorHAnsi" w:hAnsiTheme="majorHAnsi"/>
          <w:sz w:val="20"/>
          <w:szCs w:val="20"/>
        </w:rPr>
        <w:footnoteRef/>
      </w:r>
      <w:r w:rsidRPr="00E225A6">
        <w:rPr>
          <w:rFonts w:asciiTheme="majorHAnsi" w:hAnsiTheme="majorHAnsi"/>
          <w:sz w:val="20"/>
          <w:szCs w:val="20"/>
        </w:rPr>
        <w:t xml:space="preserve"> For those IGOs where the UK is not a member, </w:t>
      </w:r>
      <w:r>
        <w:rPr>
          <w:rFonts w:asciiTheme="majorHAnsi" w:hAnsiTheme="majorHAnsi"/>
          <w:sz w:val="20"/>
          <w:szCs w:val="20"/>
        </w:rPr>
        <w:t xml:space="preserve">we note </w:t>
      </w:r>
      <w:r w:rsidRPr="00E225A6">
        <w:rPr>
          <w:rFonts w:asciiTheme="majorHAnsi" w:hAnsiTheme="majorHAnsi"/>
          <w:sz w:val="20"/>
          <w:szCs w:val="20"/>
        </w:rPr>
        <w:t>the Act can still apply if the organization “maintains or proposes to maintain an establishment in the UK”.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828"/>
    <w:multiLevelType w:val="hybridMultilevel"/>
    <w:tmpl w:val="48CC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F3D87"/>
    <w:multiLevelType w:val="hybridMultilevel"/>
    <w:tmpl w:val="BC72F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A3406"/>
    <w:multiLevelType w:val="hybridMultilevel"/>
    <w:tmpl w:val="04DCC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A64A38"/>
    <w:multiLevelType w:val="hybridMultilevel"/>
    <w:tmpl w:val="8BC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D4B11"/>
    <w:multiLevelType w:val="hybridMultilevel"/>
    <w:tmpl w:val="C0DAE1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4B37D77"/>
    <w:multiLevelType w:val="hybridMultilevel"/>
    <w:tmpl w:val="FA2E6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E6957D5"/>
    <w:multiLevelType w:val="hybridMultilevel"/>
    <w:tmpl w:val="3964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E9"/>
    <w:rsid w:val="00035653"/>
    <w:rsid w:val="00056710"/>
    <w:rsid w:val="00080B7D"/>
    <w:rsid w:val="00084FA8"/>
    <w:rsid w:val="000864EF"/>
    <w:rsid w:val="000B4768"/>
    <w:rsid w:val="000D7E3E"/>
    <w:rsid w:val="000E1E88"/>
    <w:rsid w:val="000F56A2"/>
    <w:rsid w:val="0010107D"/>
    <w:rsid w:val="001116AE"/>
    <w:rsid w:val="00144FDC"/>
    <w:rsid w:val="001527CD"/>
    <w:rsid w:val="00192D38"/>
    <w:rsid w:val="001A5ACA"/>
    <w:rsid w:val="001F2BEA"/>
    <w:rsid w:val="00226C07"/>
    <w:rsid w:val="00233787"/>
    <w:rsid w:val="002817F9"/>
    <w:rsid w:val="00287EBA"/>
    <w:rsid w:val="002B0276"/>
    <w:rsid w:val="002B58AA"/>
    <w:rsid w:val="002C74C3"/>
    <w:rsid w:val="0030226D"/>
    <w:rsid w:val="00305933"/>
    <w:rsid w:val="00320A8D"/>
    <w:rsid w:val="003374A6"/>
    <w:rsid w:val="003846EC"/>
    <w:rsid w:val="003A4644"/>
    <w:rsid w:val="003B4D57"/>
    <w:rsid w:val="003C54E1"/>
    <w:rsid w:val="003D2835"/>
    <w:rsid w:val="003D3BE2"/>
    <w:rsid w:val="00413677"/>
    <w:rsid w:val="004F11F7"/>
    <w:rsid w:val="00503CFF"/>
    <w:rsid w:val="00550904"/>
    <w:rsid w:val="0058326C"/>
    <w:rsid w:val="005C2360"/>
    <w:rsid w:val="005D1072"/>
    <w:rsid w:val="0065613F"/>
    <w:rsid w:val="006A6467"/>
    <w:rsid w:val="006B3F68"/>
    <w:rsid w:val="007264E2"/>
    <w:rsid w:val="0074464F"/>
    <w:rsid w:val="00791CB1"/>
    <w:rsid w:val="007D018F"/>
    <w:rsid w:val="007D4176"/>
    <w:rsid w:val="007E63A4"/>
    <w:rsid w:val="00811F2D"/>
    <w:rsid w:val="0085359D"/>
    <w:rsid w:val="008705D7"/>
    <w:rsid w:val="00891FAA"/>
    <w:rsid w:val="008A05CF"/>
    <w:rsid w:val="008D5870"/>
    <w:rsid w:val="008E2BCF"/>
    <w:rsid w:val="008E3D38"/>
    <w:rsid w:val="00900E91"/>
    <w:rsid w:val="009065AA"/>
    <w:rsid w:val="00923B9E"/>
    <w:rsid w:val="00976B0E"/>
    <w:rsid w:val="0099601D"/>
    <w:rsid w:val="009A4811"/>
    <w:rsid w:val="009B1839"/>
    <w:rsid w:val="009C2980"/>
    <w:rsid w:val="009D0EC8"/>
    <w:rsid w:val="009D1481"/>
    <w:rsid w:val="009D6E7D"/>
    <w:rsid w:val="009E38A3"/>
    <w:rsid w:val="00A03F4B"/>
    <w:rsid w:val="00A1064F"/>
    <w:rsid w:val="00A2567A"/>
    <w:rsid w:val="00A34EB3"/>
    <w:rsid w:val="00A64A99"/>
    <w:rsid w:val="00A75F56"/>
    <w:rsid w:val="00A770F3"/>
    <w:rsid w:val="00AC66E9"/>
    <w:rsid w:val="00AF530D"/>
    <w:rsid w:val="00AF5CD2"/>
    <w:rsid w:val="00B401E8"/>
    <w:rsid w:val="00B43E95"/>
    <w:rsid w:val="00B53F04"/>
    <w:rsid w:val="00B57A83"/>
    <w:rsid w:val="00C23AAA"/>
    <w:rsid w:val="00C315A0"/>
    <w:rsid w:val="00C53DB5"/>
    <w:rsid w:val="00C86652"/>
    <w:rsid w:val="00CA45F1"/>
    <w:rsid w:val="00CB2B36"/>
    <w:rsid w:val="00CC395B"/>
    <w:rsid w:val="00CC4FA8"/>
    <w:rsid w:val="00D23D61"/>
    <w:rsid w:val="00D56C43"/>
    <w:rsid w:val="00D916AE"/>
    <w:rsid w:val="00DA7534"/>
    <w:rsid w:val="00DB22E8"/>
    <w:rsid w:val="00DB752D"/>
    <w:rsid w:val="00E13ED9"/>
    <w:rsid w:val="00E225A6"/>
    <w:rsid w:val="00E42486"/>
    <w:rsid w:val="00E4391A"/>
    <w:rsid w:val="00E562C9"/>
    <w:rsid w:val="00E61E77"/>
    <w:rsid w:val="00E734E9"/>
    <w:rsid w:val="00E77840"/>
    <w:rsid w:val="00E77D18"/>
    <w:rsid w:val="00EC265E"/>
    <w:rsid w:val="00EE666F"/>
    <w:rsid w:val="00EE694D"/>
    <w:rsid w:val="00EF49FB"/>
    <w:rsid w:val="00F01464"/>
    <w:rsid w:val="00F17164"/>
    <w:rsid w:val="00F73311"/>
    <w:rsid w:val="00F90C19"/>
    <w:rsid w:val="00FB4BF8"/>
    <w:rsid w:val="00FC3C8B"/>
    <w:rsid w:val="00FD57EB"/>
    <w:rsid w:val="00FE13D9"/>
    <w:rsid w:val="00FE2248"/>
    <w:rsid w:val="00FF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4B2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A8D"/>
    <w:rPr>
      <w:sz w:val="18"/>
      <w:szCs w:val="18"/>
    </w:rPr>
  </w:style>
  <w:style w:type="paragraph" w:styleId="CommentText">
    <w:name w:val="annotation text"/>
    <w:basedOn w:val="Normal"/>
    <w:link w:val="CommentTextChar"/>
    <w:uiPriority w:val="99"/>
    <w:semiHidden/>
    <w:unhideWhenUsed/>
    <w:rsid w:val="00320A8D"/>
  </w:style>
  <w:style w:type="character" w:customStyle="1" w:styleId="CommentTextChar">
    <w:name w:val="Comment Text Char"/>
    <w:basedOn w:val="DefaultParagraphFont"/>
    <w:link w:val="CommentText"/>
    <w:uiPriority w:val="99"/>
    <w:semiHidden/>
    <w:rsid w:val="00320A8D"/>
  </w:style>
  <w:style w:type="paragraph" w:styleId="CommentSubject">
    <w:name w:val="annotation subject"/>
    <w:basedOn w:val="CommentText"/>
    <w:next w:val="CommentText"/>
    <w:link w:val="CommentSubjectChar"/>
    <w:uiPriority w:val="99"/>
    <w:semiHidden/>
    <w:unhideWhenUsed/>
    <w:rsid w:val="00320A8D"/>
    <w:rPr>
      <w:b/>
      <w:bCs/>
      <w:sz w:val="20"/>
      <w:szCs w:val="20"/>
    </w:rPr>
  </w:style>
  <w:style w:type="character" w:customStyle="1" w:styleId="CommentSubjectChar">
    <w:name w:val="Comment Subject Char"/>
    <w:basedOn w:val="CommentTextChar"/>
    <w:link w:val="CommentSubject"/>
    <w:uiPriority w:val="99"/>
    <w:semiHidden/>
    <w:rsid w:val="00320A8D"/>
    <w:rPr>
      <w:b/>
      <w:bCs/>
      <w:sz w:val="20"/>
      <w:szCs w:val="20"/>
    </w:rPr>
  </w:style>
  <w:style w:type="paragraph" w:styleId="Revision">
    <w:name w:val="Revision"/>
    <w:hidden/>
    <w:uiPriority w:val="99"/>
    <w:semiHidden/>
    <w:rsid w:val="00320A8D"/>
  </w:style>
  <w:style w:type="character" w:customStyle="1" w:styleId="apple-converted-space">
    <w:name w:val="apple-converted-space"/>
    <w:basedOn w:val="DefaultParagraphFont"/>
    <w:rsid w:val="00F733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A8D"/>
    <w:rPr>
      <w:sz w:val="18"/>
      <w:szCs w:val="18"/>
    </w:rPr>
  </w:style>
  <w:style w:type="paragraph" w:styleId="CommentText">
    <w:name w:val="annotation text"/>
    <w:basedOn w:val="Normal"/>
    <w:link w:val="CommentTextChar"/>
    <w:uiPriority w:val="99"/>
    <w:semiHidden/>
    <w:unhideWhenUsed/>
    <w:rsid w:val="00320A8D"/>
  </w:style>
  <w:style w:type="character" w:customStyle="1" w:styleId="CommentTextChar">
    <w:name w:val="Comment Text Char"/>
    <w:basedOn w:val="DefaultParagraphFont"/>
    <w:link w:val="CommentText"/>
    <w:uiPriority w:val="99"/>
    <w:semiHidden/>
    <w:rsid w:val="00320A8D"/>
  </w:style>
  <w:style w:type="paragraph" w:styleId="CommentSubject">
    <w:name w:val="annotation subject"/>
    <w:basedOn w:val="CommentText"/>
    <w:next w:val="CommentText"/>
    <w:link w:val="CommentSubjectChar"/>
    <w:uiPriority w:val="99"/>
    <w:semiHidden/>
    <w:unhideWhenUsed/>
    <w:rsid w:val="00320A8D"/>
    <w:rPr>
      <w:b/>
      <w:bCs/>
      <w:sz w:val="20"/>
      <w:szCs w:val="20"/>
    </w:rPr>
  </w:style>
  <w:style w:type="character" w:customStyle="1" w:styleId="CommentSubjectChar">
    <w:name w:val="Comment Subject Char"/>
    <w:basedOn w:val="CommentTextChar"/>
    <w:link w:val="CommentSubject"/>
    <w:uiPriority w:val="99"/>
    <w:semiHidden/>
    <w:rsid w:val="00320A8D"/>
    <w:rPr>
      <w:b/>
      <w:bCs/>
      <w:sz w:val="20"/>
      <w:szCs w:val="20"/>
    </w:rPr>
  </w:style>
  <w:style w:type="paragraph" w:styleId="Revision">
    <w:name w:val="Revision"/>
    <w:hidden/>
    <w:uiPriority w:val="99"/>
    <w:semiHidden/>
    <w:rsid w:val="00320A8D"/>
  </w:style>
  <w:style w:type="character" w:customStyle="1" w:styleId="apple-converted-space">
    <w:name w:val="apple-converted-space"/>
    <w:basedOn w:val="DefaultParagraphFont"/>
    <w:rsid w:val="00F7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newgtlds.icann.org/en/applicants/urs" TargetMode="External"/><Relationship Id="rId4" Type="http://schemas.openxmlformats.org/officeDocument/2006/relationships/hyperlink" Target="http://laws-lois.justice.gc.ca/eng/acts/F-29.4/" TargetMode="External"/><Relationship Id="rId1" Type="http://schemas.openxmlformats.org/officeDocument/2006/relationships/hyperlink" Target="http://www.wipo.int/amc/en/center/faq/domains.html" TargetMode="External"/><Relationship Id="rId2" Type="http://schemas.openxmlformats.org/officeDocument/2006/relationships/hyperlink" Target="https://www.icann.org/resources/pages/policy-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A4A51-C1E8-D64C-80D8-009C6322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1748</Words>
  <Characters>9967</Characters>
  <Application>Microsoft Macintosh Word</Application>
  <DocSecurity>4</DocSecurity>
  <Lines>83</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ICANN</Company>
  <LinksUpToDate>false</LinksUpToDate>
  <CharactersWithSpaces>11692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Chan</dc:creator>
  <cp:lastModifiedBy>Mary Wong</cp:lastModifiedBy>
  <cp:revision>2</cp:revision>
  <cp:lastPrinted>2015-03-18T16:43:00Z</cp:lastPrinted>
  <dcterms:created xsi:type="dcterms:W3CDTF">2015-06-09T15:34:00Z</dcterms:created>
  <dcterms:modified xsi:type="dcterms:W3CDTF">2015-06-09T15:34:00Z</dcterms:modified>
</cp:coreProperties>
</file>