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0A" w:rsidRPr="007C482E" w:rsidRDefault="002E280A" w:rsidP="00D6605E">
      <w:pPr>
        <w:rPr>
          <w:rFonts w:asciiTheme="majorHAnsi" w:hAnsiTheme="majorHAnsi"/>
          <w:b/>
        </w:rPr>
      </w:pPr>
      <w:r w:rsidRPr="007C482E">
        <w:rPr>
          <w:rFonts w:asciiTheme="majorHAnsi" w:hAnsiTheme="majorHAnsi"/>
          <w:b/>
        </w:rPr>
        <w:t xml:space="preserve">BRIEFING NOTE </w:t>
      </w:r>
      <w:r w:rsidR="00FA2113" w:rsidRPr="007C482E">
        <w:rPr>
          <w:rFonts w:asciiTheme="majorHAnsi" w:hAnsiTheme="majorHAnsi"/>
          <w:b/>
        </w:rPr>
        <w:t>TO THE GNSO IGO-INGO CURATIVE RIGHTS PROTECTION MECHANISMS WORKING GROUP (IGO-INGO CRP WG) ON THE STATUS OF CONSENSUS RECOMMENDATIONS DEVELOPED BY THE ORIGINAL IGO-INGO PDP WORKING GROUP FOR THE PROTECTION OF INTERNATIONAL ORGANIZATIONAL IDENTIFIERS IN ALL gTLDS (IGO-INGO PDP WG)</w:t>
      </w:r>
    </w:p>
    <w:p w:rsidR="002E280A" w:rsidRPr="002E280A" w:rsidRDefault="002E280A" w:rsidP="00D6605E">
      <w:pPr>
        <w:rPr>
          <w:rFonts w:asciiTheme="majorHAnsi" w:hAnsiTheme="majorHAnsi"/>
          <w:sz w:val="22"/>
          <w:szCs w:val="22"/>
        </w:rPr>
      </w:pPr>
    </w:p>
    <w:p w:rsidR="00427EF8" w:rsidRDefault="00427EF8" w:rsidP="00D6605E">
      <w:pPr>
        <w:rPr>
          <w:rFonts w:asciiTheme="majorHAnsi" w:hAnsiTheme="majorHAnsi"/>
          <w:b/>
          <w:sz w:val="22"/>
          <w:szCs w:val="22"/>
        </w:rPr>
      </w:pPr>
      <w:r>
        <w:rPr>
          <w:rFonts w:asciiTheme="majorHAnsi" w:hAnsiTheme="majorHAnsi"/>
          <w:b/>
          <w:sz w:val="22"/>
          <w:szCs w:val="22"/>
        </w:rPr>
        <w:t>Contents:</w:t>
      </w:r>
    </w:p>
    <w:p w:rsidR="00427EF8" w:rsidRDefault="00427EF8" w:rsidP="00D6605E">
      <w:pPr>
        <w:rPr>
          <w:rFonts w:asciiTheme="majorHAnsi" w:hAnsiTheme="majorHAnsi"/>
          <w:b/>
          <w:sz w:val="22"/>
          <w:szCs w:val="22"/>
        </w:rPr>
      </w:pPr>
    </w:p>
    <w:p w:rsidR="00427EF8" w:rsidRDefault="00A665E4" w:rsidP="00427EF8">
      <w:pPr>
        <w:ind w:left="720"/>
        <w:rPr>
          <w:rFonts w:asciiTheme="majorHAnsi" w:hAnsiTheme="majorHAnsi"/>
          <w:b/>
          <w:sz w:val="22"/>
          <w:szCs w:val="22"/>
        </w:rPr>
      </w:pPr>
      <w:r>
        <w:rPr>
          <w:rFonts w:asciiTheme="majorHAnsi" w:hAnsiTheme="majorHAnsi"/>
          <w:b/>
          <w:sz w:val="22"/>
          <w:szCs w:val="22"/>
        </w:rPr>
        <w:t xml:space="preserve">Part I: </w:t>
      </w:r>
      <w:r w:rsidR="00427EF8" w:rsidRPr="002E280A">
        <w:rPr>
          <w:rFonts w:asciiTheme="majorHAnsi" w:hAnsiTheme="majorHAnsi"/>
          <w:b/>
          <w:sz w:val="22"/>
          <w:szCs w:val="22"/>
        </w:rPr>
        <w:t>Summary &amp; Key Dates</w:t>
      </w:r>
      <w:r w:rsidR="00427EF8">
        <w:rPr>
          <w:rFonts w:asciiTheme="majorHAnsi" w:hAnsiTheme="majorHAnsi"/>
          <w:b/>
          <w:sz w:val="22"/>
          <w:szCs w:val="22"/>
        </w:rPr>
        <w:t xml:space="preserve"> of </w:t>
      </w:r>
      <w:r w:rsidR="00DB364C">
        <w:rPr>
          <w:rFonts w:asciiTheme="majorHAnsi" w:hAnsiTheme="majorHAnsi"/>
          <w:b/>
          <w:sz w:val="22"/>
          <w:szCs w:val="22"/>
        </w:rPr>
        <w:t xml:space="preserve">Relevant </w:t>
      </w:r>
      <w:r w:rsidR="00427EF8">
        <w:rPr>
          <w:rFonts w:asciiTheme="majorHAnsi" w:hAnsiTheme="majorHAnsi"/>
          <w:b/>
          <w:sz w:val="22"/>
          <w:szCs w:val="22"/>
        </w:rPr>
        <w:t>GNSO Council &amp; ICANN Board Actions</w:t>
      </w:r>
      <w:r w:rsidR="00BA4FCB">
        <w:rPr>
          <w:rFonts w:asciiTheme="majorHAnsi" w:hAnsiTheme="majorHAnsi"/>
          <w:b/>
          <w:sz w:val="22"/>
          <w:szCs w:val="22"/>
        </w:rPr>
        <w:t xml:space="preserve"> relating to IGO &amp; INGO Identifier Protections</w:t>
      </w:r>
    </w:p>
    <w:p w:rsidR="00427EF8" w:rsidRDefault="00DB364C" w:rsidP="00427EF8">
      <w:pPr>
        <w:ind w:left="720"/>
        <w:rPr>
          <w:rFonts w:asciiTheme="majorHAnsi" w:hAnsiTheme="majorHAnsi"/>
          <w:b/>
          <w:sz w:val="22"/>
          <w:szCs w:val="22"/>
        </w:rPr>
      </w:pPr>
      <w:r>
        <w:rPr>
          <w:rFonts w:asciiTheme="majorHAnsi" w:hAnsiTheme="majorHAnsi"/>
          <w:b/>
          <w:sz w:val="22"/>
          <w:szCs w:val="22"/>
        </w:rPr>
        <w:t>Part II: The</w:t>
      </w:r>
      <w:r w:rsidR="00427EF8">
        <w:rPr>
          <w:rFonts w:asciiTheme="majorHAnsi" w:hAnsiTheme="majorHAnsi"/>
          <w:b/>
          <w:sz w:val="22"/>
          <w:szCs w:val="22"/>
        </w:rPr>
        <w:t xml:space="preserve"> GNSO Consensus Recommendations</w:t>
      </w:r>
      <w:r>
        <w:rPr>
          <w:rFonts w:asciiTheme="majorHAnsi" w:hAnsiTheme="majorHAnsi"/>
          <w:b/>
          <w:sz w:val="22"/>
          <w:szCs w:val="22"/>
        </w:rPr>
        <w:t xml:space="preserve"> on IGO &amp; INGO </w:t>
      </w:r>
      <w:r w:rsidR="00FA3D92">
        <w:rPr>
          <w:rFonts w:asciiTheme="majorHAnsi" w:hAnsiTheme="majorHAnsi"/>
          <w:b/>
          <w:sz w:val="22"/>
          <w:szCs w:val="22"/>
        </w:rPr>
        <w:t xml:space="preserve">Identifier </w:t>
      </w:r>
      <w:r>
        <w:rPr>
          <w:rFonts w:asciiTheme="majorHAnsi" w:hAnsiTheme="majorHAnsi"/>
          <w:b/>
          <w:sz w:val="22"/>
          <w:szCs w:val="22"/>
        </w:rPr>
        <w:t>Protections</w:t>
      </w:r>
      <w:r w:rsidR="00FA3D92">
        <w:rPr>
          <w:rFonts w:asciiTheme="majorHAnsi" w:hAnsiTheme="majorHAnsi"/>
          <w:b/>
          <w:sz w:val="22"/>
          <w:szCs w:val="22"/>
        </w:rPr>
        <w:t xml:space="preserve"> and their Current Status</w:t>
      </w:r>
    </w:p>
    <w:p w:rsidR="00427EF8" w:rsidRDefault="00427EF8" w:rsidP="00427EF8">
      <w:pPr>
        <w:ind w:left="720"/>
        <w:rPr>
          <w:rFonts w:asciiTheme="majorHAnsi" w:hAnsiTheme="majorHAnsi"/>
          <w:b/>
          <w:sz w:val="22"/>
          <w:szCs w:val="22"/>
        </w:rPr>
      </w:pPr>
      <w:r>
        <w:rPr>
          <w:rFonts w:asciiTheme="majorHAnsi" w:hAnsiTheme="majorHAnsi"/>
          <w:b/>
          <w:sz w:val="22"/>
          <w:szCs w:val="22"/>
        </w:rPr>
        <w:t xml:space="preserve">Part III: </w:t>
      </w:r>
      <w:r w:rsidR="00A665E4">
        <w:rPr>
          <w:rFonts w:asciiTheme="majorHAnsi" w:hAnsiTheme="majorHAnsi"/>
          <w:b/>
          <w:sz w:val="22"/>
          <w:szCs w:val="22"/>
        </w:rPr>
        <w:t xml:space="preserve">Timeline of </w:t>
      </w:r>
      <w:r w:rsidR="00DB364C">
        <w:rPr>
          <w:rFonts w:asciiTheme="majorHAnsi" w:hAnsiTheme="majorHAnsi"/>
          <w:b/>
          <w:sz w:val="22"/>
          <w:szCs w:val="22"/>
        </w:rPr>
        <w:t xml:space="preserve">Relevant </w:t>
      </w:r>
      <w:r>
        <w:rPr>
          <w:rFonts w:asciiTheme="majorHAnsi" w:hAnsiTheme="majorHAnsi"/>
          <w:b/>
          <w:sz w:val="22"/>
          <w:szCs w:val="22"/>
        </w:rPr>
        <w:t>GAC Advice on IGO</w:t>
      </w:r>
      <w:r w:rsidR="00A665E4">
        <w:rPr>
          <w:rFonts w:asciiTheme="majorHAnsi" w:hAnsiTheme="majorHAnsi"/>
          <w:b/>
          <w:sz w:val="22"/>
          <w:szCs w:val="22"/>
        </w:rPr>
        <w:t xml:space="preserve"> &amp; INGO</w:t>
      </w:r>
      <w:r>
        <w:rPr>
          <w:rFonts w:asciiTheme="majorHAnsi" w:hAnsiTheme="majorHAnsi"/>
          <w:b/>
          <w:sz w:val="22"/>
          <w:szCs w:val="22"/>
        </w:rPr>
        <w:t xml:space="preserve"> </w:t>
      </w:r>
      <w:r w:rsidR="00FA3D92">
        <w:rPr>
          <w:rFonts w:asciiTheme="majorHAnsi" w:hAnsiTheme="majorHAnsi"/>
          <w:b/>
          <w:sz w:val="22"/>
          <w:szCs w:val="22"/>
        </w:rPr>
        <w:t xml:space="preserve">Identifier </w:t>
      </w:r>
      <w:r>
        <w:rPr>
          <w:rFonts w:asciiTheme="majorHAnsi" w:hAnsiTheme="majorHAnsi"/>
          <w:b/>
          <w:sz w:val="22"/>
          <w:szCs w:val="22"/>
        </w:rPr>
        <w:t>Protections</w:t>
      </w:r>
      <w:r w:rsidR="00BA4FCB">
        <w:rPr>
          <w:rFonts w:asciiTheme="majorHAnsi" w:hAnsiTheme="majorHAnsi"/>
          <w:b/>
          <w:sz w:val="22"/>
          <w:szCs w:val="22"/>
        </w:rPr>
        <w:t xml:space="preserve"> &amp; Related Interim Protections Granted by the ICANN Board</w:t>
      </w:r>
    </w:p>
    <w:p w:rsidR="00427EF8" w:rsidRDefault="00427EF8" w:rsidP="00427EF8">
      <w:pPr>
        <w:ind w:left="720"/>
        <w:rPr>
          <w:rFonts w:asciiTheme="majorHAnsi" w:hAnsiTheme="majorHAnsi"/>
          <w:b/>
          <w:sz w:val="22"/>
          <w:szCs w:val="22"/>
        </w:rPr>
      </w:pPr>
      <w:r>
        <w:rPr>
          <w:rFonts w:asciiTheme="majorHAnsi" w:hAnsiTheme="majorHAnsi"/>
          <w:b/>
          <w:sz w:val="22"/>
          <w:szCs w:val="22"/>
        </w:rPr>
        <w:t xml:space="preserve">Part IV: </w:t>
      </w:r>
      <w:r w:rsidR="00A665E4">
        <w:rPr>
          <w:rFonts w:asciiTheme="majorHAnsi" w:hAnsiTheme="majorHAnsi"/>
          <w:b/>
          <w:sz w:val="22"/>
          <w:szCs w:val="22"/>
        </w:rPr>
        <w:t>Scope of the Current PDP</w:t>
      </w:r>
      <w:r w:rsidR="007C482E">
        <w:rPr>
          <w:rFonts w:asciiTheme="majorHAnsi" w:hAnsiTheme="majorHAnsi"/>
          <w:b/>
          <w:sz w:val="22"/>
          <w:szCs w:val="22"/>
        </w:rPr>
        <w:t xml:space="preserve"> &amp; Further Information</w:t>
      </w:r>
    </w:p>
    <w:p w:rsidR="00DB364C" w:rsidRDefault="00DB364C" w:rsidP="00427EF8">
      <w:pPr>
        <w:ind w:left="720"/>
        <w:rPr>
          <w:rFonts w:asciiTheme="majorHAnsi" w:hAnsiTheme="majorHAnsi"/>
          <w:b/>
          <w:sz w:val="22"/>
          <w:szCs w:val="22"/>
        </w:rPr>
      </w:pPr>
    </w:p>
    <w:p w:rsidR="00DB364C" w:rsidRDefault="00DB364C" w:rsidP="00DB364C">
      <w:pPr>
        <w:rPr>
          <w:rFonts w:asciiTheme="majorHAnsi" w:hAnsiTheme="majorHAnsi"/>
          <w:b/>
          <w:sz w:val="22"/>
          <w:szCs w:val="22"/>
        </w:rPr>
      </w:pPr>
      <w:r>
        <w:rPr>
          <w:rFonts w:asciiTheme="majorHAnsi" w:hAnsiTheme="majorHAnsi"/>
          <w:b/>
          <w:sz w:val="22"/>
          <w:szCs w:val="22"/>
        </w:rPr>
        <w:t>Annex</w:t>
      </w:r>
      <w:r w:rsidR="00EB7768">
        <w:rPr>
          <w:rFonts w:asciiTheme="majorHAnsi" w:hAnsiTheme="majorHAnsi"/>
          <w:b/>
          <w:sz w:val="22"/>
          <w:szCs w:val="22"/>
        </w:rPr>
        <w:t xml:space="preserve"> A</w:t>
      </w:r>
      <w:r>
        <w:rPr>
          <w:rFonts w:asciiTheme="majorHAnsi" w:hAnsiTheme="majorHAnsi"/>
          <w:b/>
          <w:sz w:val="22"/>
          <w:szCs w:val="22"/>
        </w:rPr>
        <w:t>:</w:t>
      </w:r>
    </w:p>
    <w:p w:rsidR="00DB364C" w:rsidRDefault="00DB364C" w:rsidP="00DB364C">
      <w:pPr>
        <w:rPr>
          <w:rFonts w:asciiTheme="majorHAnsi" w:hAnsiTheme="majorHAnsi"/>
          <w:b/>
          <w:sz w:val="22"/>
          <w:szCs w:val="22"/>
        </w:rPr>
      </w:pPr>
    </w:p>
    <w:p w:rsidR="00DB364C" w:rsidRDefault="00DB364C" w:rsidP="00DB364C">
      <w:pPr>
        <w:ind w:left="720"/>
        <w:rPr>
          <w:rFonts w:asciiTheme="majorHAnsi" w:hAnsiTheme="majorHAnsi"/>
          <w:b/>
          <w:sz w:val="22"/>
          <w:szCs w:val="22"/>
        </w:rPr>
      </w:pPr>
      <w:r>
        <w:rPr>
          <w:rFonts w:asciiTheme="majorHAnsi" w:hAnsiTheme="majorHAnsi"/>
          <w:b/>
          <w:sz w:val="22"/>
          <w:szCs w:val="22"/>
        </w:rPr>
        <w:t>The IGO-INGO PDP WG’s List of Protected Organizational Identifiers</w:t>
      </w:r>
    </w:p>
    <w:p w:rsidR="00427EF8" w:rsidRDefault="00427EF8" w:rsidP="00D6605E">
      <w:pPr>
        <w:rPr>
          <w:rFonts w:asciiTheme="majorHAnsi" w:hAnsiTheme="majorHAnsi"/>
          <w:b/>
          <w:sz w:val="22"/>
          <w:szCs w:val="22"/>
        </w:rPr>
      </w:pPr>
    </w:p>
    <w:p w:rsidR="00427EF8" w:rsidRDefault="00427EF8" w:rsidP="00427EF8">
      <w:pPr>
        <w:jc w:val="center"/>
        <w:rPr>
          <w:rFonts w:asciiTheme="majorHAnsi" w:hAnsiTheme="majorHAnsi"/>
          <w:b/>
          <w:sz w:val="22"/>
          <w:szCs w:val="22"/>
        </w:rPr>
      </w:pPr>
      <w:r>
        <w:rPr>
          <w:rFonts w:asciiTheme="majorHAnsi" w:hAnsiTheme="majorHAnsi"/>
          <w:b/>
          <w:sz w:val="22"/>
          <w:szCs w:val="22"/>
        </w:rPr>
        <w:t>________________________________________________</w:t>
      </w:r>
    </w:p>
    <w:p w:rsidR="00427EF8" w:rsidRDefault="00427EF8" w:rsidP="00D6605E">
      <w:pPr>
        <w:rPr>
          <w:rFonts w:asciiTheme="majorHAnsi" w:hAnsiTheme="majorHAnsi"/>
          <w:b/>
          <w:sz w:val="22"/>
          <w:szCs w:val="22"/>
        </w:rPr>
      </w:pPr>
    </w:p>
    <w:p w:rsidR="002E280A" w:rsidRPr="007C482E" w:rsidRDefault="00427EF8" w:rsidP="00D6605E">
      <w:pPr>
        <w:rPr>
          <w:rFonts w:asciiTheme="majorHAnsi" w:hAnsiTheme="majorHAnsi"/>
          <w:b/>
        </w:rPr>
      </w:pPr>
      <w:r w:rsidRPr="007C482E">
        <w:rPr>
          <w:rFonts w:asciiTheme="majorHAnsi" w:hAnsiTheme="majorHAnsi"/>
          <w:b/>
        </w:rPr>
        <w:t xml:space="preserve">Part I: </w:t>
      </w:r>
      <w:r w:rsidR="002E280A" w:rsidRPr="007C482E">
        <w:rPr>
          <w:rFonts w:asciiTheme="majorHAnsi" w:hAnsiTheme="majorHAnsi"/>
          <w:b/>
        </w:rPr>
        <w:t>Summary &amp; Key Dates</w:t>
      </w:r>
      <w:r w:rsidR="004C44B5" w:rsidRPr="007C482E">
        <w:rPr>
          <w:rFonts w:asciiTheme="majorHAnsi" w:hAnsiTheme="majorHAnsi"/>
          <w:b/>
        </w:rPr>
        <w:t xml:space="preserve"> of GNSO Council &amp; ICANN Board Actions</w:t>
      </w:r>
      <w:r w:rsidR="00BA4FCB" w:rsidRPr="007C482E">
        <w:rPr>
          <w:rFonts w:asciiTheme="majorHAnsi" w:hAnsiTheme="majorHAnsi"/>
          <w:b/>
        </w:rPr>
        <w:t xml:space="preserve"> relating to IGO &amp; INGO Identifier Protections</w:t>
      </w:r>
    </w:p>
    <w:p w:rsidR="002E280A" w:rsidRDefault="002E280A" w:rsidP="00D6605E">
      <w:pPr>
        <w:rPr>
          <w:rFonts w:asciiTheme="majorHAnsi" w:hAnsiTheme="majorHAnsi"/>
          <w:sz w:val="22"/>
          <w:szCs w:val="22"/>
        </w:rPr>
      </w:pPr>
    </w:p>
    <w:p w:rsidR="00E30253" w:rsidRPr="00E30253" w:rsidRDefault="00E30253" w:rsidP="00D6605E">
      <w:pPr>
        <w:rPr>
          <w:rFonts w:asciiTheme="majorHAnsi" w:hAnsiTheme="majorHAnsi"/>
          <w:i/>
          <w:sz w:val="22"/>
          <w:szCs w:val="22"/>
        </w:rPr>
      </w:pPr>
      <w:r w:rsidRPr="00E30253">
        <w:rPr>
          <w:rFonts w:asciiTheme="majorHAnsi" w:hAnsiTheme="majorHAnsi"/>
          <w:i/>
          <w:sz w:val="22"/>
          <w:szCs w:val="22"/>
        </w:rPr>
        <w:t>Summary:</w:t>
      </w:r>
    </w:p>
    <w:p w:rsidR="00E30253" w:rsidRDefault="00E30253" w:rsidP="00D6605E">
      <w:pPr>
        <w:rPr>
          <w:rFonts w:asciiTheme="majorHAnsi" w:hAnsiTheme="majorHAnsi"/>
          <w:sz w:val="22"/>
          <w:szCs w:val="22"/>
        </w:rPr>
      </w:pPr>
    </w:p>
    <w:p w:rsidR="00E30253" w:rsidRDefault="00E30253" w:rsidP="00A665E4">
      <w:pPr>
        <w:ind w:firstLine="720"/>
        <w:rPr>
          <w:rFonts w:asciiTheme="majorHAnsi" w:hAnsiTheme="majorHAnsi"/>
          <w:sz w:val="22"/>
          <w:szCs w:val="22"/>
        </w:rPr>
      </w:pPr>
      <w:r>
        <w:rPr>
          <w:rFonts w:asciiTheme="majorHAnsi" w:hAnsiTheme="majorHAnsi"/>
          <w:sz w:val="22"/>
          <w:szCs w:val="22"/>
        </w:rPr>
        <w:t>In 2011, the international Red Cross movement, the International Olympic Committee and certain International Governmental Organizations requested that their identifiers (including organizational names and acronyms) be protected in the New gTLD Program at both the top and second levels. These requests were supported by the Governmental Advisory Committee (GAC) in the form of various letters</w:t>
      </w:r>
      <w:r w:rsidR="002B7C68">
        <w:rPr>
          <w:rFonts w:asciiTheme="majorHAnsi" w:hAnsiTheme="majorHAnsi"/>
          <w:sz w:val="22"/>
          <w:szCs w:val="22"/>
        </w:rPr>
        <w:t xml:space="preserve"> to the Board and the GNSO Council</w:t>
      </w:r>
      <w:r>
        <w:rPr>
          <w:rFonts w:asciiTheme="majorHAnsi" w:hAnsiTheme="majorHAnsi"/>
          <w:sz w:val="22"/>
          <w:szCs w:val="22"/>
        </w:rPr>
        <w:t>, statements and Communiques.</w:t>
      </w:r>
    </w:p>
    <w:p w:rsidR="00E30253" w:rsidRDefault="00E30253" w:rsidP="00D6605E">
      <w:pPr>
        <w:rPr>
          <w:rFonts w:asciiTheme="majorHAnsi" w:hAnsiTheme="majorHAnsi"/>
          <w:sz w:val="22"/>
          <w:szCs w:val="22"/>
        </w:rPr>
      </w:pPr>
    </w:p>
    <w:p w:rsidR="00E30253" w:rsidRDefault="002B7C68" w:rsidP="00A665E4">
      <w:pPr>
        <w:ind w:firstLine="720"/>
        <w:rPr>
          <w:rFonts w:asciiTheme="majorHAnsi" w:hAnsiTheme="majorHAnsi"/>
          <w:sz w:val="22"/>
          <w:szCs w:val="22"/>
        </w:rPr>
      </w:pPr>
      <w:r>
        <w:rPr>
          <w:rFonts w:asciiTheme="majorHAnsi" w:hAnsiTheme="majorHAnsi"/>
          <w:sz w:val="22"/>
          <w:szCs w:val="22"/>
        </w:rPr>
        <w:t>C</w:t>
      </w:r>
      <w:r w:rsidR="00E30253">
        <w:rPr>
          <w:rFonts w:asciiTheme="majorHAnsi" w:hAnsiTheme="majorHAnsi"/>
          <w:sz w:val="22"/>
          <w:szCs w:val="22"/>
        </w:rPr>
        <w:t xml:space="preserve">ertain names and acronyms of these organizations are </w:t>
      </w:r>
      <w:r>
        <w:rPr>
          <w:rFonts w:asciiTheme="majorHAnsi" w:hAnsiTheme="majorHAnsi"/>
          <w:sz w:val="22"/>
          <w:szCs w:val="22"/>
        </w:rPr>
        <w:t xml:space="preserve">currently </w:t>
      </w:r>
      <w:r w:rsidR="00E30253">
        <w:rPr>
          <w:rFonts w:asciiTheme="majorHAnsi" w:hAnsiTheme="majorHAnsi"/>
          <w:sz w:val="22"/>
          <w:szCs w:val="22"/>
        </w:rPr>
        <w:t>protected at the top and second level – on an interim basis until a final policy solution is adopted – through various Resolutions passed by the ICANN Board between June 2011 and July 2013.</w:t>
      </w:r>
      <w:r w:rsidR="00A665E4">
        <w:rPr>
          <w:rFonts w:asciiTheme="majorHAnsi" w:hAnsiTheme="majorHAnsi"/>
          <w:sz w:val="22"/>
          <w:szCs w:val="22"/>
        </w:rPr>
        <w:t xml:space="preserve"> At the top level, these identifiers have been deemed to be strings ineligible for delegation, and at the second level, they are </w:t>
      </w:r>
      <w:r>
        <w:rPr>
          <w:rFonts w:asciiTheme="majorHAnsi" w:hAnsiTheme="majorHAnsi"/>
          <w:sz w:val="22"/>
          <w:szCs w:val="22"/>
        </w:rPr>
        <w:t xml:space="preserve">temporarily </w:t>
      </w:r>
      <w:r w:rsidR="00A665E4">
        <w:rPr>
          <w:rFonts w:asciiTheme="majorHAnsi" w:hAnsiTheme="majorHAnsi"/>
          <w:sz w:val="22"/>
          <w:szCs w:val="22"/>
        </w:rPr>
        <w:t xml:space="preserve">withheld from third party registration via </w:t>
      </w:r>
      <w:r>
        <w:rPr>
          <w:rFonts w:asciiTheme="majorHAnsi" w:hAnsiTheme="majorHAnsi"/>
          <w:sz w:val="22"/>
          <w:szCs w:val="22"/>
        </w:rPr>
        <w:t xml:space="preserve">inclusion in </w:t>
      </w:r>
      <w:r w:rsidR="00A665E4">
        <w:rPr>
          <w:rFonts w:asciiTheme="majorHAnsi" w:hAnsiTheme="majorHAnsi"/>
          <w:sz w:val="22"/>
          <w:szCs w:val="22"/>
        </w:rPr>
        <w:t>Specification 5 of the New gTLD Registry Agreement.</w:t>
      </w:r>
    </w:p>
    <w:p w:rsidR="00A665E4" w:rsidRDefault="00A665E4" w:rsidP="00A665E4">
      <w:pPr>
        <w:ind w:firstLine="720"/>
        <w:rPr>
          <w:rFonts w:asciiTheme="majorHAnsi" w:hAnsiTheme="majorHAnsi"/>
          <w:sz w:val="22"/>
          <w:szCs w:val="22"/>
        </w:rPr>
      </w:pPr>
    </w:p>
    <w:p w:rsidR="00A665E4" w:rsidRDefault="00A665E4" w:rsidP="00A665E4">
      <w:pPr>
        <w:ind w:firstLine="720"/>
        <w:rPr>
          <w:rFonts w:asciiTheme="majorHAnsi" w:hAnsiTheme="majorHAnsi"/>
          <w:sz w:val="22"/>
          <w:szCs w:val="22"/>
        </w:rPr>
      </w:pPr>
      <w:r>
        <w:rPr>
          <w:rFonts w:asciiTheme="majorHAnsi" w:hAnsiTheme="majorHAnsi"/>
          <w:sz w:val="22"/>
          <w:szCs w:val="22"/>
        </w:rPr>
        <w:t xml:space="preserve">Although the GNSO Council unanimously adopted all of the consensus recommendations made by the original IGO-INGO-PDP Working Group, only some of these recommendations have been approved by the ICANN Board to date. These are the recommendations that are not inconsistent with GAC advice received on the topic, and are described more fully in Part II below. Some remaining consensus recommendations – including those relating to IGO acronyms – are not consistent with GAC advice received and have yet to be </w:t>
      </w:r>
      <w:r>
        <w:rPr>
          <w:rFonts w:asciiTheme="majorHAnsi" w:hAnsiTheme="majorHAnsi"/>
          <w:sz w:val="22"/>
          <w:szCs w:val="22"/>
        </w:rPr>
        <w:lastRenderedPageBreak/>
        <w:t xml:space="preserve">approved by the ICANN Board. </w:t>
      </w:r>
      <w:r w:rsidR="002B7C68">
        <w:rPr>
          <w:rFonts w:asciiTheme="majorHAnsi" w:hAnsiTheme="majorHAnsi"/>
          <w:sz w:val="22"/>
          <w:szCs w:val="22"/>
        </w:rPr>
        <w:t xml:space="preserve">These are also described in Part II. </w:t>
      </w:r>
      <w:r>
        <w:rPr>
          <w:rFonts w:asciiTheme="majorHAnsi" w:hAnsiTheme="majorHAnsi"/>
          <w:sz w:val="22"/>
          <w:szCs w:val="22"/>
        </w:rPr>
        <w:t xml:space="preserve">The Board is actively engaging with the GAC and the GNSO to facilitate a reconciliation of the inconsistencies. </w:t>
      </w:r>
    </w:p>
    <w:p w:rsidR="00A665E4" w:rsidRDefault="00A665E4" w:rsidP="00A665E4">
      <w:pPr>
        <w:ind w:firstLine="720"/>
        <w:rPr>
          <w:rFonts w:asciiTheme="majorHAnsi" w:hAnsiTheme="majorHAnsi"/>
          <w:sz w:val="22"/>
          <w:szCs w:val="22"/>
        </w:rPr>
      </w:pPr>
    </w:p>
    <w:p w:rsidR="00A665E4" w:rsidRDefault="00A665E4" w:rsidP="00A665E4">
      <w:pPr>
        <w:ind w:firstLine="720"/>
        <w:rPr>
          <w:rFonts w:asciiTheme="majorHAnsi" w:hAnsiTheme="majorHAnsi"/>
          <w:sz w:val="22"/>
          <w:szCs w:val="22"/>
        </w:rPr>
      </w:pPr>
      <w:r>
        <w:rPr>
          <w:rFonts w:asciiTheme="majorHAnsi" w:hAnsiTheme="majorHAnsi"/>
          <w:sz w:val="22"/>
          <w:szCs w:val="22"/>
        </w:rPr>
        <w:t>The Board has recognized that the issue of IGO and INGO curative rights protection (i.e. mechanisms for resolving domain name disputes between IGOs or INGOs with third party registrants) is being explored by the current IGO-INGO CRP Working Group. While its ongoing dialogue with the GAC and the GNSO may result in certain amendments to the preventative rights protection mechanisms available to IGOs and INGOs (for example, the duration of Trademark Clearinghouse and claims notice protection), it does not supersede the role of this WG nor its work and ultimate recommendations.</w:t>
      </w:r>
    </w:p>
    <w:p w:rsidR="00E30253" w:rsidRDefault="00E30253" w:rsidP="00D6605E">
      <w:pPr>
        <w:rPr>
          <w:rFonts w:asciiTheme="majorHAnsi" w:hAnsiTheme="majorHAnsi"/>
          <w:sz w:val="22"/>
          <w:szCs w:val="22"/>
        </w:rPr>
      </w:pPr>
    </w:p>
    <w:p w:rsidR="00A665E4" w:rsidRPr="00A665E4" w:rsidRDefault="00A665E4" w:rsidP="00D6605E">
      <w:pPr>
        <w:rPr>
          <w:rFonts w:asciiTheme="majorHAnsi" w:hAnsiTheme="majorHAnsi"/>
          <w:i/>
          <w:sz w:val="22"/>
          <w:szCs w:val="22"/>
        </w:rPr>
      </w:pPr>
      <w:r w:rsidRPr="00A665E4">
        <w:rPr>
          <w:rFonts w:asciiTheme="majorHAnsi" w:hAnsiTheme="majorHAnsi"/>
          <w:i/>
          <w:sz w:val="22"/>
          <w:szCs w:val="22"/>
        </w:rPr>
        <w:t>Key Dates:</w:t>
      </w:r>
    </w:p>
    <w:p w:rsidR="00E30253" w:rsidRPr="002E280A" w:rsidRDefault="00E30253" w:rsidP="00D6605E">
      <w:pPr>
        <w:rPr>
          <w:rFonts w:asciiTheme="majorHAnsi" w:hAnsiTheme="majorHAnsi"/>
          <w:sz w:val="22"/>
          <w:szCs w:val="22"/>
        </w:rPr>
      </w:pPr>
    </w:p>
    <w:p w:rsidR="002E280A" w:rsidRPr="002E280A" w:rsidRDefault="002E280A" w:rsidP="005E6CD8">
      <w:pPr>
        <w:ind w:firstLine="720"/>
        <w:rPr>
          <w:rFonts w:asciiTheme="majorHAnsi" w:hAnsiTheme="majorHAnsi"/>
          <w:sz w:val="22"/>
          <w:szCs w:val="22"/>
        </w:rPr>
      </w:pPr>
      <w:r w:rsidRPr="002E280A">
        <w:rPr>
          <w:rFonts w:asciiTheme="majorHAnsi" w:hAnsiTheme="majorHAnsi"/>
          <w:sz w:val="22"/>
          <w:szCs w:val="22"/>
        </w:rPr>
        <w:t xml:space="preserve">On </w:t>
      </w:r>
      <w:r w:rsidR="00861A32">
        <w:rPr>
          <w:rFonts w:asciiTheme="majorHAnsi" w:hAnsiTheme="majorHAnsi"/>
          <w:b/>
          <w:sz w:val="22"/>
          <w:szCs w:val="22"/>
        </w:rPr>
        <w:t xml:space="preserve">17 </w:t>
      </w:r>
      <w:r w:rsidR="00926E78">
        <w:rPr>
          <w:rFonts w:asciiTheme="majorHAnsi" w:hAnsiTheme="majorHAnsi"/>
          <w:b/>
          <w:sz w:val="22"/>
          <w:szCs w:val="22"/>
        </w:rPr>
        <w:t>October 2012</w:t>
      </w:r>
      <w:r w:rsidRPr="002E280A">
        <w:rPr>
          <w:rFonts w:asciiTheme="majorHAnsi" w:hAnsiTheme="majorHAnsi"/>
          <w:sz w:val="22"/>
          <w:szCs w:val="22"/>
        </w:rPr>
        <w:t xml:space="preserve"> the GNSO Council </w:t>
      </w:r>
      <w:hyperlink r:id="rId8" w:anchor="201210" w:history="1">
        <w:r w:rsidR="00926E78">
          <w:rPr>
            <w:rStyle w:val="Hyperlink"/>
            <w:rFonts w:asciiTheme="majorHAnsi" w:hAnsiTheme="majorHAnsi"/>
            <w:sz w:val="22"/>
            <w:szCs w:val="22"/>
          </w:rPr>
          <w:t>resolved</w:t>
        </w:r>
      </w:hyperlink>
      <w:r w:rsidR="00926E78">
        <w:rPr>
          <w:rFonts w:asciiTheme="majorHAnsi" w:hAnsiTheme="majorHAnsi"/>
          <w:sz w:val="22"/>
          <w:szCs w:val="22"/>
        </w:rPr>
        <w:t xml:space="preserve"> </w:t>
      </w:r>
      <w:r w:rsidRPr="002E280A">
        <w:rPr>
          <w:rFonts w:asciiTheme="majorHAnsi" w:hAnsiTheme="majorHAnsi"/>
          <w:sz w:val="22"/>
          <w:szCs w:val="22"/>
        </w:rPr>
        <w:t>to initiate a</w:t>
      </w:r>
      <w:r w:rsidR="00926E78">
        <w:rPr>
          <w:rFonts w:asciiTheme="majorHAnsi" w:hAnsiTheme="majorHAnsi"/>
          <w:sz w:val="22"/>
          <w:szCs w:val="22"/>
        </w:rPr>
        <w:t>n expedited</w:t>
      </w:r>
      <w:r w:rsidRPr="002E280A">
        <w:rPr>
          <w:rFonts w:asciiTheme="majorHAnsi" w:hAnsiTheme="majorHAnsi"/>
          <w:sz w:val="22"/>
          <w:szCs w:val="22"/>
        </w:rPr>
        <w:t xml:space="preserve"> Policy </w:t>
      </w:r>
      <w:r w:rsidR="00427EF8">
        <w:rPr>
          <w:rFonts w:asciiTheme="majorHAnsi" w:hAnsiTheme="majorHAnsi"/>
          <w:sz w:val="22"/>
          <w:szCs w:val="22"/>
        </w:rPr>
        <w:t>Development Process (PDP)</w:t>
      </w:r>
      <w:r w:rsidRPr="002E280A">
        <w:rPr>
          <w:rFonts w:asciiTheme="majorHAnsi" w:hAnsiTheme="majorHAnsi"/>
          <w:sz w:val="22"/>
          <w:szCs w:val="22"/>
        </w:rPr>
        <w:t xml:space="preserve"> to </w:t>
      </w:r>
      <w:r w:rsidR="00926E78">
        <w:rPr>
          <w:rFonts w:asciiTheme="majorHAnsi" w:hAnsiTheme="majorHAnsi"/>
          <w:sz w:val="22"/>
          <w:szCs w:val="22"/>
        </w:rPr>
        <w:t xml:space="preserve">evaluate </w:t>
      </w:r>
      <w:r w:rsidR="004551D1" w:rsidRPr="00427EF8">
        <w:rPr>
          <w:rFonts w:asciiTheme="majorHAnsi" w:hAnsiTheme="majorHAnsi"/>
          <w:i/>
          <w:sz w:val="22"/>
          <w:szCs w:val="22"/>
        </w:rPr>
        <w:t>“</w:t>
      </w:r>
      <w:r w:rsidR="004551D1" w:rsidRPr="00427EF8">
        <w:rPr>
          <w:rFonts w:asciiTheme="majorHAnsi" w:eastAsia="Times New Roman" w:hAnsiTheme="majorHAnsi" w:cs="Arial"/>
          <w:i/>
          <w:sz w:val="22"/>
          <w:szCs w:val="22"/>
          <w:shd w:val="clear" w:color="auto" w:fill="FFFFFF"/>
        </w:rPr>
        <w:t>(i</w:t>
      </w:r>
      <w:r w:rsidR="00926E78" w:rsidRPr="00427EF8">
        <w:rPr>
          <w:rFonts w:asciiTheme="majorHAnsi" w:eastAsia="Times New Roman" w:hAnsiTheme="majorHAnsi" w:cs="Arial"/>
          <w:i/>
          <w:sz w:val="22"/>
          <w:szCs w:val="22"/>
          <w:shd w:val="clear" w:color="auto" w:fill="FFFFFF"/>
        </w:rPr>
        <w:t>) whether there is a need for special protections at the top and second level in all gTLDs for the names of the following types of international organizations: International Governmental Organizations (IGOs) and international non-governmental organizations (INGOs) receiving protections under treaties and statutes under multiple jurisdictions, and specifically including the Red Cross/Red Crescent Movement (RCRC) and the International Olympic Committee (IOC), and (ii) if so, to develop policy recommendations for such protections</w:t>
      </w:r>
      <w:r w:rsidR="004551D1" w:rsidRPr="00427EF8">
        <w:rPr>
          <w:rFonts w:asciiTheme="majorHAnsi" w:eastAsia="Times New Roman" w:hAnsiTheme="majorHAnsi" w:cs="Arial"/>
          <w:i/>
          <w:sz w:val="22"/>
          <w:szCs w:val="22"/>
          <w:shd w:val="clear" w:color="auto" w:fill="FFFFFF"/>
        </w:rPr>
        <w:t>”</w:t>
      </w:r>
      <w:r w:rsidRPr="004551D1">
        <w:rPr>
          <w:rFonts w:asciiTheme="majorHAnsi" w:hAnsiTheme="majorHAnsi"/>
          <w:sz w:val="22"/>
          <w:szCs w:val="22"/>
        </w:rPr>
        <w:t>.</w:t>
      </w:r>
      <w:r w:rsidRPr="002E280A">
        <w:rPr>
          <w:rFonts w:asciiTheme="majorHAnsi" w:hAnsiTheme="majorHAnsi"/>
          <w:sz w:val="22"/>
          <w:szCs w:val="22"/>
        </w:rPr>
        <w:t xml:space="preserve"> On </w:t>
      </w:r>
      <w:r w:rsidR="004551D1">
        <w:rPr>
          <w:rFonts w:asciiTheme="majorHAnsi" w:hAnsiTheme="majorHAnsi"/>
          <w:b/>
          <w:sz w:val="22"/>
          <w:szCs w:val="22"/>
        </w:rPr>
        <w:t>15 November 2012</w:t>
      </w:r>
      <w:r w:rsidRPr="002E280A">
        <w:rPr>
          <w:rFonts w:asciiTheme="majorHAnsi" w:hAnsiTheme="majorHAnsi"/>
          <w:sz w:val="22"/>
          <w:szCs w:val="22"/>
        </w:rPr>
        <w:t xml:space="preserve"> the GNSO Council approved the</w:t>
      </w:r>
      <w:r w:rsidRPr="004551D1">
        <w:rPr>
          <w:rFonts w:asciiTheme="majorHAnsi" w:hAnsiTheme="majorHAnsi"/>
          <w:sz w:val="22"/>
          <w:szCs w:val="22"/>
        </w:rPr>
        <w:t xml:space="preserve"> </w:t>
      </w:r>
      <w:hyperlink r:id="rId9" w:history="1">
        <w:r w:rsidR="004551D1" w:rsidRPr="004551D1">
          <w:rPr>
            <w:rStyle w:val="Hyperlink"/>
            <w:rFonts w:asciiTheme="majorHAnsi" w:hAnsiTheme="majorHAnsi"/>
            <w:sz w:val="22"/>
            <w:szCs w:val="22"/>
          </w:rPr>
          <w:t>Charter</w:t>
        </w:r>
      </w:hyperlink>
      <w:r w:rsidR="004551D1">
        <w:rPr>
          <w:rStyle w:val="Hyperlink"/>
          <w:rFonts w:asciiTheme="majorHAnsi" w:eastAsia="Times New Roman" w:hAnsiTheme="majorHAnsi" w:cs="Arial"/>
          <w:sz w:val="22"/>
          <w:szCs w:val="22"/>
          <w:shd w:val="clear" w:color="auto" w:fill="FFFFFF"/>
        </w:rPr>
        <w:t xml:space="preserve"> </w:t>
      </w:r>
      <w:r w:rsidR="006D0C96">
        <w:rPr>
          <w:rFonts w:asciiTheme="majorHAnsi" w:hAnsiTheme="majorHAnsi"/>
          <w:sz w:val="22"/>
          <w:szCs w:val="22"/>
        </w:rPr>
        <w:t>for the</w:t>
      </w:r>
      <w:r w:rsidRPr="002E280A">
        <w:rPr>
          <w:rFonts w:asciiTheme="majorHAnsi" w:hAnsiTheme="majorHAnsi"/>
          <w:sz w:val="22"/>
          <w:szCs w:val="22"/>
        </w:rPr>
        <w:t xml:space="preserve"> Working Group </w:t>
      </w:r>
      <w:r w:rsidR="002A7410">
        <w:rPr>
          <w:rFonts w:asciiTheme="majorHAnsi" w:hAnsiTheme="majorHAnsi"/>
          <w:sz w:val="22"/>
          <w:szCs w:val="22"/>
        </w:rPr>
        <w:t xml:space="preserve">(WG) </w:t>
      </w:r>
      <w:r w:rsidR="004551D1">
        <w:rPr>
          <w:rFonts w:asciiTheme="majorHAnsi" w:hAnsiTheme="majorHAnsi"/>
          <w:sz w:val="22"/>
          <w:szCs w:val="22"/>
        </w:rPr>
        <w:t>to be formed for the</w:t>
      </w:r>
      <w:r w:rsidRPr="002E280A">
        <w:rPr>
          <w:rFonts w:asciiTheme="majorHAnsi" w:hAnsiTheme="majorHAnsi"/>
          <w:sz w:val="22"/>
          <w:szCs w:val="22"/>
        </w:rPr>
        <w:t xml:space="preserve"> PDP. </w:t>
      </w:r>
      <w:r w:rsidR="006D0C96">
        <w:rPr>
          <w:rFonts w:asciiTheme="majorHAnsi" w:hAnsiTheme="majorHAnsi"/>
          <w:sz w:val="22"/>
          <w:szCs w:val="22"/>
        </w:rPr>
        <w:t xml:space="preserve">The WG published its </w:t>
      </w:r>
      <w:hyperlink r:id="rId10" w:history="1">
        <w:r w:rsidR="006D0C96">
          <w:rPr>
            <w:rStyle w:val="Hyperlink"/>
            <w:rFonts w:asciiTheme="majorHAnsi" w:hAnsiTheme="majorHAnsi"/>
            <w:sz w:val="22"/>
            <w:szCs w:val="22"/>
          </w:rPr>
          <w:t>Initial Report</w:t>
        </w:r>
      </w:hyperlink>
      <w:r w:rsidR="006D0C96">
        <w:rPr>
          <w:rFonts w:asciiTheme="majorHAnsi" w:hAnsiTheme="majorHAnsi"/>
          <w:sz w:val="22"/>
          <w:szCs w:val="22"/>
        </w:rPr>
        <w:t xml:space="preserve"> for public comment in June 2013, and its </w:t>
      </w:r>
      <w:hyperlink r:id="rId11" w:history="1">
        <w:r w:rsidR="006D0C96">
          <w:rPr>
            <w:rStyle w:val="Hyperlink"/>
            <w:rFonts w:asciiTheme="majorHAnsi" w:hAnsiTheme="majorHAnsi"/>
            <w:sz w:val="22"/>
            <w:szCs w:val="22"/>
          </w:rPr>
          <w:t>Final Report</w:t>
        </w:r>
      </w:hyperlink>
      <w:r w:rsidR="006D0C96">
        <w:rPr>
          <w:rFonts w:asciiTheme="majorHAnsi" w:hAnsiTheme="majorHAnsi"/>
          <w:sz w:val="22"/>
          <w:szCs w:val="22"/>
        </w:rPr>
        <w:t xml:space="preserve"> – prepared after reviewing public comments </w:t>
      </w:r>
      <w:hyperlink r:id="rId12" w:history="1">
        <w:r w:rsidR="006D0C96">
          <w:rPr>
            <w:rStyle w:val="Hyperlink"/>
            <w:rFonts w:asciiTheme="majorHAnsi" w:hAnsiTheme="majorHAnsi"/>
            <w:sz w:val="22"/>
            <w:szCs w:val="22"/>
          </w:rPr>
          <w:t>received</w:t>
        </w:r>
      </w:hyperlink>
      <w:r w:rsidR="006D0C96">
        <w:rPr>
          <w:rFonts w:asciiTheme="majorHAnsi" w:hAnsiTheme="majorHAnsi"/>
          <w:sz w:val="22"/>
          <w:szCs w:val="22"/>
        </w:rPr>
        <w:t xml:space="preserve"> and containing several </w:t>
      </w:r>
      <w:hyperlink r:id="rId13" w:history="1">
        <w:r w:rsidR="006D0C96">
          <w:rPr>
            <w:rStyle w:val="Hyperlink"/>
            <w:rFonts w:asciiTheme="majorHAnsi" w:hAnsiTheme="majorHAnsi"/>
            <w:sz w:val="22"/>
            <w:szCs w:val="22"/>
          </w:rPr>
          <w:t>Minority Positions</w:t>
        </w:r>
      </w:hyperlink>
      <w:r w:rsidR="006D0C96">
        <w:rPr>
          <w:rFonts w:asciiTheme="majorHAnsi" w:hAnsiTheme="majorHAnsi"/>
          <w:sz w:val="22"/>
          <w:szCs w:val="22"/>
        </w:rPr>
        <w:t xml:space="preserve"> – was published on </w:t>
      </w:r>
      <w:r w:rsidR="006D0C96" w:rsidRPr="006D0C96">
        <w:rPr>
          <w:rFonts w:asciiTheme="majorHAnsi" w:hAnsiTheme="majorHAnsi"/>
          <w:b/>
          <w:sz w:val="22"/>
          <w:szCs w:val="22"/>
        </w:rPr>
        <w:t>10 November 2013</w:t>
      </w:r>
      <w:r w:rsidR="006D0C96">
        <w:rPr>
          <w:rFonts w:asciiTheme="majorHAnsi" w:hAnsiTheme="majorHAnsi"/>
          <w:sz w:val="22"/>
          <w:szCs w:val="22"/>
        </w:rPr>
        <w:t xml:space="preserve">. On </w:t>
      </w:r>
      <w:r w:rsidR="006D0C96" w:rsidRPr="006D0C96">
        <w:rPr>
          <w:rFonts w:asciiTheme="majorHAnsi" w:hAnsiTheme="majorHAnsi"/>
          <w:b/>
          <w:sz w:val="22"/>
          <w:szCs w:val="22"/>
        </w:rPr>
        <w:t>20 November 2013</w:t>
      </w:r>
      <w:r w:rsidR="006D0C96">
        <w:rPr>
          <w:rFonts w:asciiTheme="majorHAnsi" w:hAnsiTheme="majorHAnsi"/>
          <w:sz w:val="22"/>
          <w:szCs w:val="22"/>
        </w:rPr>
        <w:t xml:space="preserve"> the GNSO Council </w:t>
      </w:r>
      <w:hyperlink r:id="rId14" w:anchor="20131120-2" w:history="1">
        <w:r w:rsidR="006D0C96">
          <w:rPr>
            <w:rStyle w:val="Hyperlink"/>
            <w:rFonts w:asciiTheme="majorHAnsi" w:hAnsiTheme="majorHAnsi"/>
            <w:sz w:val="22"/>
            <w:szCs w:val="22"/>
          </w:rPr>
          <w:t>approved</w:t>
        </w:r>
      </w:hyperlink>
      <w:r w:rsidR="006D0C96">
        <w:rPr>
          <w:rFonts w:asciiTheme="majorHAnsi" w:hAnsiTheme="majorHAnsi"/>
          <w:sz w:val="22"/>
          <w:szCs w:val="22"/>
        </w:rPr>
        <w:t xml:space="preserve"> unanimously all the consensus recommendations of the PDP WG and</w:t>
      </w:r>
      <w:r w:rsidR="006D0C96" w:rsidRPr="006D0C96">
        <w:t xml:space="preserve"> </w:t>
      </w:r>
      <w:hyperlink r:id="rId15" w:history="1">
        <w:r w:rsidR="006D0C96">
          <w:rPr>
            <w:rStyle w:val="Hyperlink"/>
            <w:rFonts w:asciiTheme="majorHAnsi" w:hAnsiTheme="majorHAnsi"/>
            <w:sz w:val="22"/>
            <w:szCs w:val="22"/>
          </w:rPr>
          <w:t>sent</w:t>
        </w:r>
      </w:hyperlink>
      <w:r w:rsidR="006D0C96">
        <w:rPr>
          <w:rFonts w:asciiTheme="majorHAnsi" w:hAnsiTheme="majorHAnsi"/>
          <w:sz w:val="22"/>
          <w:szCs w:val="22"/>
        </w:rPr>
        <w:t xml:space="preserve"> them on to the ICANN Board for review on </w:t>
      </w:r>
      <w:r w:rsidR="006D0C96" w:rsidRPr="006D0C96">
        <w:rPr>
          <w:rFonts w:asciiTheme="majorHAnsi" w:hAnsiTheme="majorHAnsi"/>
          <w:b/>
          <w:sz w:val="22"/>
          <w:szCs w:val="22"/>
        </w:rPr>
        <w:t>23 January 2014</w:t>
      </w:r>
      <w:r w:rsidR="006D0C96">
        <w:rPr>
          <w:rFonts w:asciiTheme="majorHAnsi" w:hAnsiTheme="majorHAnsi"/>
          <w:sz w:val="22"/>
          <w:szCs w:val="22"/>
        </w:rPr>
        <w:t>.</w:t>
      </w:r>
    </w:p>
    <w:p w:rsidR="002E280A" w:rsidRDefault="002E280A" w:rsidP="00D6605E">
      <w:pPr>
        <w:rPr>
          <w:rFonts w:asciiTheme="majorHAnsi" w:hAnsiTheme="majorHAnsi"/>
          <w:sz w:val="22"/>
          <w:szCs w:val="22"/>
        </w:rPr>
      </w:pPr>
    </w:p>
    <w:p w:rsidR="006D0C96" w:rsidRDefault="006D0C96" w:rsidP="00D6605E">
      <w:pPr>
        <w:rPr>
          <w:rFonts w:asciiTheme="majorHAnsi" w:eastAsia="Times New Roman" w:hAnsiTheme="majorHAnsi" w:cs="Times New Roman"/>
          <w:color w:val="333333"/>
          <w:sz w:val="22"/>
          <w:szCs w:val="22"/>
          <w:shd w:val="clear" w:color="auto" w:fill="FFFFFF"/>
        </w:rPr>
      </w:pPr>
      <w:r>
        <w:rPr>
          <w:rFonts w:asciiTheme="majorHAnsi" w:hAnsiTheme="majorHAnsi"/>
          <w:sz w:val="22"/>
          <w:szCs w:val="22"/>
        </w:rPr>
        <w:tab/>
        <w:t xml:space="preserve">On </w:t>
      </w:r>
      <w:r w:rsidRPr="00030499">
        <w:rPr>
          <w:rFonts w:asciiTheme="majorHAnsi" w:hAnsiTheme="majorHAnsi"/>
          <w:b/>
          <w:sz w:val="22"/>
          <w:szCs w:val="22"/>
        </w:rPr>
        <w:t>7 February 2014</w:t>
      </w:r>
      <w:r>
        <w:rPr>
          <w:rFonts w:asciiTheme="majorHAnsi" w:hAnsiTheme="majorHAnsi"/>
          <w:sz w:val="22"/>
          <w:szCs w:val="22"/>
        </w:rPr>
        <w:t>, the ICANN Board acknowledged receipt of the GNSO Council’s recommendations and directed its New gTLD Program Committee (NGPC) to:</w:t>
      </w:r>
      <w:r w:rsidRPr="006D0C96">
        <w:rPr>
          <w:rFonts w:asciiTheme="majorHAnsi" w:hAnsiTheme="majorHAnsi"/>
          <w:sz w:val="22"/>
          <w:szCs w:val="22"/>
        </w:rPr>
        <w:t xml:space="preserve"> </w:t>
      </w:r>
      <w:r w:rsidRPr="00427EF8">
        <w:rPr>
          <w:rFonts w:asciiTheme="majorHAnsi" w:hAnsiTheme="majorHAnsi"/>
          <w:i/>
          <w:sz w:val="22"/>
          <w:szCs w:val="22"/>
        </w:rPr>
        <w:t>“</w:t>
      </w:r>
      <w:r w:rsidRPr="00427EF8">
        <w:rPr>
          <w:rStyle w:val="apple-converted-space"/>
          <w:rFonts w:asciiTheme="majorHAnsi" w:eastAsia="Times New Roman" w:hAnsiTheme="majorHAnsi" w:cs="Times New Roman"/>
          <w:i/>
          <w:color w:val="333333"/>
          <w:sz w:val="22"/>
          <w:szCs w:val="22"/>
          <w:shd w:val="clear" w:color="auto" w:fill="FFFFFF"/>
        </w:rPr>
        <w:t xml:space="preserve">(1) </w:t>
      </w:r>
      <w:r w:rsidRPr="00427EF8">
        <w:rPr>
          <w:rFonts w:asciiTheme="majorHAnsi" w:eastAsia="Times New Roman" w:hAnsiTheme="majorHAnsi" w:cs="Times New Roman"/>
          <w:i/>
          <w:color w:val="333333"/>
          <w:sz w:val="22"/>
          <w:szCs w:val="22"/>
          <w:shd w:val="clear" w:color="auto" w:fill="FFFFFF"/>
        </w:rPr>
        <w:t>consider the policy recommendations from the</w:t>
      </w:r>
      <w:r w:rsidRPr="00427EF8">
        <w:rPr>
          <w:rStyle w:val="apple-converted-space"/>
          <w:rFonts w:asciiTheme="majorHAnsi" w:eastAsia="Times New Roman" w:hAnsiTheme="majorHAnsi" w:cs="Times New Roman"/>
          <w:i/>
          <w:color w:val="333333"/>
          <w:sz w:val="22"/>
          <w:szCs w:val="22"/>
          <w:shd w:val="clear" w:color="auto" w:fill="FFFFFF"/>
        </w:rPr>
        <w:t> </w:t>
      </w:r>
      <w:r w:rsidRPr="00427EF8">
        <w:rPr>
          <w:rFonts w:asciiTheme="majorHAnsi" w:eastAsia="Times New Roman" w:hAnsiTheme="majorHAnsi" w:cs="Times New Roman"/>
          <w:i/>
          <w:sz w:val="22"/>
          <w:szCs w:val="22"/>
        </w:rPr>
        <w:t>GNSO</w:t>
      </w:r>
      <w:r w:rsidRPr="00427EF8">
        <w:rPr>
          <w:rStyle w:val="apple-converted-space"/>
          <w:rFonts w:asciiTheme="majorHAnsi" w:eastAsia="Times New Roman" w:hAnsiTheme="majorHAnsi" w:cs="Times New Roman"/>
          <w:i/>
          <w:color w:val="333333"/>
          <w:sz w:val="22"/>
          <w:szCs w:val="22"/>
          <w:shd w:val="clear" w:color="auto" w:fill="FFFFFF"/>
        </w:rPr>
        <w:t> </w:t>
      </w:r>
      <w:r w:rsidRPr="00427EF8">
        <w:rPr>
          <w:rFonts w:asciiTheme="majorHAnsi" w:eastAsia="Times New Roman" w:hAnsiTheme="majorHAnsi" w:cs="Times New Roman"/>
          <w:i/>
          <w:color w:val="333333"/>
          <w:sz w:val="22"/>
          <w:szCs w:val="22"/>
          <w:shd w:val="clear" w:color="auto" w:fill="FFFFFF"/>
        </w:rPr>
        <w:t>as it continues to actively develop an approach to respond to the</w:t>
      </w:r>
      <w:r w:rsidRPr="00427EF8">
        <w:rPr>
          <w:rStyle w:val="apple-converted-space"/>
          <w:rFonts w:asciiTheme="majorHAnsi" w:eastAsia="Times New Roman" w:hAnsiTheme="majorHAnsi" w:cs="Times New Roman"/>
          <w:i/>
          <w:color w:val="333333"/>
          <w:sz w:val="22"/>
          <w:szCs w:val="22"/>
          <w:shd w:val="clear" w:color="auto" w:fill="FFFFFF"/>
        </w:rPr>
        <w:t> </w:t>
      </w:r>
      <w:r w:rsidRPr="00427EF8">
        <w:rPr>
          <w:rFonts w:asciiTheme="majorHAnsi" w:eastAsia="Times New Roman" w:hAnsiTheme="majorHAnsi" w:cs="Times New Roman"/>
          <w:i/>
          <w:sz w:val="22"/>
          <w:szCs w:val="22"/>
        </w:rPr>
        <w:t>GAC</w:t>
      </w:r>
      <w:r w:rsidRPr="00427EF8">
        <w:rPr>
          <w:rStyle w:val="apple-converted-space"/>
          <w:rFonts w:asciiTheme="majorHAnsi" w:eastAsia="Times New Roman" w:hAnsiTheme="majorHAnsi" w:cs="Times New Roman"/>
          <w:i/>
          <w:color w:val="333333"/>
          <w:sz w:val="22"/>
          <w:szCs w:val="22"/>
          <w:shd w:val="clear" w:color="auto" w:fill="FFFFFF"/>
        </w:rPr>
        <w:t> </w:t>
      </w:r>
      <w:r w:rsidRPr="00427EF8">
        <w:rPr>
          <w:rFonts w:asciiTheme="majorHAnsi" w:eastAsia="Times New Roman" w:hAnsiTheme="majorHAnsi" w:cs="Times New Roman"/>
          <w:i/>
          <w:color w:val="333333"/>
          <w:sz w:val="22"/>
          <w:szCs w:val="22"/>
          <w:shd w:val="clear" w:color="auto" w:fill="FFFFFF"/>
        </w:rPr>
        <w:t>advice</w:t>
      </w:r>
      <w:r w:rsidR="00BA4FCB">
        <w:rPr>
          <w:rStyle w:val="FootnoteReference"/>
          <w:rFonts w:asciiTheme="majorHAnsi" w:eastAsia="Times New Roman" w:hAnsiTheme="majorHAnsi" w:cs="Times New Roman"/>
          <w:i/>
          <w:color w:val="333333"/>
          <w:sz w:val="22"/>
          <w:szCs w:val="22"/>
          <w:shd w:val="clear" w:color="auto" w:fill="FFFFFF"/>
        </w:rPr>
        <w:footnoteReference w:id="1"/>
      </w:r>
      <w:r w:rsidRPr="00427EF8">
        <w:rPr>
          <w:rFonts w:asciiTheme="majorHAnsi" w:eastAsia="Times New Roman" w:hAnsiTheme="majorHAnsi" w:cs="Times New Roman"/>
          <w:i/>
          <w:color w:val="333333"/>
          <w:sz w:val="22"/>
          <w:szCs w:val="22"/>
          <w:shd w:val="clear" w:color="auto" w:fill="FFFFFF"/>
        </w:rPr>
        <w:t xml:space="preserve"> on protections for IGOs; and (2) develop a comprehensive proposal to address the</w:t>
      </w:r>
      <w:r w:rsidRPr="00427EF8">
        <w:rPr>
          <w:rStyle w:val="apple-converted-space"/>
          <w:rFonts w:asciiTheme="majorHAnsi" w:eastAsia="Times New Roman" w:hAnsiTheme="majorHAnsi" w:cs="Times New Roman"/>
          <w:i/>
          <w:color w:val="333333"/>
          <w:sz w:val="22"/>
          <w:szCs w:val="22"/>
          <w:shd w:val="clear" w:color="auto" w:fill="FFFFFF"/>
        </w:rPr>
        <w:t> </w:t>
      </w:r>
      <w:r w:rsidRPr="00427EF8">
        <w:rPr>
          <w:rFonts w:asciiTheme="majorHAnsi" w:eastAsia="Times New Roman" w:hAnsiTheme="majorHAnsi" w:cs="Times New Roman"/>
          <w:i/>
          <w:sz w:val="22"/>
          <w:szCs w:val="22"/>
        </w:rPr>
        <w:t>GAC</w:t>
      </w:r>
      <w:r w:rsidRPr="00427EF8">
        <w:rPr>
          <w:rStyle w:val="apple-converted-space"/>
          <w:rFonts w:asciiTheme="majorHAnsi" w:eastAsia="Times New Roman" w:hAnsiTheme="majorHAnsi" w:cs="Times New Roman"/>
          <w:i/>
          <w:color w:val="333333"/>
          <w:sz w:val="22"/>
          <w:szCs w:val="22"/>
          <w:shd w:val="clear" w:color="auto" w:fill="FFFFFF"/>
        </w:rPr>
        <w:t> </w:t>
      </w:r>
      <w:r w:rsidRPr="00427EF8">
        <w:rPr>
          <w:rFonts w:asciiTheme="majorHAnsi" w:eastAsia="Times New Roman" w:hAnsiTheme="majorHAnsi" w:cs="Times New Roman"/>
          <w:i/>
          <w:color w:val="333333"/>
          <w:sz w:val="22"/>
          <w:szCs w:val="22"/>
          <w:shd w:val="clear" w:color="auto" w:fill="FFFFFF"/>
        </w:rPr>
        <w:t>advice and the</w:t>
      </w:r>
      <w:r w:rsidRPr="00427EF8">
        <w:rPr>
          <w:rStyle w:val="apple-converted-space"/>
          <w:rFonts w:asciiTheme="majorHAnsi" w:eastAsia="Times New Roman" w:hAnsiTheme="majorHAnsi" w:cs="Times New Roman"/>
          <w:i/>
          <w:color w:val="333333"/>
          <w:sz w:val="22"/>
          <w:szCs w:val="22"/>
          <w:shd w:val="clear" w:color="auto" w:fill="FFFFFF"/>
        </w:rPr>
        <w:t> </w:t>
      </w:r>
      <w:r w:rsidRPr="00427EF8">
        <w:rPr>
          <w:rFonts w:asciiTheme="majorHAnsi" w:eastAsia="Times New Roman" w:hAnsiTheme="majorHAnsi" w:cs="Times New Roman"/>
          <w:i/>
          <w:sz w:val="22"/>
          <w:szCs w:val="22"/>
        </w:rPr>
        <w:t>GNSO</w:t>
      </w:r>
      <w:r w:rsidRPr="00427EF8">
        <w:rPr>
          <w:rStyle w:val="apple-converted-space"/>
          <w:rFonts w:asciiTheme="majorHAnsi" w:eastAsia="Times New Roman" w:hAnsiTheme="majorHAnsi" w:cs="Times New Roman"/>
          <w:i/>
          <w:color w:val="333333"/>
          <w:sz w:val="22"/>
          <w:szCs w:val="22"/>
          <w:shd w:val="clear" w:color="auto" w:fill="FFFFFF"/>
        </w:rPr>
        <w:t> </w:t>
      </w:r>
      <w:r w:rsidRPr="00427EF8">
        <w:rPr>
          <w:rFonts w:asciiTheme="majorHAnsi" w:eastAsia="Times New Roman" w:hAnsiTheme="majorHAnsi" w:cs="Times New Roman"/>
          <w:i/>
          <w:color w:val="333333"/>
          <w:sz w:val="22"/>
          <w:szCs w:val="22"/>
          <w:shd w:val="clear" w:color="auto" w:fill="FFFFFF"/>
        </w:rPr>
        <w:t>policy recommendations for consideration by the Board at a subsequent meeting”</w:t>
      </w:r>
      <w:r w:rsidR="00427EF8">
        <w:rPr>
          <w:rFonts w:asciiTheme="majorHAnsi" w:eastAsia="Times New Roman" w:hAnsiTheme="majorHAnsi" w:cs="Times New Roman"/>
          <w:i/>
          <w:color w:val="333333"/>
          <w:sz w:val="22"/>
          <w:szCs w:val="22"/>
          <w:shd w:val="clear" w:color="auto" w:fill="FFFFFF"/>
        </w:rPr>
        <w:t>.</w:t>
      </w:r>
      <w:r>
        <w:rPr>
          <w:rFonts w:asciiTheme="majorHAnsi" w:eastAsia="Times New Roman" w:hAnsiTheme="majorHAnsi" w:cs="Times New Roman"/>
          <w:color w:val="333333"/>
          <w:sz w:val="22"/>
          <w:szCs w:val="22"/>
          <w:shd w:val="clear" w:color="auto" w:fill="FFFFFF"/>
        </w:rPr>
        <w:t xml:space="preserve"> On </w:t>
      </w:r>
      <w:r w:rsidRPr="00030499">
        <w:rPr>
          <w:rFonts w:asciiTheme="majorHAnsi" w:eastAsia="Times New Roman" w:hAnsiTheme="majorHAnsi" w:cs="Times New Roman"/>
          <w:b/>
          <w:color w:val="333333"/>
          <w:sz w:val="22"/>
          <w:szCs w:val="22"/>
          <w:shd w:val="clear" w:color="auto" w:fill="FFFFFF"/>
        </w:rPr>
        <w:t>20 March 2014</w:t>
      </w:r>
      <w:r>
        <w:rPr>
          <w:rFonts w:asciiTheme="majorHAnsi" w:eastAsia="Times New Roman" w:hAnsiTheme="majorHAnsi" w:cs="Times New Roman"/>
          <w:color w:val="333333"/>
          <w:sz w:val="22"/>
          <w:szCs w:val="22"/>
          <w:shd w:val="clear" w:color="auto" w:fill="FFFFFF"/>
        </w:rPr>
        <w:t xml:space="preserve"> the NGPC </w:t>
      </w:r>
      <w:hyperlink r:id="rId16" w:history="1">
        <w:r w:rsidR="00030499">
          <w:rPr>
            <w:rStyle w:val="Hyperlink"/>
            <w:rFonts w:asciiTheme="majorHAnsi" w:eastAsia="Times New Roman" w:hAnsiTheme="majorHAnsi" w:cs="Times New Roman"/>
            <w:sz w:val="22"/>
            <w:szCs w:val="22"/>
            <w:shd w:val="clear" w:color="auto" w:fill="FFFFFF"/>
          </w:rPr>
          <w:t>informed</w:t>
        </w:r>
      </w:hyperlink>
      <w:r w:rsidR="00030499">
        <w:rPr>
          <w:rFonts w:asciiTheme="majorHAnsi" w:eastAsia="Times New Roman" w:hAnsiTheme="majorHAnsi" w:cs="Times New Roman"/>
          <w:color w:val="333333"/>
          <w:sz w:val="22"/>
          <w:szCs w:val="22"/>
          <w:shd w:val="clear" w:color="auto" w:fill="FFFFFF"/>
        </w:rPr>
        <w:t xml:space="preserve"> </w:t>
      </w:r>
      <w:r>
        <w:rPr>
          <w:rFonts w:asciiTheme="majorHAnsi" w:eastAsia="Times New Roman" w:hAnsiTheme="majorHAnsi" w:cs="Times New Roman"/>
          <w:color w:val="333333"/>
          <w:sz w:val="22"/>
          <w:szCs w:val="22"/>
          <w:shd w:val="clear" w:color="auto" w:fill="FFFFFF"/>
        </w:rPr>
        <w:t xml:space="preserve">the GNSO Council that it had developed and sent a proposal concerning </w:t>
      </w:r>
      <w:r w:rsidR="00030499">
        <w:rPr>
          <w:rFonts w:asciiTheme="majorHAnsi" w:eastAsia="Times New Roman" w:hAnsiTheme="majorHAnsi" w:cs="Times New Roman"/>
          <w:color w:val="333333"/>
          <w:sz w:val="22"/>
          <w:szCs w:val="22"/>
          <w:shd w:val="clear" w:color="auto" w:fill="FFFFFF"/>
        </w:rPr>
        <w:t>protection for IGOs to the</w:t>
      </w:r>
      <w:r w:rsidR="00E30253">
        <w:rPr>
          <w:rFonts w:asciiTheme="majorHAnsi" w:eastAsia="Times New Roman" w:hAnsiTheme="majorHAnsi" w:cs="Times New Roman"/>
          <w:color w:val="333333"/>
          <w:sz w:val="22"/>
          <w:szCs w:val="22"/>
          <w:shd w:val="clear" w:color="auto" w:fill="FFFFFF"/>
        </w:rPr>
        <w:t xml:space="preserve"> GAC</w:t>
      </w:r>
      <w:r w:rsidR="00030499">
        <w:rPr>
          <w:rFonts w:asciiTheme="majorHAnsi" w:eastAsia="Times New Roman" w:hAnsiTheme="majorHAnsi" w:cs="Times New Roman"/>
          <w:color w:val="333333"/>
          <w:sz w:val="22"/>
          <w:szCs w:val="22"/>
          <w:shd w:val="clear" w:color="auto" w:fill="FFFFFF"/>
        </w:rPr>
        <w:t xml:space="preserve">. On </w:t>
      </w:r>
      <w:r w:rsidR="00030499" w:rsidRPr="00030499">
        <w:rPr>
          <w:rFonts w:asciiTheme="majorHAnsi" w:eastAsia="Times New Roman" w:hAnsiTheme="majorHAnsi" w:cs="Times New Roman"/>
          <w:b/>
          <w:color w:val="333333"/>
          <w:sz w:val="22"/>
          <w:szCs w:val="22"/>
          <w:shd w:val="clear" w:color="auto" w:fill="FFFFFF"/>
        </w:rPr>
        <w:t>30 April 2014</w:t>
      </w:r>
      <w:r w:rsidR="00030499">
        <w:rPr>
          <w:rFonts w:asciiTheme="majorHAnsi" w:eastAsia="Times New Roman" w:hAnsiTheme="majorHAnsi" w:cs="Times New Roman"/>
          <w:color w:val="333333"/>
          <w:sz w:val="22"/>
          <w:szCs w:val="22"/>
          <w:shd w:val="clear" w:color="auto" w:fill="FFFFFF"/>
        </w:rPr>
        <w:t xml:space="preserve"> the ICANN Board </w:t>
      </w:r>
      <w:hyperlink r:id="rId17" w:anchor="2.a" w:history="1">
        <w:r w:rsidR="00030499">
          <w:rPr>
            <w:rStyle w:val="Hyperlink"/>
            <w:rFonts w:asciiTheme="majorHAnsi" w:eastAsia="Times New Roman" w:hAnsiTheme="majorHAnsi" w:cs="Times New Roman"/>
            <w:sz w:val="22"/>
            <w:szCs w:val="22"/>
            <w:shd w:val="clear" w:color="auto" w:fill="FFFFFF"/>
          </w:rPr>
          <w:t>resolved</w:t>
        </w:r>
      </w:hyperlink>
      <w:r w:rsidR="00030499">
        <w:rPr>
          <w:rFonts w:asciiTheme="majorHAnsi" w:eastAsia="Times New Roman" w:hAnsiTheme="majorHAnsi" w:cs="Times New Roman"/>
          <w:color w:val="333333"/>
          <w:sz w:val="22"/>
          <w:szCs w:val="22"/>
          <w:shd w:val="clear" w:color="auto" w:fill="FFFFFF"/>
        </w:rPr>
        <w:t xml:space="preserve"> to adopt those of the GNSO’s consensus recommendations that are not inconsistent with GAC advice, and</w:t>
      </w:r>
      <w:r w:rsidR="00030499" w:rsidRPr="00030499">
        <w:rPr>
          <w:rFonts w:asciiTheme="majorHAnsi" w:eastAsia="Times New Roman" w:hAnsiTheme="majorHAnsi" w:cs="Times New Roman"/>
          <w:color w:val="333333"/>
          <w:sz w:val="22"/>
          <w:szCs w:val="22"/>
          <w:shd w:val="clear" w:color="auto" w:fill="FFFFFF"/>
        </w:rPr>
        <w:t xml:space="preserve"> requested additional time to consider the remaining recommendations as it continues to </w:t>
      </w:r>
      <w:r w:rsidR="00030499" w:rsidRPr="00427EF8">
        <w:rPr>
          <w:rFonts w:asciiTheme="majorHAnsi" w:eastAsia="Times New Roman" w:hAnsiTheme="majorHAnsi" w:cs="Times New Roman"/>
          <w:i/>
          <w:color w:val="333333"/>
          <w:sz w:val="22"/>
          <w:szCs w:val="22"/>
          <w:shd w:val="clear" w:color="auto" w:fill="FFFFFF"/>
        </w:rPr>
        <w:t>“facilitate discussions among the relevant parties to reconcile any remaining differences between the policy recommendations and the</w:t>
      </w:r>
      <w:r w:rsidR="00030499" w:rsidRPr="00427EF8">
        <w:rPr>
          <w:rStyle w:val="apple-converted-space"/>
          <w:rFonts w:asciiTheme="majorHAnsi" w:eastAsia="Times New Roman" w:hAnsiTheme="majorHAnsi" w:cs="Times New Roman"/>
          <w:i/>
          <w:color w:val="333333"/>
          <w:sz w:val="22"/>
          <w:szCs w:val="22"/>
          <w:shd w:val="clear" w:color="auto" w:fill="FFFFFF"/>
        </w:rPr>
        <w:t> </w:t>
      </w:r>
      <w:r w:rsidR="00030499" w:rsidRPr="00427EF8">
        <w:rPr>
          <w:rFonts w:asciiTheme="majorHAnsi" w:eastAsia="Times New Roman" w:hAnsiTheme="majorHAnsi" w:cs="Times New Roman"/>
          <w:i/>
          <w:sz w:val="22"/>
          <w:szCs w:val="22"/>
        </w:rPr>
        <w:t>GAC</w:t>
      </w:r>
      <w:r w:rsidR="00030499" w:rsidRPr="00427EF8">
        <w:rPr>
          <w:rStyle w:val="apple-converted-space"/>
          <w:rFonts w:asciiTheme="majorHAnsi" w:eastAsia="Times New Roman" w:hAnsiTheme="majorHAnsi" w:cs="Times New Roman"/>
          <w:i/>
          <w:color w:val="333333"/>
          <w:sz w:val="22"/>
          <w:szCs w:val="22"/>
          <w:shd w:val="clear" w:color="auto" w:fill="FFFFFF"/>
        </w:rPr>
        <w:t> </w:t>
      </w:r>
      <w:r w:rsidR="00030499" w:rsidRPr="00427EF8">
        <w:rPr>
          <w:rFonts w:asciiTheme="majorHAnsi" w:eastAsia="Times New Roman" w:hAnsiTheme="majorHAnsi" w:cs="Times New Roman"/>
          <w:i/>
          <w:color w:val="333333"/>
          <w:sz w:val="22"/>
          <w:szCs w:val="22"/>
          <w:shd w:val="clear" w:color="auto" w:fill="FFFFFF"/>
        </w:rPr>
        <w:t>advice on the topic”</w:t>
      </w:r>
      <w:r w:rsidR="00427EF8">
        <w:rPr>
          <w:rFonts w:asciiTheme="majorHAnsi" w:eastAsia="Times New Roman" w:hAnsiTheme="majorHAnsi" w:cs="Times New Roman"/>
          <w:color w:val="333333"/>
          <w:sz w:val="22"/>
          <w:szCs w:val="22"/>
          <w:shd w:val="clear" w:color="auto" w:fill="FFFFFF"/>
        </w:rPr>
        <w:t>.</w:t>
      </w:r>
    </w:p>
    <w:p w:rsidR="004C44B5" w:rsidRDefault="004C44B5" w:rsidP="00D6605E">
      <w:pPr>
        <w:rPr>
          <w:rFonts w:asciiTheme="majorHAnsi" w:eastAsia="Times New Roman" w:hAnsiTheme="majorHAnsi" w:cs="Times New Roman"/>
          <w:color w:val="333333"/>
          <w:sz w:val="22"/>
          <w:szCs w:val="22"/>
          <w:shd w:val="clear" w:color="auto" w:fill="FFFFFF"/>
        </w:rPr>
      </w:pPr>
    </w:p>
    <w:p w:rsidR="004C44B5" w:rsidRPr="006D0C96" w:rsidRDefault="004C44B5" w:rsidP="00D6605E">
      <w:pPr>
        <w:rPr>
          <w:rFonts w:asciiTheme="majorHAnsi" w:hAnsiTheme="majorHAnsi"/>
          <w:sz w:val="22"/>
          <w:szCs w:val="22"/>
        </w:rPr>
      </w:pPr>
      <w:r>
        <w:rPr>
          <w:rFonts w:asciiTheme="majorHAnsi" w:eastAsia="Times New Roman" w:hAnsiTheme="majorHAnsi" w:cs="Times New Roman"/>
          <w:color w:val="333333"/>
          <w:sz w:val="22"/>
          <w:szCs w:val="22"/>
          <w:shd w:val="clear" w:color="auto" w:fill="FFFFFF"/>
        </w:rPr>
        <w:tab/>
        <w:t xml:space="preserve">On </w:t>
      </w:r>
      <w:r w:rsidRPr="004C44B5">
        <w:rPr>
          <w:rFonts w:asciiTheme="majorHAnsi" w:eastAsia="Times New Roman" w:hAnsiTheme="majorHAnsi" w:cs="Times New Roman"/>
          <w:b/>
          <w:color w:val="333333"/>
          <w:sz w:val="22"/>
          <w:szCs w:val="22"/>
          <w:shd w:val="clear" w:color="auto" w:fill="FFFFFF"/>
        </w:rPr>
        <w:t>16 June 2014</w:t>
      </w:r>
      <w:r>
        <w:rPr>
          <w:rFonts w:asciiTheme="majorHAnsi" w:eastAsia="Times New Roman" w:hAnsiTheme="majorHAnsi" w:cs="Times New Roman"/>
          <w:color w:val="333333"/>
          <w:sz w:val="22"/>
          <w:szCs w:val="22"/>
          <w:shd w:val="clear" w:color="auto" w:fill="FFFFFF"/>
        </w:rPr>
        <w:t xml:space="preserve"> the NGPC </w:t>
      </w:r>
      <w:hyperlink r:id="rId18" w:history="1">
        <w:r>
          <w:rPr>
            <w:rStyle w:val="Hyperlink"/>
            <w:rFonts w:asciiTheme="majorHAnsi" w:eastAsia="Times New Roman" w:hAnsiTheme="majorHAnsi" w:cs="Times New Roman"/>
            <w:sz w:val="22"/>
            <w:szCs w:val="22"/>
            <w:shd w:val="clear" w:color="auto" w:fill="FFFFFF"/>
          </w:rPr>
          <w:t>requested</w:t>
        </w:r>
      </w:hyperlink>
      <w:r>
        <w:rPr>
          <w:rFonts w:asciiTheme="majorHAnsi" w:eastAsia="Times New Roman" w:hAnsiTheme="majorHAnsi" w:cs="Times New Roman"/>
          <w:color w:val="333333"/>
          <w:sz w:val="22"/>
          <w:szCs w:val="22"/>
          <w:shd w:val="clear" w:color="auto" w:fill="FFFFFF"/>
        </w:rPr>
        <w:t xml:space="preserve"> that the GNSO Council consider modifying those elements of its remaining recommendations that are inconsistent with GAC advice concerning certain Red Cross society names and IGO acronyms, in accordance with the GNSO’s procedures</w:t>
      </w:r>
      <w:r w:rsidR="00427EF8">
        <w:rPr>
          <w:rStyle w:val="FootnoteReference"/>
          <w:rFonts w:asciiTheme="majorHAnsi" w:eastAsia="Times New Roman" w:hAnsiTheme="majorHAnsi" w:cs="Times New Roman"/>
          <w:color w:val="333333"/>
          <w:sz w:val="22"/>
          <w:szCs w:val="22"/>
          <w:shd w:val="clear" w:color="auto" w:fill="FFFFFF"/>
        </w:rPr>
        <w:footnoteReference w:id="2"/>
      </w:r>
      <w:r>
        <w:rPr>
          <w:rFonts w:asciiTheme="majorHAnsi" w:eastAsia="Times New Roman" w:hAnsiTheme="majorHAnsi" w:cs="Times New Roman"/>
          <w:color w:val="333333"/>
          <w:sz w:val="22"/>
          <w:szCs w:val="22"/>
          <w:shd w:val="clear" w:color="auto" w:fill="FFFFFF"/>
        </w:rPr>
        <w:t xml:space="preserve"> that permit this subject to certain processes and safeguards, and prior to ICANN Board action. During the ICANN meeting in London, the GNSO Council </w:t>
      </w:r>
      <w:hyperlink r:id="rId19" w:history="1">
        <w:r>
          <w:rPr>
            <w:rStyle w:val="Hyperlink"/>
            <w:rFonts w:asciiTheme="majorHAnsi" w:eastAsia="Times New Roman" w:hAnsiTheme="majorHAnsi" w:cs="Times New Roman"/>
            <w:sz w:val="22"/>
            <w:szCs w:val="22"/>
            <w:shd w:val="clear" w:color="auto" w:fill="FFFFFF"/>
          </w:rPr>
          <w:t>discussed</w:t>
        </w:r>
      </w:hyperlink>
      <w:r>
        <w:rPr>
          <w:rFonts w:asciiTheme="majorHAnsi" w:eastAsia="Times New Roman" w:hAnsiTheme="majorHAnsi" w:cs="Times New Roman"/>
          <w:color w:val="333333"/>
          <w:sz w:val="22"/>
          <w:szCs w:val="22"/>
          <w:shd w:val="clear" w:color="auto" w:fill="FFFFFF"/>
        </w:rPr>
        <w:t xml:space="preserve"> the NGPC’s request. Discussions continue both within the GNSO as well as between the GNSO Council and the NGPC concerning this question, which will again be on the GNSO Council’s meeting agenda on </w:t>
      </w:r>
      <w:r w:rsidRPr="004C44B5">
        <w:rPr>
          <w:rFonts w:asciiTheme="majorHAnsi" w:eastAsia="Times New Roman" w:hAnsiTheme="majorHAnsi" w:cs="Times New Roman"/>
          <w:b/>
          <w:color w:val="333333"/>
          <w:sz w:val="22"/>
          <w:szCs w:val="22"/>
          <w:shd w:val="clear" w:color="auto" w:fill="FFFFFF"/>
        </w:rPr>
        <w:t>4 September 2014</w:t>
      </w:r>
      <w:r>
        <w:rPr>
          <w:rFonts w:asciiTheme="majorHAnsi" w:eastAsia="Times New Roman" w:hAnsiTheme="majorHAnsi" w:cs="Times New Roman"/>
          <w:color w:val="333333"/>
          <w:sz w:val="22"/>
          <w:szCs w:val="22"/>
          <w:shd w:val="clear" w:color="auto" w:fill="FFFFFF"/>
        </w:rPr>
        <w:t>.</w:t>
      </w:r>
    </w:p>
    <w:p w:rsidR="006D0C96" w:rsidRPr="006D0C96" w:rsidRDefault="006D0C96" w:rsidP="00D6605E">
      <w:pPr>
        <w:rPr>
          <w:rFonts w:asciiTheme="majorHAnsi" w:hAnsiTheme="majorHAnsi"/>
          <w:sz w:val="22"/>
          <w:szCs w:val="22"/>
        </w:rPr>
      </w:pPr>
    </w:p>
    <w:p w:rsidR="002E280A" w:rsidRPr="007C482E" w:rsidRDefault="00427EF8" w:rsidP="00D6605E">
      <w:pPr>
        <w:rPr>
          <w:rFonts w:asciiTheme="majorHAnsi" w:hAnsiTheme="majorHAnsi"/>
          <w:b/>
        </w:rPr>
      </w:pPr>
      <w:r w:rsidRPr="007C482E">
        <w:rPr>
          <w:rFonts w:asciiTheme="majorHAnsi" w:hAnsiTheme="majorHAnsi"/>
          <w:b/>
        </w:rPr>
        <w:t xml:space="preserve">Part II: </w:t>
      </w:r>
      <w:r w:rsidR="00FA3D92" w:rsidRPr="007C482E">
        <w:rPr>
          <w:rFonts w:asciiTheme="majorHAnsi" w:hAnsiTheme="majorHAnsi"/>
          <w:b/>
        </w:rPr>
        <w:t>The GNSO</w:t>
      </w:r>
      <w:r w:rsidR="00044A69" w:rsidRPr="007C482E">
        <w:rPr>
          <w:rFonts w:asciiTheme="majorHAnsi" w:hAnsiTheme="majorHAnsi"/>
          <w:b/>
        </w:rPr>
        <w:t xml:space="preserve">’s Consensus Recommendations and their </w:t>
      </w:r>
      <w:r w:rsidR="00FA3D92" w:rsidRPr="007C482E">
        <w:rPr>
          <w:rFonts w:asciiTheme="majorHAnsi" w:hAnsiTheme="majorHAnsi"/>
          <w:b/>
        </w:rPr>
        <w:t xml:space="preserve">Current </w:t>
      </w:r>
      <w:r w:rsidR="00044A69" w:rsidRPr="007C482E">
        <w:rPr>
          <w:rFonts w:asciiTheme="majorHAnsi" w:hAnsiTheme="majorHAnsi"/>
          <w:b/>
        </w:rPr>
        <w:t>Status</w:t>
      </w:r>
    </w:p>
    <w:p w:rsidR="00DB364C" w:rsidRDefault="00DB364C" w:rsidP="00D6605E">
      <w:pPr>
        <w:rPr>
          <w:rFonts w:asciiTheme="majorHAnsi" w:hAnsiTheme="majorHAnsi"/>
          <w:sz w:val="22"/>
          <w:szCs w:val="22"/>
        </w:rPr>
      </w:pPr>
    </w:p>
    <w:p w:rsidR="001A617B" w:rsidRPr="001A617B" w:rsidRDefault="001A617B" w:rsidP="00D6605E">
      <w:pPr>
        <w:rPr>
          <w:rFonts w:asciiTheme="majorHAnsi" w:hAnsiTheme="majorHAnsi"/>
          <w:i/>
          <w:sz w:val="22"/>
          <w:szCs w:val="22"/>
        </w:rPr>
      </w:pPr>
      <w:r w:rsidRPr="001A617B">
        <w:rPr>
          <w:rFonts w:asciiTheme="majorHAnsi" w:hAnsiTheme="majorHAnsi"/>
          <w:i/>
          <w:sz w:val="22"/>
          <w:szCs w:val="22"/>
        </w:rPr>
        <w:t>(a) Recommendations Adopted by the ICANN Board</w:t>
      </w:r>
    </w:p>
    <w:p w:rsidR="00DB364C" w:rsidRDefault="00DB364C" w:rsidP="005E6CD8">
      <w:pPr>
        <w:ind w:firstLine="720"/>
        <w:rPr>
          <w:rFonts w:asciiTheme="majorHAnsi" w:hAnsiTheme="majorHAnsi"/>
          <w:sz w:val="22"/>
          <w:szCs w:val="22"/>
          <w:u w:val="single"/>
        </w:rPr>
      </w:pPr>
    </w:p>
    <w:p w:rsidR="004C486A" w:rsidRDefault="002B7C68" w:rsidP="005E6CD8">
      <w:pPr>
        <w:ind w:firstLine="720"/>
        <w:rPr>
          <w:rFonts w:asciiTheme="majorHAnsi" w:hAnsiTheme="majorHAnsi"/>
          <w:sz w:val="22"/>
          <w:szCs w:val="22"/>
        </w:rPr>
      </w:pPr>
      <w:r>
        <w:rPr>
          <w:rFonts w:asciiTheme="majorHAnsi" w:hAnsiTheme="majorHAnsi"/>
          <w:sz w:val="22"/>
          <w:szCs w:val="22"/>
        </w:rPr>
        <w:t>Some</w:t>
      </w:r>
      <w:r w:rsidR="00EB7768" w:rsidRPr="00EB7768">
        <w:rPr>
          <w:rFonts w:asciiTheme="majorHAnsi" w:hAnsiTheme="majorHAnsi"/>
          <w:sz w:val="22"/>
          <w:szCs w:val="22"/>
        </w:rPr>
        <w:t xml:space="preserve"> of the</w:t>
      </w:r>
      <w:r w:rsidR="004C486A">
        <w:rPr>
          <w:rFonts w:asciiTheme="majorHAnsi" w:hAnsiTheme="majorHAnsi"/>
          <w:sz w:val="22"/>
          <w:szCs w:val="22"/>
        </w:rPr>
        <w:t xml:space="preserve"> IGO-IN</w:t>
      </w:r>
      <w:r w:rsidR="00427EF8">
        <w:rPr>
          <w:rFonts w:asciiTheme="majorHAnsi" w:hAnsiTheme="majorHAnsi"/>
          <w:sz w:val="22"/>
          <w:szCs w:val="22"/>
        </w:rPr>
        <w:t xml:space="preserve">GO PDP WG’s consensus </w:t>
      </w:r>
      <w:r>
        <w:rPr>
          <w:rFonts w:asciiTheme="majorHAnsi" w:hAnsiTheme="majorHAnsi"/>
          <w:sz w:val="22"/>
          <w:szCs w:val="22"/>
        </w:rPr>
        <w:t>recommendations (</w:t>
      </w:r>
      <w:r w:rsidR="004C486A">
        <w:rPr>
          <w:rFonts w:asciiTheme="majorHAnsi" w:hAnsiTheme="majorHAnsi"/>
          <w:sz w:val="22"/>
          <w:szCs w:val="22"/>
        </w:rPr>
        <w:t xml:space="preserve">adopted by the GNSO Council </w:t>
      </w:r>
      <w:r w:rsidR="00427EF8">
        <w:rPr>
          <w:rFonts w:asciiTheme="majorHAnsi" w:hAnsiTheme="majorHAnsi"/>
          <w:sz w:val="22"/>
          <w:szCs w:val="22"/>
        </w:rPr>
        <w:t>in November 2013</w:t>
      </w:r>
      <w:r>
        <w:rPr>
          <w:rFonts w:asciiTheme="majorHAnsi" w:hAnsiTheme="majorHAnsi"/>
          <w:sz w:val="22"/>
          <w:szCs w:val="22"/>
        </w:rPr>
        <w:t>)</w:t>
      </w:r>
      <w:r w:rsidR="00427EF8">
        <w:rPr>
          <w:rFonts w:asciiTheme="majorHAnsi" w:hAnsiTheme="majorHAnsi"/>
          <w:sz w:val="22"/>
          <w:szCs w:val="22"/>
        </w:rPr>
        <w:t xml:space="preserve"> </w:t>
      </w:r>
      <w:r>
        <w:rPr>
          <w:rFonts w:asciiTheme="majorHAnsi" w:hAnsiTheme="majorHAnsi"/>
          <w:sz w:val="22"/>
          <w:szCs w:val="22"/>
        </w:rPr>
        <w:t>were</w:t>
      </w:r>
      <w:r w:rsidR="004C486A">
        <w:rPr>
          <w:rFonts w:asciiTheme="majorHAnsi" w:hAnsiTheme="majorHAnsi"/>
          <w:sz w:val="22"/>
          <w:szCs w:val="22"/>
        </w:rPr>
        <w:t xml:space="preserve"> approved by the ICANN Board on 30 April 2014 as not being inconsistent with GAC advice. </w:t>
      </w:r>
      <w:r w:rsidR="00EA7C46">
        <w:rPr>
          <w:rFonts w:asciiTheme="majorHAnsi" w:hAnsiTheme="majorHAnsi"/>
          <w:sz w:val="22"/>
          <w:szCs w:val="22"/>
        </w:rPr>
        <w:t xml:space="preserve">This list is specifically </w:t>
      </w:r>
      <w:hyperlink r:id="rId20" w:history="1">
        <w:r w:rsidR="00EA7C46">
          <w:rPr>
            <w:rStyle w:val="Hyperlink"/>
            <w:rFonts w:asciiTheme="majorHAnsi" w:hAnsiTheme="majorHAnsi"/>
            <w:sz w:val="22"/>
            <w:szCs w:val="22"/>
          </w:rPr>
          <w:t>appended</w:t>
        </w:r>
      </w:hyperlink>
      <w:r w:rsidR="00EA7C46">
        <w:rPr>
          <w:rFonts w:asciiTheme="majorHAnsi" w:hAnsiTheme="majorHAnsi"/>
          <w:sz w:val="22"/>
          <w:szCs w:val="22"/>
        </w:rPr>
        <w:t xml:space="preserve"> to the Board’s 30 April 2014 resolution. </w:t>
      </w:r>
      <w:r w:rsidR="004C486A">
        <w:rPr>
          <w:rFonts w:asciiTheme="majorHAnsi" w:hAnsiTheme="majorHAnsi"/>
          <w:sz w:val="22"/>
          <w:szCs w:val="22"/>
        </w:rPr>
        <w:t>Essentially, the</w:t>
      </w:r>
      <w:r w:rsidR="00EA7C46">
        <w:rPr>
          <w:rFonts w:asciiTheme="majorHAnsi" w:hAnsiTheme="majorHAnsi"/>
          <w:sz w:val="22"/>
          <w:szCs w:val="22"/>
        </w:rPr>
        <w:t xml:space="preserve"> Board-adopted </w:t>
      </w:r>
      <w:r w:rsidR="00FA3D92">
        <w:rPr>
          <w:rFonts w:asciiTheme="majorHAnsi" w:hAnsiTheme="majorHAnsi"/>
          <w:sz w:val="22"/>
          <w:szCs w:val="22"/>
        </w:rPr>
        <w:t xml:space="preserve">GNSO </w:t>
      </w:r>
      <w:r w:rsidR="00EA7C46">
        <w:rPr>
          <w:rFonts w:asciiTheme="majorHAnsi" w:hAnsiTheme="majorHAnsi"/>
          <w:sz w:val="22"/>
          <w:szCs w:val="22"/>
        </w:rPr>
        <w:t>recommendations</w:t>
      </w:r>
      <w:r w:rsidR="004C486A">
        <w:rPr>
          <w:rFonts w:asciiTheme="majorHAnsi" w:hAnsiTheme="majorHAnsi"/>
          <w:sz w:val="22"/>
          <w:szCs w:val="22"/>
        </w:rPr>
        <w:t xml:space="preserve"> </w:t>
      </w:r>
      <w:r w:rsidR="00FA3D92">
        <w:rPr>
          <w:rFonts w:asciiTheme="majorHAnsi" w:hAnsiTheme="majorHAnsi"/>
          <w:sz w:val="22"/>
          <w:szCs w:val="22"/>
        </w:rPr>
        <w:t>are</w:t>
      </w:r>
      <w:r w:rsidR="00EB7768">
        <w:rPr>
          <w:rFonts w:asciiTheme="majorHAnsi" w:hAnsiTheme="majorHAnsi"/>
          <w:sz w:val="22"/>
          <w:szCs w:val="22"/>
        </w:rPr>
        <w:t xml:space="preserve"> that</w:t>
      </w:r>
      <w:r w:rsidR="004C486A">
        <w:rPr>
          <w:rFonts w:asciiTheme="majorHAnsi" w:hAnsiTheme="majorHAnsi"/>
          <w:sz w:val="22"/>
          <w:szCs w:val="22"/>
        </w:rPr>
        <w:t xml:space="preserve">: </w:t>
      </w:r>
    </w:p>
    <w:p w:rsidR="004C486A" w:rsidRDefault="004C486A" w:rsidP="005E6CD8">
      <w:pPr>
        <w:ind w:firstLine="720"/>
        <w:rPr>
          <w:rFonts w:asciiTheme="majorHAnsi" w:hAnsiTheme="majorHAnsi"/>
          <w:sz w:val="22"/>
          <w:szCs w:val="22"/>
        </w:rPr>
      </w:pPr>
    </w:p>
    <w:p w:rsidR="004C486A" w:rsidRDefault="004C486A" w:rsidP="001A617B">
      <w:pPr>
        <w:ind w:left="720"/>
        <w:rPr>
          <w:rFonts w:asciiTheme="majorHAnsi" w:hAnsiTheme="majorHAnsi"/>
          <w:sz w:val="22"/>
          <w:szCs w:val="22"/>
        </w:rPr>
      </w:pPr>
      <w:r>
        <w:rPr>
          <w:rFonts w:asciiTheme="majorHAnsi" w:hAnsiTheme="majorHAnsi"/>
          <w:sz w:val="22"/>
          <w:szCs w:val="22"/>
        </w:rPr>
        <w:t xml:space="preserve">(1) The following </w:t>
      </w:r>
      <w:r w:rsidR="00FA3D92">
        <w:rPr>
          <w:rFonts w:asciiTheme="majorHAnsi" w:hAnsiTheme="majorHAnsi"/>
          <w:sz w:val="22"/>
          <w:szCs w:val="22"/>
        </w:rPr>
        <w:t>identifiers</w:t>
      </w:r>
      <w:r w:rsidR="00FA3D92">
        <w:rPr>
          <w:rStyle w:val="FootnoteReference"/>
          <w:rFonts w:asciiTheme="majorHAnsi" w:hAnsiTheme="majorHAnsi"/>
          <w:sz w:val="22"/>
          <w:szCs w:val="22"/>
        </w:rPr>
        <w:footnoteReference w:id="3"/>
      </w:r>
      <w:r w:rsidR="00EB7768">
        <w:rPr>
          <w:rFonts w:asciiTheme="majorHAnsi" w:hAnsiTheme="majorHAnsi"/>
          <w:sz w:val="22"/>
          <w:szCs w:val="22"/>
        </w:rPr>
        <w:t xml:space="preserve"> are t</w:t>
      </w:r>
      <w:r w:rsidR="00FA3D92">
        <w:rPr>
          <w:rFonts w:asciiTheme="majorHAnsi" w:hAnsiTheme="majorHAnsi"/>
          <w:sz w:val="22"/>
          <w:szCs w:val="22"/>
        </w:rPr>
        <w:t>o be</w:t>
      </w:r>
      <w:r>
        <w:rPr>
          <w:rFonts w:asciiTheme="majorHAnsi" w:hAnsiTheme="majorHAnsi"/>
          <w:sz w:val="22"/>
          <w:szCs w:val="22"/>
        </w:rPr>
        <w:t xml:space="preserve"> designated as ineligible for delegation at the top level: </w:t>
      </w:r>
    </w:p>
    <w:p w:rsidR="001A617B" w:rsidRDefault="001A617B" w:rsidP="001A617B">
      <w:pPr>
        <w:ind w:left="720"/>
        <w:rPr>
          <w:rFonts w:asciiTheme="majorHAnsi" w:hAnsiTheme="majorHAnsi"/>
          <w:sz w:val="22"/>
          <w:szCs w:val="22"/>
        </w:rPr>
      </w:pPr>
    </w:p>
    <w:p w:rsidR="004C486A" w:rsidRDefault="00FA3D92" w:rsidP="001A617B">
      <w:pPr>
        <w:ind w:left="1440"/>
        <w:rPr>
          <w:rFonts w:asciiTheme="majorHAnsi" w:hAnsiTheme="majorHAnsi"/>
          <w:sz w:val="22"/>
          <w:szCs w:val="22"/>
        </w:rPr>
      </w:pPr>
      <w:r>
        <w:rPr>
          <w:rFonts w:asciiTheme="majorHAnsi" w:hAnsiTheme="majorHAnsi"/>
          <w:sz w:val="22"/>
          <w:szCs w:val="22"/>
        </w:rPr>
        <w:t>(a) Specific name</w:t>
      </w:r>
      <w:r w:rsidR="004C486A">
        <w:rPr>
          <w:rFonts w:asciiTheme="majorHAnsi" w:hAnsiTheme="majorHAnsi"/>
          <w:sz w:val="22"/>
          <w:szCs w:val="22"/>
        </w:rPr>
        <w:t>s associated with the international Red Cross movement and the International Olympic Committee</w:t>
      </w:r>
      <w:r w:rsidR="00DB364C">
        <w:rPr>
          <w:rFonts w:asciiTheme="majorHAnsi" w:hAnsiTheme="majorHAnsi"/>
          <w:sz w:val="22"/>
          <w:szCs w:val="22"/>
        </w:rPr>
        <w:t xml:space="preserve"> (IOC)</w:t>
      </w:r>
      <w:r w:rsidR="004C486A">
        <w:rPr>
          <w:rFonts w:asciiTheme="majorHAnsi" w:hAnsiTheme="majorHAnsi"/>
          <w:sz w:val="22"/>
          <w:szCs w:val="22"/>
        </w:rPr>
        <w:t xml:space="preserve">, </w:t>
      </w:r>
    </w:p>
    <w:p w:rsidR="004C486A" w:rsidRDefault="004C486A" w:rsidP="001A617B">
      <w:pPr>
        <w:ind w:left="1440"/>
        <w:rPr>
          <w:rFonts w:asciiTheme="majorHAnsi" w:hAnsiTheme="majorHAnsi"/>
          <w:sz w:val="22"/>
          <w:szCs w:val="22"/>
        </w:rPr>
      </w:pPr>
      <w:r>
        <w:rPr>
          <w:rFonts w:asciiTheme="majorHAnsi" w:hAnsiTheme="majorHAnsi"/>
          <w:sz w:val="22"/>
          <w:szCs w:val="22"/>
        </w:rPr>
        <w:t xml:space="preserve">(b) The full names of the IGOs listed on the GAC list provided to the ICANN Board on 22 March 2013, and </w:t>
      </w:r>
    </w:p>
    <w:p w:rsidR="004C486A" w:rsidRDefault="004C486A" w:rsidP="001A617B">
      <w:pPr>
        <w:ind w:left="1440"/>
        <w:rPr>
          <w:rFonts w:asciiTheme="majorHAnsi" w:hAnsiTheme="majorHAnsi"/>
          <w:sz w:val="22"/>
          <w:szCs w:val="22"/>
        </w:rPr>
      </w:pPr>
      <w:r>
        <w:rPr>
          <w:rFonts w:asciiTheme="majorHAnsi" w:hAnsiTheme="majorHAnsi"/>
          <w:sz w:val="22"/>
          <w:szCs w:val="22"/>
        </w:rPr>
        <w:t>(c) The full names of th</w:t>
      </w:r>
      <w:r w:rsidR="00EA7C46">
        <w:rPr>
          <w:rFonts w:asciiTheme="majorHAnsi" w:hAnsiTheme="majorHAnsi"/>
          <w:sz w:val="22"/>
          <w:szCs w:val="22"/>
        </w:rPr>
        <w:t xml:space="preserve">e INGOs in General </w:t>
      </w:r>
      <w:r>
        <w:rPr>
          <w:rFonts w:asciiTheme="majorHAnsi" w:hAnsiTheme="majorHAnsi"/>
          <w:sz w:val="22"/>
          <w:szCs w:val="22"/>
        </w:rPr>
        <w:t>Status with the United Nations ECOSOC.</w:t>
      </w:r>
    </w:p>
    <w:p w:rsidR="004C486A" w:rsidRDefault="004C486A" w:rsidP="001A617B">
      <w:pPr>
        <w:ind w:left="720"/>
        <w:rPr>
          <w:rFonts w:asciiTheme="majorHAnsi" w:hAnsiTheme="majorHAnsi"/>
          <w:sz w:val="22"/>
          <w:szCs w:val="22"/>
        </w:rPr>
      </w:pPr>
    </w:p>
    <w:p w:rsidR="00044A69" w:rsidRDefault="004C486A" w:rsidP="001A617B">
      <w:pPr>
        <w:ind w:left="720"/>
        <w:rPr>
          <w:rFonts w:asciiTheme="majorHAnsi" w:hAnsiTheme="majorHAnsi"/>
          <w:sz w:val="22"/>
          <w:szCs w:val="22"/>
        </w:rPr>
      </w:pPr>
      <w:r>
        <w:rPr>
          <w:rFonts w:asciiTheme="majorHAnsi" w:hAnsiTheme="majorHAnsi"/>
          <w:sz w:val="22"/>
          <w:szCs w:val="22"/>
        </w:rPr>
        <w:t xml:space="preserve">(2) The following </w:t>
      </w:r>
      <w:r w:rsidR="00FA3D92">
        <w:rPr>
          <w:rFonts w:asciiTheme="majorHAnsi" w:hAnsiTheme="majorHAnsi"/>
          <w:sz w:val="22"/>
          <w:szCs w:val="22"/>
        </w:rPr>
        <w:t xml:space="preserve">identifiers </w:t>
      </w:r>
      <w:r w:rsidR="00EB7768">
        <w:rPr>
          <w:rFonts w:asciiTheme="majorHAnsi" w:hAnsiTheme="majorHAnsi"/>
          <w:sz w:val="22"/>
          <w:szCs w:val="22"/>
        </w:rPr>
        <w:t xml:space="preserve">are </w:t>
      </w:r>
      <w:r>
        <w:rPr>
          <w:rFonts w:asciiTheme="majorHAnsi" w:hAnsiTheme="majorHAnsi"/>
          <w:sz w:val="22"/>
          <w:szCs w:val="22"/>
        </w:rPr>
        <w:t xml:space="preserve">to be reserved </w:t>
      </w:r>
      <w:r w:rsidR="00FA3D92">
        <w:rPr>
          <w:rFonts w:asciiTheme="majorHAnsi" w:hAnsiTheme="majorHAnsi"/>
          <w:sz w:val="22"/>
          <w:szCs w:val="22"/>
        </w:rPr>
        <w:t>(</w:t>
      </w:r>
      <w:r>
        <w:rPr>
          <w:rFonts w:asciiTheme="majorHAnsi" w:hAnsiTheme="majorHAnsi"/>
          <w:sz w:val="22"/>
          <w:szCs w:val="22"/>
        </w:rPr>
        <w:t xml:space="preserve">through </w:t>
      </w:r>
      <w:r w:rsidR="002B7C68">
        <w:rPr>
          <w:rFonts w:asciiTheme="majorHAnsi" w:hAnsiTheme="majorHAnsi"/>
          <w:sz w:val="22"/>
          <w:szCs w:val="22"/>
        </w:rPr>
        <w:t xml:space="preserve">inclusion in </w:t>
      </w:r>
      <w:r>
        <w:rPr>
          <w:rFonts w:asciiTheme="majorHAnsi" w:hAnsiTheme="majorHAnsi"/>
          <w:sz w:val="22"/>
          <w:szCs w:val="22"/>
        </w:rPr>
        <w:t>Specification 5 of the New gTLD Registry Agreement</w:t>
      </w:r>
      <w:r w:rsidR="00FA3D92">
        <w:rPr>
          <w:rFonts w:asciiTheme="majorHAnsi" w:hAnsiTheme="majorHAnsi"/>
          <w:sz w:val="22"/>
          <w:szCs w:val="22"/>
        </w:rPr>
        <w:t>)</w:t>
      </w:r>
      <w:r>
        <w:rPr>
          <w:rFonts w:asciiTheme="majorHAnsi" w:hAnsiTheme="majorHAnsi"/>
          <w:sz w:val="22"/>
          <w:szCs w:val="22"/>
        </w:rPr>
        <w:t xml:space="preserve"> at the second level:</w:t>
      </w:r>
    </w:p>
    <w:p w:rsidR="001A617B" w:rsidRDefault="001A617B" w:rsidP="001A617B">
      <w:pPr>
        <w:ind w:left="720"/>
        <w:rPr>
          <w:rFonts w:asciiTheme="majorHAnsi" w:hAnsiTheme="majorHAnsi"/>
          <w:sz w:val="22"/>
          <w:szCs w:val="22"/>
        </w:rPr>
      </w:pPr>
    </w:p>
    <w:p w:rsidR="004C486A" w:rsidRDefault="004C486A" w:rsidP="001A617B">
      <w:pPr>
        <w:ind w:left="1440"/>
        <w:rPr>
          <w:rFonts w:asciiTheme="majorHAnsi" w:hAnsiTheme="majorHAnsi"/>
          <w:sz w:val="22"/>
          <w:szCs w:val="22"/>
        </w:rPr>
      </w:pPr>
      <w:r>
        <w:rPr>
          <w:rFonts w:asciiTheme="majorHAnsi" w:hAnsiTheme="majorHAnsi"/>
          <w:sz w:val="22"/>
          <w:szCs w:val="22"/>
        </w:rPr>
        <w:t xml:space="preserve">(a) Specific </w:t>
      </w:r>
      <w:r w:rsidR="00FA3D92">
        <w:rPr>
          <w:rFonts w:asciiTheme="majorHAnsi" w:hAnsiTheme="majorHAnsi"/>
          <w:sz w:val="22"/>
          <w:szCs w:val="22"/>
        </w:rPr>
        <w:t>name</w:t>
      </w:r>
      <w:r>
        <w:rPr>
          <w:rFonts w:asciiTheme="majorHAnsi" w:hAnsiTheme="majorHAnsi"/>
          <w:sz w:val="22"/>
          <w:szCs w:val="22"/>
        </w:rPr>
        <w:t xml:space="preserve">s associated with the international Red Cross movement and the International Olympic Committee, </w:t>
      </w:r>
      <w:r w:rsidR="00EA7C46">
        <w:rPr>
          <w:rFonts w:asciiTheme="majorHAnsi" w:hAnsiTheme="majorHAnsi"/>
          <w:sz w:val="22"/>
          <w:szCs w:val="22"/>
        </w:rPr>
        <w:t>and</w:t>
      </w:r>
    </w:p>
    <w:p w:rsidR="004C486A" w:rsidRDefault="004C486A" w:rsidP="001A617B">
      <w:pPr>
        <w:ind w:left="1440"/>
        <w:rPr>
          <w:rFonts w:asciiTheme="majorHAnsi" w:hAnsiTheme="majorHAnsi"/>
          <w:sz w:val="22"/>
          <w:szCs w:val="22"/>
        </w:rPr>
      </w:pPr>
      <w:r>
        <w:rPr>
          <w:rFonts w:asciiTheme="majorHAnsi" w:hAnsiTheme="majorHAnsi"/>
          <w:sz w:val="22"/>
          <w:szCs w:val="22"/>
        </w:rPr>
        <w:t>(b) The full names of the IGOs listed on the GAC list provided to the IC</w:t>
      </w:r>
      <w:r w:rsidR="00EA7C46">
        <w:rPr>
          <w:rFonts w:asciiTheme="majorHAnsi" w:hAnsiTheme="majorHAnsi"/>
          <w:sz w:val="22"/>
          <w:szCs w:val="22"/>
        </w:rPr>
        <w:t>ANN Board on 22 March 2013.</w:t>
      </w:r>
    </w:p>
    <w:p w:rsidR="00EA7C46" w:rsidRDefault="00EA7C46" w:rsidP="001A617B">
      <w:pPr>
        <w:ind w:left="720"/>
        <w:rPr>
          <w:rFonts w:asciiTheme="majorHAnsi" w:hAnsiTheme="majorHAnsi"/>
          <w:sz w:val="22"/>
          <w:szCs w:val="22"/>
        </w:rPr>
      </w:pPr>
    </w:p>
    <w:p w:rsidR="00EA7C46" w:rsidRDefault="00EA7C46" w:rsidP="001A617B">
      <w:pPr>
        <w:ind w:left="720"/>
        <w:rPr>
          <w:rFonts w:asciiTheme="majorHAnsi" w:hAnsiTheme="majorHAnsi"/>
          <w:sz w:val="22"/>
          <w:szCs w:val="22"/>
        </w:rPr>
      </w:pPr>
      <w:r>
        <w:rPr>
          <w:rFonts w:asciiTheme="majorHAnsi" w:hAnsiTheme="majorHAnsi"/>
          <w:sz w:val="22"/>
          <w:szCs w:val="22"/>
        </w:rPr>
        <w:t xml:space="preserve">(3) The following </w:t>
      </w:r>
      <w:r w:rsidR="00FA3D92">
        <w:rPr>
          <w:rFonts w:asciiTheme="majorHAnsi" w:hAnsiTheme="majorHAnsi"/>
          <w:sz w:val="22"/>
          <w:szCs w:val="22"/>
        </w:rPr>
        <w:t xml:space="preserve">identifiers </w:t>
      </w:r>
      <w:r w:rsidR="00EB7768">
        <w:rPr>
          <w:rFonts w:asciiTheme="majorHAnsi" w:hAnsiTheme="majorHAnsi"/>
          <w:sz w:val="22"/>
          <w:szCs w:val="22"/>
        </w:rPr>
        <w:t xml:space="preserve">are </w:t>
      </w:r>
      <w:r>
        <w:rPr>
          <w:rFonts w:asciiTheme="majorHAnsi" w:hAnsiTheme="majorHAnsi"/>
          <w:sz w:val="22"/>
          <w:szCs w:val="22"/>
        </w:rPr>
        <w:t>to be bulk-added to the Trademark Clearinghouse (TMCH) for a 90-days claims notification period at the second level:</w:t>
      </w:r>
    </w:p>
    <w:p w:rsidR="001A617B" w:rsidRDefault="001A617B" w:rsidP="001A617B">
      <w:pPr>
        <w:ind w:left="720"/>
        <w:rPr>
          <w:rFonts w:asciiTheme="majorHAnsi" w:hAnsiTheme="majorHAnsi"/>
          <w:sz w:val="22"/>
          <w:szCs w:val="22"/>
        </w:rPr>
      </w:pPr>
    </w:p>
    <w:p w:rsidR="00EA7C46" w:rsidRDefault="00EA7C46" w:rsidP="001A617B">
      <w:pPr>
        <w:ind w:left="1440"/>
        <w:rPr>
          <w:rFonts w:asciiTheme="majorHAnsi" w:hAnsiTheme="majorHAnsi"/>
          <w:sz w:val="22"/>
          <w:szCs w:val="22"/>
        </w:rPr>
      </w:pPr>
      <w:r>
        <w:rPr>
          <w:rFonts w:asciiTheme="majorHAnsi" w:hAnsiTheme="majorHAnsi"/>
          <w:sz w:val="22"/>
          <w:szCs w:val="22"/>
        </w:rPr>
        <w:t>(a) The full names of the INGOs in General and Consultative Status with the United Nations ECOSOC.</w:t>
      </w:r>
    </w:p>
    <w:p w:rsidR="00EA7C46" w:rsidRPr="00EA7C46" w:rsidRDefault="00EA7C46" w:rsidP="004C486A">
      <w:pPr>
        <w:ind w:left="720" w:firstLine="720"/>
        <w:rPr>
          <w:rFonts w:asciiTheme="majorHAnsi" w:hAnsiTheme="majorHAnsi"/>
          <w:sz w:val="22"/>
          <w:szCs w:val="22"/>
        </w:rPr>
      </w:pPr>
    </w:p>
    <w:p w:rsidR="001A617B" w:rsidRPr="001A617B" w:rsidRDefault="001A617B" w:rsidP="004C486A">
      <w:pPr>
        <w:rPr>
          <w:rFonts w:asciiTheme="majorHAnsi" w:hAnsiTheme="majorHAnsi"/>
          <w:i/>
          <w:sz w:val="22"/>
          <w:szCs w:val="22"/>
        </w:rPr>
      </w:pPr>
      <w:r w:rsidRPr="001A617B">
        <w:rPr>
          <w:rFonts w:asciiTheme="majorHAnsi" w:hAnsiTheme="majorHAnsi"/>
          <w:i/>
          <w:sz w:val="22"/>
          <w:szCs w:val="22"/>
        </w:rPr>
        <w:t>(b) Recommendations Not Yet Adopted by the ICANN Board</w:t>
      </w:r>
    </w:p>
    <w:p w:rsidR="00DB364C" w:rsidRDefault="00DB364C" w:rsidP="004C486A">
      <w:pPr>
        <w:rPr>
          <w:rFonts w:asciiTheme="majorHAnsi" w:hAnsiTheme="majorHAnsi"/>
          <w:sz w:val="22"/>
          <w:szCs w:val="22"/>
        </w:rPr>
      </w:pPr>
    </w:p>
    <w:p w:rsidR="00FA3D92" w:rsidRDefault="00EB7768" w:rsidP="00DB364C">
      <w:pPr>
        <w:ind w:firstLine="720"/>
        <w:rPr>
          <w:rFonts w:asciiTheme="majorHAnsi" w:hAnsiTheme="majorHAnsi"/>
          <w:sz w:val="22"/>
          <w:szCs w:val="22"/>
        </w:rPr>
      </w:pPr>
      <w:r w:rsidRPr="00EB7768">
        <w:rPr>
          <w:rFonts w:asciiTheme="majorHAnsi" w:hAnsiTheme="majorHAnsi"/>
          <w:sz w:val="22"/>
          <w:szCs w:val="22"/>
        </w:rPr>
        <w:t xml:space="preserve">A number of </w:t>
      </w:r>
      <w:r>
        <w:rPr>
          <w:rFonts w:asciiTheme="majorHAnsi" w:hAnsiTheme="majorHAnsi"/>
          <w:sz w:val="22"/>
          <w:szCs w:val="22"/>
        </w:rPr>
        <w:t>the IGO-INGO PDP WG’s</w:t>
      </w:r>
      <w:r w:rsidR="00EA7C46">
        <w:rPr>
          <w:rFonts w:asciiTheme="majorHAnsi" w:hAnsiTheme="majorHAnsi"/>
          <w:sz w:val="22"/>
          <w:szCs w:val="22"/>
        </w:rPr>
        <w:t xml:space="preserve"> consensus recommendations have not yet been approved by</w:t>
      </w:r>
      <w:r>
        <w:rPr>
          <w:rFonts w:asciiTheme="majorHAnsi" w:hAnsiTheme="majorHAnsi"/>
          <w:sz w:val="22"/>
          <w:szCs w:val="22"/>
        </w:rPr>
        <w:t xml:space="preserve"> the ICANN Board. These are also</w:t>
      </w:r>
      <w:r w:rsidR="00EA7C46">
        <w:rPr>
          <w:rFonts w:asciiTheme="majorHAnsi" w:hAnsiTheme="majorHAnsi"/>
          <w:sz w:val="22"/>
          <w:szCs w:val="22"/>
        </w:rPr>
        <w:t xml:space="preserve"> </w:t>
      </w:r>
      <w:hyperlink r:id="rId21" w:history="1">
        <w:r w:rsidR="00EA7C46">
          <w:rPr>
            <w:rStyle w:val="Hyperlink"/>
            <w:rFonts w:asciiTheme="majorHAnsi" w:hAnsiTheme="majorHAnsi"/>
            <w:sz w:val="22"/>
            <w:szCs w:val="22"/>
          </w:rPr>
          <w:t>appended</w:t>
        </w:r>
      </w:hyperlink>
      <w:r w:rsidR="00EA7C46">
        <w:rPr>
          <w:rFonts w:asciiTheme="majorHAnsi" w:hAnsiTheme="majorHAnsi"/>
          <w:sz w:val="22"/>
          <w:szCs w:val="22"/>
        </w:rPr>
        <w:t xml:space="preserve"> to the Board’s 30 April 2014 resolution</w:t>
      </w:r>
      <w:r w:rsidR="002B7C68">
        <w:rPr>
          <w:rFonts w:asciiTheme="majorHAnsi" w:hAnsiTheme="majorHAnsi"/>
          <w:sz w:val="22"/>
          <w:szCs w:val="22"/>
        </w:rPr>
        <w:t>, and have been identified as inconsistent with GAC advice received on the topic</w:t>
      </w:r>
      <w:r w:rsidR="00EA7C46">
        <w:rPr>
          <w:rFonts w:asciiTheme="majorHAnsi" w:hAnsiTheme="majorHAnsi"/>
          <w:sz w:val="22"/>
          <w:szCs w:val="22"/>
        </w:rPr>
        <w:t>. Essentially,</w:t>
      </w:r>
      <w:r w:rsidR="001A617B">
        <w:rPr>
          <w:rFonts w:asciiTheme="majorHAnsi" w:hAnsiTheme="majorHAnsi"/>
          <w:sz w:val="22"/>
          <w:szCs w:val="22"/>
        </w:rPr>
        <w:t xml:space="preserve"> the remaining </w:t>
      </w:r>
      <w:r w:rsidR="00FA3D92">
        <w:rPr>
          <w:rFonts w:asciiTheme="majorHAnsi" w:hAnsiTheme="majorHAnsi"/>
          <w:sz w:val="22"/>
          <w:szCs w:val="22"/>
        </w:rPr>
        <w:t xml:space="preserve">GNSO </w:t>
      </w:r>
      <w:r w:rsidR="001A617B">
        <w:rPr>
          <w:rFonts w:asciiTheme="majorHAnsi" w:hAnsiTheme="majorHAnsi"/>
          <w:sz w:val="22"/>
          <w:szCs w:val="22"/>
        </w:rPr>
        <w:t>recommendations</w:t>
      </w:r>
      <w:r w:rsidR="00EA7C46">
        <w:rPr>
          <w:rFonts w:asciiTheme="majorHAnsi" w:hAnsiTheme="majorHAnsi"/>
          <w:sz w:val="22"/>
          <w:szCs w:val="22"/>
        </w:rPr>
        <w:t xml:space="preserve"> </w:t>
      </w:r>
      <w:r w:rsidR="00FA3D92">
        <w:rPr>
          <w:rFonts w:asciiTheme="majorHAnsi" w:hAnsiTheme="majorHAnsi"/>
          <w:sz w:val="22"/>
          <w:szCs w:val="22"/>
        </w:rPr>
        <w:t>are</w:t>
      </w:r>
      <w:r w:rsidR="00EA7C46">
        <w:rPr>
          <w:rFonts w:asciiTheme="majorHAnsi" w:hAnsiTheme="majorHAnsi"/>
          <w:sz w:val="22"/>
          <w:szCs w:val="22"/>
        </w:rPr>
        <w:t>:</w:t>
      </w:r>
    </w:p>
    <w:p w:rsidR="001A617B" w:rsidRDefault="001A617B" w:rsidP="00DB364C">
      <w:pPr>
        <w:ind w:firstLine="720"/>
        <w:rPr>
          <w:rFonts w:asciiTheme="majorHAnsi" w:hAnsiTheme="majorHAnsi"/>
          <w:sz w:val="22"/>
          <w:szCs w:val="22"/>
        </w:rPr>
      </w:pPr>
      <w:r>
        <w:rPr>
          <w:rFonts w:asciiTheme="majorHAnsi" w:hAnsiTheme="majorHAnsi"/>
          <w:sz w:val="22"/>
          <w:szCs w:val="22"/>
        </w:rPr>
        <w:t xml:space="preserve"> </w:t>
      </w:r>
    </w:p>
    <w:p w:rsidR="004C486A" w:rsidRPr="00427EF8" w:rsidRDefault="00427EF8" w:rsidP="00427EF8">
      <w:pPr>
        <w:pStyle w:val="ListParagraph"/>
        <w:numPr>
          <w:ilvl w:val="0"/>
          <w:numId w:val="4"/>
        </w:numPr>
        <w:rPr>
          <w:rFonts w:asciiTheme="majorHAnsi" w:hAnsiTheme="majorHAnsi"/>
          <w:sz w:val="22"/>
          <w:szCs w:val="22"/>
        </w:rPr>
      </w:pPr>
      <w:r w:rsidRPr="00427EF8">
        <w:rPr>
          <w:rFonts w:asciiTheme="majorHAnsi" w:hAnsiTheme="majorHAnsi"/>
          <w:sz w:val="22"/>
          <w:szCs w:val="22"/>
        </w:rPr>
        <w:t>No</w:t>
      </w:r>
      <w:r w:rsidR="001A617B" w:rsidRPr="00427EF8">
        <w:rPr>
          <w:rFonts w:asciiTheme="majorHAnsi" w:hAnsiTheme="majorHAnsi"/>
          <w:sz w:val="22"/>
          <w:szCs w:val="22"/>
        </w:rPr>
        <w:t xml:space="preserve"> IGO acronyms</w:t>
      </w:r>
      <w:r w:rsidRPr="00427EF8">
        <w:rPr>
          <w:rFonts w:asciiTheme="majorHAnsi" w:hAnsiTheme="majorHAnsi"/>
          <w:sz w:val="22"/>
          <w:szCs w:val="22"/>
        </w:rPr>
        <w:t xml:space="preserve"> to be reserved at either the top or second level</w:t>
      </w:r>
    </w:p>
    <w:p w:rsidR="001A617B" w:rsidRPr="00427EF8" w:rsidRDefault="001A617B" w:rsidP="00427EF8">
      <w:pPr>
        <w:pStyle w:val="ListParagraph"/>
        <w:numPr>
          <w:ilvl w:val="0"/>
          <w:numId w:val="4"/>
        </w:numPr>
        <w:rPr>
          <w:rFonts w:asciiTheme="majorHAnsi" w:hAnsiTheme="majorHAnsi"/>
          <w:sz w:val="22"/>
          <w:szCs w:val="22"/>
        </w:rPr>
      </w:pPr>
      <w:r w:rsidRPr="00427EF8">
        <w:rPr>
          <w:rFonts w:asciiTheme="majorHAnsi" w:hAnsiTheme="majorHAnsi"/>
          <w:sz w:val="22"/>
          <w:szCs w:val="22"/>
        </w:rPr>
        <w:t>Full names of 189 national Red Cross societies</w:t>
      </w:r>
      <w:r w:rsidR="00FA3D92">
        <w:rPr>
          <w:rFonts w:asciiTheme="majorHAnsi" w:hAnsiTheme="majorHAnsi"/>
          <w:sz w:val="22"/>
          <w:szCs w:val="22"/>
        </w:rPr>
        <w:t xml:space="preserve">, and </w:t>
      </w:r>
      <w:r w:rsidRPr="00427EF8">
        <w:rPr>
          <w:rFonts w:asciiTheme="majorHAnsi" w:hAnsiTheme="majorHAnsi"/>
          <w:sz w:val="22"/>
          <w:szCs w:val="22"/>
        </w:rPr>
        <w:t>full names and acronyms of the four international Red Cross entities</w:t>
      </w:r>
      <w:r w:rsidR="00FA3D92">
        <w:rPr>
          <w:rFonts w:asciiTheme="majorHAnsi" w:hAnsiTheme="majorHAnsi"/>
          <w:sz w:val="22"/>
          <w:szCs w:val="22"/>
        </w:rPr>
        <w:t>,</w:t>
      </w:r>
      <w:r w:rsidRPr="00427EF8">
        <w:rPr>
          <w:rFonts w:asciiTheme="majorHAnsi" w:hAnsiTheme="majorHAnsi"/>
          <w:sz w:val="22"/>
          <w:szCs w:val="22"/>
        </w:rPr>
        <w:t xml:space="preserve"> </w:t>
      </w:r>
      <w:r w:rsidR="00FA3D92">
        <w:rPr>
          <w:rFonts w:asciiTheme="majorHAnsi" w:hAnsiTheme="majorHAnsi"/>
          <w:sz w:val="22"/>
          <w:szCs w:val="22"/>
        </w:rPr>
        <w:t xml:space="preserve">to </w:t>
      </w:r>
      <w:r w:rsidRPr="00427EF8">
        <w:rPr>
          <w:rFonts w:asciiTheme="majorHAnsi" w:hAnsiTheme="majorHAnsi"/>
          <w:sz w:val="22"/>
          <w:szCs w:val="22"/>
        </w:rPr>
        <w:t>be entered into the TMCH for a 90-days claims notification period</w:t>
      </w:r>
    </w:p>
    <w:p w:rsidR="00427EF8" w:rsidRPr="00427EF8" w:rsidRDefault="00427EF8" w:rsidP="00427EF8">
      <w:pPr>
        <w:pStyle w:val="ListParagraph"/>
        <w:numPr>
          <w:ilvl w:val="0"/>
          <w:numId w:val="4"/>
        </w:numPr>
        <w:rPr>
          <w:rFonts w:asciiTheme="majorHAnsi" w:hAnsiTheme="majorHAnsi"/>
          <w:sz w:val="22"/>
          <w:szCs w:val="22"/>
        </w:rPr>
      </w:pPr>
      <w:r w:rsidRPr="00427EF8">
        <w:rPr>
          <w:rFonts w:asciiTheme="majorHAnsi" w:hAnsiTheme="majorHAnsi"/>
          <w:sz w:val="22"/>
          <w:szCs w:val="22"/>
        </w:rPr>
        <w:t>IGO acronyms to be protected via entry into the TMCH for a 90-days claims notification process</w:t>
      </w:r>
    </w:p>
    <w:p w:rsidR="00427EF8" w:rsidRPr="00427EF8" w:rsidRDefault="00427EF8" w:rsidP="00427EF8">
      <w:pPr>
        <w:pStyle w:val="ListParagraph"/>
        <w:numPr>
          <w:ilvl w:val="0"/>
          <w:numId w:val="4"/>
        </w:numPr>
        <w:rPr>
          <w:rFonts w:asciiTheme="majorHAnsi" w:hAnsiTheme="majorHAnsi"/>
          <w:sz w:val="22"/>
          <w:szCs w:val="22"/>
        </w:rPr>
      </w:pPr>
      <w:r>
        <w:rPr>
          <w:rFonts w:asciiTheme="majorHAnsi" w:hAnsiTheme="majorHAnsi"/>
          <w:sz w:val="22"/>
          <w:szCs w:val="22"/>
        </w:rPr>
        <w:t>C</w:t>
      </w:r>
      <w:r w:rsidRPr="00427EF8">
        <w:rPr>
          <w:rFonts w:asciiTheme="majorHAnsi" w:hAnsiTheme="majorHAnsi"/>
          <w:sz w:val="22"/>
          <w:szCs w:val="22"/>
        </w:rPr>
        <w:t>urative rights protections for IGOs</w:t>
      </w:r>
      <w:r>
        <w:rPr>
          <w:rFonts w:asciiTheme="majorHAnsi" w:hAnsiTheme="majorHAnsi"/>
          <w:sz w:val="22"/>
          <w:szCs w:val="22"/>
        </w:rPr>
        <w:t xml:space="preserve"> </w:t>
      </w:r>
      <w:r w:rsidR="00FA3D92">
        <w:rPr>
          <w:rFonts w:asciiTheme="majorHAnsi" w:hAnsiTheme="majorHAnsi"/>
          <w:sz w:val="22"/>
          <w:szCs w:val="22"/>
        </w:rPr>
        <w:t xml:space="preserve">and INGOs </w:t>
      </w:r>
      <w:r>
        <w:rPr>
          <w:rFonts w:asciiTheme="majorHAnsi" w:hAnsiTheme="majorHAnsi"/>
          <w:sz w:val="22"/>
          <w:szCs w:val="22"/>
        </w:rPr>
        <w:t xml:space="preserve">to be explored via an Issue Report leading to a possible PDP </w:t>
      </w:r>
    </w:p>
    <w:p w:rsidR="001A617B" w:rsidRDefault="001A617B" w:rsidP="004C486A">
      <w:pPr>
        <w:rPr>
          <w:rFonts w:asciiTheme="majorHAnsi" w:hAnsiTheme="majorHAnsi"/>
          <w:sz w:val="22"/>
          <w:szCs w:val="22"/>
        </w:rPr>
      </w:pPr>
    </w:p>
    <w:p w:rsidR="001A617B" w:rsidRDefault="00DB364C" w:rsidP="004C486A">
      <w:pPr>
        <w:rPr>
          <w:rFonts w:asciiTheme="majorHAnsi" w:hAnsiTheme="majorHAnsi"/>
          <w:b/>
          <w:sz w:val="22"/>
          <w:szCs w:val="22"/>
        </w:rPr>
      </w:pPr>
      <w:r>
        <w:rPr>
          <w:rFonts w:asciiTheme="majorHAnsi" w:hAnsiTheme="majorHAnsi"/>
          <w:b/>
          <w:sz w:val="22"/>
          <w:szCs w:val="22"/>
        </w:rPr>
        <w:t>NOTE:</w:t>
      </w:r>
    </w:p>
    <w:p w:rsidR="00DB364C" w:rsidRDefault="00DB364C" w:rsidP="004C486A">
      <w:pPr>
        <w:rPr>
          <w:rFonts w:asciiTheme="majorHAnsi" w:hAnsiTheme="majorHAnsi"/>
          <w:b/>
          <w:sz w:val="22"/>
          <w:szCs w:val="22"/>
        </w:rPr>
      </w:pPr>
    </w:p>
    <w:p w:rsidR="00DB364C" w:rsidRDefault="00DB364C" w:rsidP="004C486A">
      <w:pPr>
        <w:rPr>
          <w:rFonts w:asciiTheme="majorHAnsi" w:hAnsiTheme="majorHAnsi"/>
          <w:sz w:val="22"/>
          <w:szCs w:val="22"/>
        </w:rPr>
      </w:pPr>
      <w:r>
        <w:rPr>
          <w:rFonts w:asciiTheme="majorHAnsi" w:hAnsiTheme="majorHAnsi"/>
          <w:sz w:val="22"/>
          <w:szCs w:val="22"/>
        </w:rPr>
        <w:tab/>
        <w:t xml:space="preserve">The IGO-INGO PDP WG’s list of </w:t>
      </w:r>
      <w:r w:rsidR="002B7C68">
        <w:rPr>
          <w:rFonts w:asciiTheme="majorHAnsi" w:hAnsiTheme="majorHAnsi"/>
          <w:sz w:val="22"/>
          <w:szCs w:val="22"/>
        </w:rPr>
        <w:t xml:space="preserve">all </w:t>
      </w:r>
      <w:r>
        <w:rPr>
          <w:rFonts w:asciiTheme="majorHAnsi" w:hAnsiTheme="majorHAnsi"/>
          <w:sz w:val="22"/>
          <w:szCs w:val="22"/>
        </w:rPr>
        <w:t xml:space="preserve">Red Cross, IOC, IGO and INGO identifiers </w:t>
      </w:r>
      <w:r w:rsidR="002B7C68">
        <w:rPr>
          <w:rFonts w:asciiTheme="majorHAnsi" w:hAnsiTheme="majorHAnsi"/>
          <w:sz w:val="22"/>
          <w:szCs w:val="22"/>
        </w:rPr>
        <w:t xml:space="preserve">recommended for protection </w:t>
      </w:r>
      <w:r>
        <w:rPr>
          <w:rFonts w:asciiTheme="majorHAnsi" w:hAnsiTheme="majorHAnsi"/>
          <w:sz w:val="22"/>
          <w:szCs w:val="22"/>
        </w:rPr>
        <w:t xml:space="preserve">can be found in </w:t>
      </w:r>
      <w:r w:rsidRPr="00DB364C">
        <w:rPr>
          <w:rFonts w:asciiTheme="majorHAnsi" w:hAnsiTheme="majorHAnsi"/>
          <w:sz w:val="22"/>
          <w:szCs w:val="22"/>
          <w:u w:val="single"/>
        </w:rPr>
        <w:t xml:space="preserve">Annex </w:t>
      </w:r>
      <w:r w:rsidR="00EB7768">
        <w:rPr>
          <w:rFonts w:asciiTheme="majorHAnsi" w:hAnsiTheme="majorHAnsi"/>
          <w:sz w:val="22"/>
          <w:szCs w:val="22"/>
          <w:u w:val="single"/>
        </w:rPr>
        <w:t>A</w:t>
      </w:r>
      <w:r>
        <w:rPr>
          <w:rFonts w:asciiTheme="majorHAnsi" w:hAnsiTheme="majorHAnsi"/>
          <w:sz w:val="22"/>
          <w:szCs w:val="22"/>
        </w:rPr>
        <w:t>.</w:t>
      </w:r>
      <w:r w:rsidR="00853B03">
        <w:rPr>
          <w:rFonts w:asciiTheme="majorHAnsi" w:hAnsiTheme="majorHAnsi"/>
          <w:sz w:val="22"/>
          <w:szCs w:val="22"/>
        </w:rPr>
        <w:t xml:space="preserve"> </w:t>
      </w:r>
    </w:p>
    <w:p w:rsidR="00853B03" w:rsidRDefault="00853B03" w:rsidP="004C486A">
      <w:pPr>
        <w:rPr>
          <w:rFonts w:asciiTheme="majorHAnsi" w:hAnsiTheme="majorHAnsi"/>
          <w:sz w:val="22"/>
          <w:szCs w:val="22"/>
        </w:rPr>
      </w:pPr>
    </w:p>
    <w:p w:rsidR="00853B03" w:rsidRPr="00DB364C" w:rsidRDefault="00853B03" w:rsidP="00853B03">
      <w:pPr>
        <w:ind w:firstLine="720"/>
        <w:rPr>
          <w:rFonts w:asciiTheme="majorHAnsi" w:hAnsiTheme="majorHAnsi"/>
          <w:sz w:val="22"/>
          <w:szCs w:val="22"/>
        </w:rPr>
      </w:pPr>
      <w:r>
        <w:rPr>
          <w:rFonts w:asciiTheme="majorHAnsi" w:hAnsiTheme="majorHAnsi"/>
          <w:sz w:val="22"/>
          <w:szCs w:val="22"/>
        </w:rPr>
        <w:t xml:space="preserve">The adopted recommendations will be implemented by ICANN staff working with an Implementation Review Team comprised largely of community members from the original IGO-INGO PDP WG. An implementation plan will be developed as part of </w:t>
      </w:r>
      <w:bookmarkStart w:id="0" w:name="_GoBack"/>
      <w:bookmarkEnd w:id="0"/>
      <w:r>
        <w:rPr>
          <w:rFonts w:asciiTheme="majorHAnsi" w:hAnsiTheme="majorHAnsi"/>
          <w:sz w:val="22"/>
          <w:szCs w:val="22"/>
        </w:rPr>
        <w:t xml:space="preserve">the process. </w:t>
      </w:r>
    </w:p>
    <w:p w:rsidR="004C486A" w:rsidRPr="004C486A" w:rsidRDefault="004C486A" w:rsidP="004C486A">
      <w:pPr>
        <w:rPr>
          <w:rFonts w:asciiTheme="majorHAnsi" w:hAnsiTheme="majorHAnsi"/>
          <w:b/>
          <w:sz w:val="22"/>
          <w:szCs w:val="22"/>
        </w:rPr>
      </w:pPr>
    </w:p>
    <w:p w:rsidR="00DB364C" w:rsidRPr="007C482E" w:rsidRDefault="00FA3D92" w:rsidP="004C486A">
      <w:pPr>
        <w:rPr>
          <w:rFonts w:asciiTheme="majorHAnsi" w:hAnsiTheme="majorHAnsi"/>
          <w:b/>
        </w:rPr>
      </w:pPr>
      <w:r w:rsidRPr="007C482E">
        <w:rPr>
          <w:rFonts w:asciiTheme="majorHAnsi" w:hAnsiTheme="majorHAnsi"/>
          <w:b/>
        </w:rPr>
        <w:t xml:space="preserve">Part III: </w:t>
      </w:r>
      <w:r w:rsidR="0044446F" w:rsidRPr="007C482E">
        <w:rPr>
          <w:rFonts w:asciiTheme="majorHAnsi" w:hAnsiTheme="majorHAnsi"/>
          <w:b/>
        </w:rPr>
        <w:t xml:space="preserve">Timeline of </w:t>
      </w:r>
      <w:r w:rsidRPr="007C482E">
        <w:rPr>
          <w:rFonts w:asciiTheme="majorHAnsi" w:hAnsiTheme="majorHAnsi"/>
          <w:b/>
        </w:rPr>
        <w:t>Relevant GAC Advice on IGO</w:t>
      </w:r>
      <w:r w:rsidR="007C482E">
        <w:rPr>
          <w:rFonts w:asciiTheme="majorHAnsi" w:hAnsiTheme="majorHAnsi"/>
          <w:b/>
        </w:rPr>
        <w:t xml:space="preserve"> &amp; INGO</w:t>
      </w:r>
      <w:r w:rsidRPr="007C482E">
        <w:rPr>
          <w:rFonts w:asciiTheme="majorHAnsi" w:hAnsiTheme="majorHAnsi"/>
          <w:b/>
        </w:rPr>
        <w:t xml:space="preserve"> Identifier Protections &amp; Related Interim Protections Granted by the ICANN Board</w:t>
      </w:r>
    </w:p>
    <w:p w:rsidR="00FA3D92" w:rsidRDefault="00FA3D92" w:rsidP="004C486A">
      <w:pPr>
        <w:rPr>
          <w:rFonts w:asciiTheme="majorHAnsi" w:hAnsiTheme="majorHAnsi"/>
          <w:b/>
          <w:sz w:val="22"/>
          <w:szCs w:val="22"/>
        </w:rPr>
      </w:pPr>
    </w:p>
    <w:p w:rsidR="003847A9" w:rsidRPr="003847A9" w:rsidRDefault="003847A9" w:rsidP="00957D2D">
      <w:pPr>
        <w:pStyle w:val="ListParagraph"/>
        <w:numPr>
          <w:ilvl w:val="0"/>
          <w:numId w:val="5"/>
        </w:numPr>
        <w:spacing w:after="120"/>
        <w:contextualSpacing w:val="0"/>
        <w:rPr>
          <w:rFonts w:asciiTheme="majorHAnsi" w:hAnsiTheme="majorHAnsi"/>
          <w:sz w:val="22"/>
          <w:szCs w:val="22"/>
        </w:rPr>
      </w:pPr>
      <w:r w:rsidRPr="003847A9">
        <w:rPr>
          <w:rFonts w:asciiTheme="majorHAnsi" w:hAnsiTheme="majorHAnsi"/>
          <w:b/>
          <w:sz w:val="22"/>
          <w:szCs w:val="22"/>
        </w:rPr>
        <w:t>12 May 2011</w:t>
      </w:r>
      <w:r>
        <w:rPr>
          <w:rFonts w:asciiTheme="majorHAnsi" w:hAnsiTheme="majorHAnsi"/>
          <w:sz w:val="22"/>
          <w:szCs w:val="22"/>
        </w:rPr>
        <w:t xml:space="preserve">: GAC </w:t>
      </w:r>
      <w:hyperlink r:id="rId22" w:history="1">
        <w:r>
          <w:rPr>
            <w:rStyle w:val="Hyperlink"/>
            <w:rFonts w:asciiTheme="majorHAnsi" w:hAnsiTheme="majorHAnsi"/>
            <w:sz w:val="22"/>
            <w:szCs w:val="22"/>
          </w:rPr>
          <w:t>Statement</w:t>
        </w:r>
      </w:hyperlink>
      <w:r>
        <w:rPr>
          <w:rFonts w:asciiTheme="majorHAnsi" w:hAnsiTheme="majorHAnsi"/>
          <w:sz w:val="22"/>
          <w:szCs w:val="22"/>
        </w:rPr>
        <w:t xml:space="preserve"> supporting Red Cross and IOC requests to add key words “most directly associated” with them to a Reserved Names list</w:t>
      </w:r>
    </w:p>
    <w:p w:rsidR="00464D4F" w:rsidRPr="00843126" w:rsidRDefault="00464D4F" w:rsidP="00957D2D">
      <w:pPr>
        <w:pStyle w:val="ListParagraph"/>
        <w:numPr>
          <w:ilvl w:val="0"/>
          <w:numId w:val="5"/>
        </w:numPr>
        <w:spacing w:after="120"/>
        <w:contextualSpacing w:val="0"/>
        <w:rPr>
          <w:rFonts w:asciiTheme="majorHAnsi" w:hAnsiTheme="majorHAnsi"/>
          <w:sz w:val="22"/>
          <w:szCs w:val="22"/>
        </w:rPr>
      </w:pPr>
      <w:r w:rsidRPr="00957D2D">
        <w:rPr>
          <w:rFonts w:asciiTheme="majorHAnsi" w:hAnsiTheme="majorHAnsi"/>
          <w:b/>
          <w:sz w:val="22"/>
          <w:szCs w:val="22"/>
        </w:rPr>
        <w:t>28 June 2</w:t>
      </w:r>
      <w:r w:rsidR="00843126" w:rsidRPr="00957D2D">
        <w:rPr>
          <w:rFonts w:asciiTheme="majorHAnsi" w:hAnsiTheme="majorHAnsi"/>
          <w:b/>
          <w:sz w:val="22"/>
          <w:szCs w:val="22"/>
        </w:rPr>
        <w:t>011</w:t>
      </w:r>
      <w:r w:rsidR="00843126" w:rsidRPr="00843126">
        <w:rPr>
          <w:rFonts w:asciiTheme="majorHAnsi" w:hAnsiTheme="majorHAnsi"/>
          <w:sz w:val="22"/>
          <w:szCs w:val="22"/>
        </w:rPr>
        <w:t xml:space="preserve">: Board </w:t>
      </w:r>
      <w:hyperlink r:id="rId23" w:history="1">
        <w:r w:rsidR="00843126" w:rsidRPr="00843126">
          <w:rPr>
            <w:rStyle w:val="Hyperlink"/>
            <w:rFonts w:asciiTheme="majorHAnsi" w:hAnsiTheme="majorHAnsi"/>
            <w:sz w:val="22"/>
            <w:szCs w:val="22"/>
          </w:rPr>
          <w:t>Resolution</w:t>
        </w:r>
      </w:hyperlink>
      <w:r w:rsidR="00843126" w:rsidRPr="00843126">
        <w:rPr>
          <w:rFonts w:asciiTheme="majorHAnsi" w:hAnsiTheme="majorHAnsi"/>
          <w:sz w:val="22"/>
          <w:szCs w:val="22"/>
        </w:rPr>
        <w:t xml:space="preserve"> to reserve certain Red Cross and IOC names at the top level</w:t>
      </w:r>
      <w:r w:rsidRPr="00843126">
        <w:rPr>
          <w:rFonts w:asciiTheme="majorHAnsi" w:hAnsiTheme="majorHAnsi"/>
          <w:sz w:val="22"/>
          <w:szCs w:val="22"/>
        </w:rPr>
        <w:t xml:space="preserve">, on an interim basis </w:t>
      </w:r>
      <w:r w:rsidR="00843126" w:rsidRPr="00843126">
        <w:rPr>
          <w:rFonts w:asciiTheme="majorHAnsi" w:hAnsiTheme="majorHAnsi"/>
          <w:sz w:val="22"/>
          <w:szCs w:val="22"/>
        </w:rPr>
        <w:t xml:space="preserve">and only for the initial New gTLD round </w:t>
      </w:r>
      <w:r w:rsidRPr="00843126">
        <w:rPr>
          <w:rFonts w:asciiTheme="majorHAnsi" w:hAnsiTheme="majorHAnsi"/>
          <w:sz w:val="22"/>
          <w:szCs w:val="22"/>
        </w:rPr>
        <w:t xml:space="preserve">“until </w:t>
      </w:r>
      <w:r w:rsidR="00843126" w:rsidRPr="00843126">
        <w:rPr>
          <w:rFonts w:asciiTheme="majorHAnsi" w:hAnsiTheme="majorHAnsi"/>
          <w:sz w:val="22"/>
          <w:szCs w:val="22"/>
        </w:rPr>
        <w:t xml:space="preserve">the GNSO and the GAC develop policy advice based on the global public interest” (implemented in the </w:t>
      </w:r>
      <w:r w:rsidR="00843126" w:rsidRPr="00957D2D">
        <w:rPr>
          <w:rFonts w:asciiTheme="majorHAnsi" w:hAnsiTheme="majorHAnsi"/>
          <w:b/>
          <w:sz w:val="22"/>
          <w:szCs w:val="22"/>
        </w:rPr>
        <w:t>January 2012</w:t>
      </w:r>
      <w:r w:rsidR="00843126" w:rsidRPr="00843126">
        <w:rPr>
          <w:rFonts w:asciiTheme="majorHAnsi" w:hAnsiTheme="majorHAnsi"/>
          <w:sz w:val="22"/>
          <w:szCs w:val="22"/>
        </w:rPr>
        <w:t xml:space="preserve"> version of the Applicant Guidebook)</w:t>
      </w:r>
    </w:p>
    <w:p w:rsidR="00FA3D92" w:rsidRPr="00843126" w:rsidRDefault="00464D4F" w:rsidP="00957D2D">
      <w:pPr>
        <w:pStyle w:val="ListParagraph"/>
        <w:numPr>
          <w:ilvl w:val="0"/>
          <w:numId w:val="5"/>
        </w:numPr>
        <w:spacing w:after="120"/>
        <w:contextualSpacing w:val="0"/>
        <w:rPr>
          <w:rFonts w:asciiTheme="majorHAnsi" w:hAnsiTheme="majorHAnsi"/>
          <w:sz w:val="22"/>
          <w:szCs w:val="22"/>
        </w:rPr>
      </w:pPr>
      <w:r w:rsidRPr="00957D2D">
        <w:rPr>
          <w:rFonts w:asciiTheme="majorHAnsi" w:hAnsiTheme="majorHAnsi"/>
          <w:b/>
          <w:sz w:val="22"/>
          <w:szCs w:val="22"/>
        </w:rPr>
        <w:t>14 September 2011</w:t>
      </w:r>
      <w:r w:rsidRPr="00843126">
        <w:rPr>
          <w:rFonts w:asciiTheme="majorHAnsi" w:hAnsiTheme="majorHAnsi"/>
          <w:sz w:val="22"/>
          <w:szCs w:val="22"/>
        </w:rPr>
        <w:t xml:space="preserve">: GAC </w:t>
      </w:r>
      <w:hyperlink r:id="rId24" w:history="1">
        <w:r w:rsidRPr="00843126">
          <w:rPr>
            <w:rStyle w:val="Hyperlink"/>
            <w:rFonts w:asciiTheme="majorHAnsi" w:hAnsiTheme="majorHAnsi"/>
            <w:sz w:val="22"/>
            <w:szCs w:val="22"/>
          </w:rPr>
          <w:t>Proposal</w:t>
        </w:r>
      </w:hyperlink>
      <w:r w:rsidRPr="00843126">
        <w:rPr>
          <w:rFonts w:asciiTheme="majorHAnsi" w:hAnsiTheme="majorHAnsi"/>
          <w:sz w:val="22"/>
          <w:szCs w:val="22"/>
        </w:rPr>
        <w:t xml:space="preserve"> to the GNSO to reserve at the second level those terms “most directly associated” with the Red Cross and IOC</w:t>
      </w:r>
      <w:r w:rsidR="00957D2D">
        <w:rPr>
          <w:rFonts w:asciiTheme="majorHAnsi" w:hAnsiTheme="majorHAnsi"/>
          <w:sz w:val="22"/>
          <w:szCs w:val="22"/>
        </w:rPr>
        <w:t>, including an “illustrative list” of such terms</w:t>
      </w:r>
      <w:r w:rsidR="003847A9">
        <w:rPr>
          <w:rStyle w:val="FootnoteReference"/>
          <w:rFonts w:asciiTheme="majorHAnsi" w:hAnsiTheme="majorHAnsi"/>
          <w:sz w:val="22"/>
          <w:szCs w:val="22"/>
        </w:rPr>
        <w:footnoteReference w:id="4"/>
      </w:r>
      <w:r w:rsidRPr="00843126">
        <w:rPr>
          <w:rFonts w:asciiTheme="majorHAnsi" w:hAnsiTheme="majorHAnsi"/>
          <w:sz w:val="22"/>
          <w:szCs w:val="22"/>
        </w:rPr>
        <w:t xml:space="preserve"> </w:t>
      </w:r>
    </w:p>
    <w:p w:rsidR="00843126" w:rsidRPr="00843126" w:rsidRDefault="00843126" w:rsidP="00957D2D">
      <w:pPr>
        <w:pStyle w:val="ListParagraph"/>
        <w:numPr>
          <w:ilvl w:val="0"/>
          <w:numId w:val="5"/>
        </w:numPr>
        <w:spacing w:after="120"/>
        <w:contextualSpacing w:val="0"/>
        <w:rPr>
          <w:rFonts w:asciiTheme="majorHAnsi" w:hAnsiTheme="majorHAnsi"/>
          <w:sz w:val="22"/>
          <w:szCs w:val="22"/>
        </w:rPr>
      </w:pPr>
      <w:r w:rsidRPr="00957D2D">
        <w:rPr>
          <w:rFonts w:asciiTheme="majorHAnsi" w:hAnsiTheme="majorHAnsi"/>
          <w:b/>
          <w:sz w:val="22"/>
          <w:szCs w:val="22"/>
        </w:rPr>
        <w:t>13 December 2011</w:t>
      </w:r>
      <w:r w:rsidRPr="00843126">
        <w:rPr>
          <w:rFonts w:asciiTheme="majorHAnsi" w:hAnsiTheme="majorHAnsi"/>
          <w:sz w:val="22"/>
          <w:szCs w:val="22"/>
        </w:rPr>
        <w:t xml:space="preserve">: Legal Counsel from a number of IGOs send a </w:t>
      </w:r>
      <w:hyperlink r:id="rId25" w:history="1">
        <w:r w:rsidRPr="00843126">
          <w:rPr>
            <w:rStyle w:val="Hyperlink"/>
            <w:rFonts w:asciiTheme="majorHAnsi" w:hAnsiTheme="majorHAnsi"/>
            <w:sz w:val="22"/>
            <w:szCs w:val="22"/>
          </w:rPr>
          <w:t>letter</w:t>
        </w:r>
      </w:hyperlink>
      <w:r w:rsidRPr="00843126">
        <w:rPr>
          <w:rFonts w:asciiTheme="majorHAnsi" w:hAnsiTheme="majorHAnsi"/>
          <w:sz w:val="22"/>
          <w:szCs w:val="22"/>
        </w:rPr>
        <w:t xml:space="preserve"> to the ICANN Board requesting withholding of their organizational names and acronyms from delegation and registration at the top and second level for the initial New gTLD round (request referred to the GAC and the GNSO in March 2012)</w:t>
      </w:r>
    </w:p>
    <w:p w:rsidR="00843126" w:rsidRPr="00843126" w:rsidRDefault="00843126" w:rsidP="00957D2D">
      <w:pPr>
        <w:pStyle w:val="ListParagraph"/>
        <w:numPr>
          <w:ilvl w:val="0"/>
          <w:numId w:val="5"/>
        </w:numPr>
        <w:spacing w:after="120"/>
        <w:contextualSpacing w:val="0"/>
        <w:rPr>
          <w:rFonts w:asciiTheme="majorHAnsi" w:hAnsiTheme="majorHAnsi"/>
          <w:sz w:val="22"/>
          <w:szCs w:val="22"/>
        </w:rPr>
      </w:pPr>
      <w:r w:rsidRPr="00957D2D">
        <w:rPr>
          <w:rFonts w:asciiTheme="majorHAnsi" w:hAnsiTheme="majorHAnsi"/>
          <w:b/>
          <w:sz w:val="22"/>
          <w:szCs w:val="22"/>
        </w:rPr>
        <w:t>4 May 2012</w:t>
      </w:r>
      <w:r w:rsidRPr="00843126">
        <w:rPr>
          <w:rFonts w:asciiTheme="majorHAnsi" w:hAnsiTheme="majorHAnsi"/>
          <w:sz w:val="22"/>
          <w:szCs w:val="22"/>
        </w:rPr>
        <w:t xml:space="preserve">: IGOs publish </w:t>
      </w:r>
      <w:hyperlink r:id="rId26" w:history="1">
        <w:r w:rsidRPr="00843126">
          <w:rPr>
            <w:rStyle w:val="Hyperlink"/>
            <w:rFonts w:asciiTheme="majorHAnsi" w:hAnsiTheme="majorHAnsi"/>
            <w:sz w:val="22"/>
            <w:szCs w:val="22"/>
          </w:rPr>
          <w:t>Common Position Paper</w:t>
        </w:r>
      </w:hyperlink>
      <w:r w:rsidRPr="00843126">
        <w:rPr>
          <w:rFonts w:asciiTheme="majorHAnsi" w:hAnsiTheme="majorHAnsi"/>
          <w:sz w:val="22"/>
          <w:szCs w:val="22"/>
        </w:rPr>
        <w:t xml:space="preserve"> setting forth their arguments and position</w:t>
      </w:r>
    </w:p>
    <w:p w:rsidR="00843126" w:rsidRDefault="00843126" w:rsidP="00957D2D">
      <w:pPr>
        <w:pStyle w:val="ListParagraph"/>
        <w:numPr>
          <w:ilvl w:val="0"/>
          <w:numId w:val="5"/>
        </w:numPr>
        <w:spacing w:after="120"/>
        <w:contextualSpacing w:val="0"/>
        <w:rPr>
          <w:rFonts w:asciiTheme="majorHAnsi" w:hAnsiTheme="majorHAnsi"/>
          <w:sz w:val="22"/>
          <w:szCs w:val="22"/>
        </w:rPr>
      </w:pPr>
      <w:r w:rsidRPr="00957D2D">
        <w:rPr>
          <w:rFonts w:asciiTheme="majorHAnsi" w:hAnsiTheme="majorHAnsi"/>
          <w:b/>
          <w:sz w:val="22"/>
          <w:szCs w:val="22"/>
        </w:rPr>
        <w:t>13 September 2012</w:t>
      </w:r>
      <w:r w:rsidRPr="00843126">
        <w:rPr>
          <w:rFonts w:asciiTheme="majorHAnsi" w:hAnsiTheme="majorHAnsi"/>
          <w:sz w:val="22"/>
          <w:szCs w:val="22"/>
        </w:rPr>
        <w:t xml:space="preserve">: Board </w:t>
      </w:r>
      <w:hyperlink r:id="rId27" w:history="1">
        <w:r w:rsidRPr="00843126">
          <w:rPr>
            <w:rStyle w:val="Hyperlink"/>
            <w:rFonts w:asciiTheme="majorHAnsi" w:hAnsiTheme="majorHAnsi"/>
            <w:sz w:val="22"/>
            <w:szCs w:val="22"/>
          </w:rPr>
          <w:t>Resolution</w:t>
        </w:r>
      </w:hyperlink>
      <w:r w:rsidRPr="00843126">
        <w:rPr>
          <w:rFonts w:asciiTheme="majorHAnsi" w:hAnsiTheme="majorHAnsi"/>
          <w:sz w:val="22"/>
          <w:szCs w:val="22"/>
        </w:rPr>
        <w:t xml:space="preserve"> requesting that the GNSO continue policy work on second level protections for Red Cross and IOC names</w:t>
      </w:r>
    </w:p>
    <w:p w:rsidR="003847A9" w:rsidRDefault="003847A9" w:rsidP="00957D2D">
      <w:pPr>
        <w:pStyle w:val="ListParagraph"/>
        <w:numPr>
          <w:ilvl w:val="0"/>
          <w:numId w:val="5"/>
        </w:numPr>
        <w:spacing w:after="120"/>
        <w:contextualSpacing w:val="0"/>
        <w:rPr>
          <w:rFonts w:asciiTheme="majorHAnsi" w:hAnsiTheme="majorHAnsi"/>
          <w:sz w:val="22"/>
          <w:szCs w:val="22"/>
        </w:rPr>
      </w:pPr>
      <w:r>
        <w:rPr>
          <w:rFonts w:asciiTheme="majorHAnsi" w:hAnsiTheme="majorHAnsi"/>
          <w:b/>
          <w:sz w:val="22"/>
          <w:szCs w:val="22"/>
        </w:rPr>
        <w:t>17 October 2012</w:t>
      </w:r>
      <w:r w:rsidRPr="003847A9">
        <w:rPr>
          <w:rFonts w:asciiTheme="majorHAnsi" w:hAnsiTheme="majorHAnsi"/>
          <w:sz w:val="22"/>
          <w:szCs w:val="22"/>
        </w:rPr>
        <w:t>:</w:t>
      </w:r>
      <w:r>
        <w:rPr>
          <w:rFonts w:asciiTheme="majorHAnsi" w:hAnsiTheme="majorHAnsi"/>
          <w:sz w:val="22"/>
          <w:szCs w:val="22"/>
        </w:rPr>
        <w:t xml:space="preserve"> GAC </w:t>
      </w:r>
      <w:hyperlink r:id="rId28" w:history="1">
        <w:r>
          <w:rPr>
            <w:rStyle w:val="Hyperlink"/>
            <w:rFonts w:asciiTheme="majorHAnsi" w:hAnsiTheme="majorHAnsi"/>
            <w:sz w:val="22"/>
            <w:szCs w:val="22"/>
          </w:rPr>
          <w:t>Toronto Communique</w:t>
        </w:r>
      </w:hyperlink>
      <w:r>
        <w:rPr>
          <w:rFonts w:asciiTheme="majorHAnsi" w:hAnsiTheme="majorHAnsi"/>
          <w:sz w:val="22"/>
          <w:szCs w:val="22"/>
        </w:rPr>
        <w:t xml:space="preserve"> noting need for second level protection for IGO names and acronyms</w:t>
      </w:r>
    </w:p>
    <w:p w:rsidR="00E30253" w:rsidRPr="00843126" w:rsidRDefault="00E30253" w:rsidP="00957D2D">
      <w:pPr>
        <w:pStyle w:val="ListParagraph"/>
        <w:numPr>
          <w:ilvl w:val="0"/>
          <w:numId w:val="5"/>
        </w:numPr>
        <w:spacing w:after="120"/>
        <w:contextualSpacing w:val="0"/>
        <w:rPr>
          <w:rFonts w:asciiTheme="majorHAnsi" w:hAnsiTheme="majorHAnsi"/>
          <w:sz w:val="22"/>
          <w:szCs w:val="22"/>
        </w:rPr>
      </w:pPr>
      <w:r>
        <w:rPr>
          <w:rFonts w:asciiTheme="majorHAnsi" w:hAnsiTheme="majorHAnsi"/>
          <w:b/>
          <w:sz w:val="22"/>
          <w:szCs w:val="22"/>
        </w:rPr>
        <w:t>26 November 2012</w:t>
      </w:r>
      <w:r w:rsidRPr="00E30253">
        <w:rPr>
          <w:rFonts w:asciiTheme="majorHAnsi" w:hAnsiTheme="majorHAnsi"/>
          <w:sz w:val="22"/>
          <w:szCs w:val="22"/>
        </w:rPr>
        <w:t>:</w:t>
      </w:r>
      <w:r>
        <w:rPr>
          <w:rFonts w:asciiTheme="majorHAnsi" w:hAnsiTheme="majorHAnsi"/>
          <w:sz w:val="22"/>
          <w:szCs w:val="22"/>
        </w:rPr>
        <w:t xml:space="preserve"> Board </w:t>
      </w:r>
      <w:hyperlink r:id="rId29" w:anchor="1.c" w:history="1">
        <w:r>
          <w:rPr>
            <w:rStyle w:val="Hyperlink"/>
            <w:rFonts w:asciiTheme="majorHAnsi" w:hAnsiTheme="majorHAnsi"/>
            <w:sz w:val="22"/>
            <w:szCs w:val="22"/>
          </w:rPr>
          <w:t>Resolution</w:t>
        </w:r>
      </w:hyperlink>
      <w:r>
        <w:rPr>
          <w:rFonts w:asciiTheme="majorHAnsi" w:hAnsiTheme="majorHAnsi"/>
          <w:sz w:val="22"/>
          <w:szCs w:val="22"/>
        </w:rPr>
        <w:t xml:space="preserve"> confirming that interim second level protections for Red Cross and IOC names will remain in place until a policy is adopted</w:t>
      </w:r>
    </w:p>
    <w:p w:rsidR="00843126" w:rsidRPr="00957D2D" w:rsidRDefault="00843126" w:rsidP="00957D2D">
      <w:pPr>
        <w:pStyle w:val="ListParagraph"/>
        <w:numPr>
          <w:ilvl w:val="0"/>
          <w:numId w:val="5"/>
        </w:numPr>
        <w:spacing w:after="120"/>
        <w:contextualSpacing w:val="0"/>
        <w:rPr>
          <w:rStyle w:val="Hyperlink"/>
          <w:rFonts w:asciiTheme="majorHAnsi" w:hAnsiTheme="majorHAnsi"/>
          <w:color w:val="auto"/>
          <w:sz w:val="22"/>
          <w:szCs w:val="22"/>
          <w:u w:val="none"/>
        </w:rPr>
      </w:pPr>
      <w:r w:rsidRPr="00957D2D">
        <w:rPr>
          <w:rFonts w:asciiTheme="majorHAnsi" w:hAnsiTheme="majorHAnsi"/>
          <w:b/>
          <w:sz w:val="22"/>
          <w:szCs w:val="22"/>
        </w:rPr>
        <w:t>22 March 2013</w:t>
      </w:r>
      <w:r w:rsidRPr="00843126">
        <w:rPr>
          <w:rFonts w:asciiTheme="majorHAnsi" w:hAnsiTheme="majorHAnsi"/>
          <w:sz w:val="22"/>
          <w:szCs w:val="22"/>
        </w:rPr>
        <w:t xml:space="preserve">: GAC sends </w:t>
      </w:r>
      <w:hyperlink r:id="rId30" w:history="1">
        <w:r w:rsidRPr="00843126">
          <w:rPr>
            <w:rStyle w:val="Hyperlink"/>
            <w:rFonts w:asciiTheme="majorHAnsi" w:hAnsiTheme="majorHAnsi"/>
            <w:sz w:val="22"/>
            <w:szCs w:val="22"/>
          </w:rPr>
          <w:t>request</w:t>
        </w:r>
      </w:hyperlink>
      <w:r w:rsidRPr="00843126">
        <w:rPr>
          <w:rFonts w:asciiTheme="majorHAnsi" w:hAnsiTheme="majorHAnsi"/>
          <w:sz w:val="22"/>
          <w:szCs w:val="22"/>
        </w:rPr>
        <w:t xml:space="preserve"> to ICANN Board seeking protection for the names and acronyms of a GAC-approved list of IGOs (list available at </w:t>
      </w:r>
      <w:hyperlink r:id="rId31" w:history="1">
        <w:r w:rsidRPr="00177751">
          <w:rPr>
            <w:rStyle w:val="Hyperlink"/>
            <w:rFonts w:asciiTheme="majorHAnsi" w:hAnsiTheme="majorHAnsi" w:cs="Calibri"/>
            <w:sz w:val="22"/>
            <w:szCs w:val="22"/>
          </w:rPr>
          <w:t>http://www.icann.org/en/news/correspondence/dryden-to-crocker- chalaby-annex2-22mar13-en.pdf</w:t>
        </w:r>
      </w:hyperlink>
      <w:r w:rsidRPr="00177751">
        <w:rPr>
          <w:rStyle w:val="Hyperlink"/>
          <w:rFonts w:asciiTheme="majorHAnsi" w:hAnsiTheme="majorHAnsi" w:cs="Calibri"/>
          <w:sz w:val="22"/>
          <w:szCs w:val="22"/>
        </w:rPr>
        <w:t>)</w:t>
      </w:r>
    </w:p>
    <w:p w:rsidR="00957D2D" w:rsidRPr="00177751" w:rsidRDefault="00177751" w:rsidP="00957D2D">
      <w:pPr>
        <w:pStyle w:val="ListParagraph"/>
        <w:numPr>
          <w:ilvl w:val="0"/>
          <w:numId w:val="5"/>
        </w:numPr>
        <w:spacing w:after="120"/>
        <w:contextualSpacing w:val="0"/>
        <w:rPr>
          <w:rFonts w:asciiTheme="majorHAnsi" w:hAnsiTheme="majorHAnsi"/>
          <w:sz w:val="22"/>
          <w:szCs w:val="22"/>
        </w:rPr>
      </w:pPr>
      <w:r w:rsidRPr="00177751">
        <w:rPr>
          <w:rFonts w:asciiTheme="majorHAnsi" w:hAnsiTheme="majorHAnsi"/>
          <w:b/>
          <w:sz w:val="22"/>
          <w:szCs w:val="22"/>
        </w:rPr>
        <w:t>11 April 2013</w:t>
      </w:r>
      <w:r>
        <w:rPr>
          <w:rFonts w:asciiTheme="majorHAnsi" w:hAnsiTheme="majorHAnsi"/>
          <w:sz w:val="22"/>
          <w:szCs w:val="22"/>
        </w:rPr>
        <w:t xml:space="preserve">: GAC </w:t>
      </w:r>
      <w:hyperlink r:id="rId32" w:history="1">
        <w:r w:rsidRPr="00177751">
          <w:rPr>
            <w:rStyle w:val="Hyperlink"/>
            <w:rFonts w:asciiTheme="majorHAnsi" w:hAnsiTheme="majorHAnsi"/>
            <w:sz w:val="22"/>
            <w:szCs w:val="22"/>
          </w:rPr>
          <w:t>Beijing Communique</w:t>
        </w:r>
      </w:hyperlink>
      <w:r w:rsidRPr="00177751">
        <w:rPr>
          <w:rFonts w:asciiTheme="majorHAnsi" w:hAnsiTheme="majorHAnsi"/>
          <w:sz w:val="22"/>
          <w:szCs w:val="22"/>
        </w:rPr>
        <w:t xml:space="preserve"> noting that IGOs are in an </w:t>
      </w:r>
      <w:r w:rsidRPr="00177751">
        <w:rPr>
          <w:rFonts w:asciiTheme="majorHAnsi" w:eastAsia="Times New Roman" w:hAnsiTheme="majorHAnsi" w:cs="Times New Roman"/>
          <w:i/>
          <w:sz w:val="22"/>
          <w:szCs w:val="22"/>
          <w:shd w:val="clear" w:color="auto" w:fill="FFFFFF"/>
        </w:rPr>
        <w:t>“objectively different category to other rights holders, warranting special protection by ICANN in the DNS”</w:t>
      </w:r>
      <w:r>
        <w:rPr>
          <w:rFonts w:asciiTheme="majorHAnsi" w:eastAsia="Times New Roman" w:hAnsiTheme="majorHAnsi" w:cs="Times New Roman"/>
          <w:sz w:val="22"/>
          <w:szCs w:val="22"/>
          <w:shd w:val="clear" w:color="auto" w:fill="FFFFFF"/>
        </w:rPr>
        <w:t xml:space="preserve"> and requesting preventative protection for the names and acronyms of the IGOs on the GAC-approved list</w:t>
      </w:r>
      <w:r>
        <w:rPr>
          <w:rStyle w:val="FootnoteReference"/>
          <w:rFonts w:asciiTheme="majorHAnsi" w:eastAsia="Times New Roman" w:hAnsiTheme="majorHAnsi" w:cs="Times New Roman"/>
          <w:sz w:val="22"/>
          <w:szCs w:val="22"/>
          <w:shd w:val="clear" w:color="auto" w:fill="FFFFFF"/>
        </w:rPr>
        <w:footnoteReference w:id="5"/>
      </w:r>
    </w:p>
    <w:p w:rsidR="00FA3D92" w:rsidRPr="00A665E4" w:rsidRDefault="00E30253" w:rsidP="004C486A">
      <w:pPr>
        <w:pStyle w:val="ListParagraph"/>
        <w:numPr>
          <w:ilvl w:val="0"/>
          <w:numId w:val="5"/>
        </w:numPr>
        <w:spacing w:after="120"/>
        <w:contextualSpacing w:val="0"/>
        <w:rPr>
          <w:rFonts w:asciiTheme="majorHAnsi" w:hAnsiTheme="majorHAnsi"/>
          <w:sz w:val="22"/>
          <w:szCs w:val="22"/>
        </w:rPr>
      </w:pPr>
      <w:r w:rsidRPr="00E30253">
        <w:rPr>
          <w:rFonts w:asciiTheme="majorHAnsi" w:hAnsiTheme="majorHAnsi"/>
          <w:b/>
          <w:sz w:val="22"/>
          <w:szCs w:val="22"/>
        </w:rPr>
        <w:t>2 July 2013</w:t>
      </w:r>
      <w:r>
        <w:rPr>
          <w:rFonts w:asciiTheme="majorHAnsi" w:hAnsiTheme="majorHAnsi"/>
          <w:sz w:val="22"/>
          <w:szCs w:val="22"/>
        </w:rPr>
        <w:t>: Board</w:t>
      </w:r>
      <w:hyperlink r:id="rId33" w:anchor="1.b" w:history="1">
        <w:r>
          <w:rPr>
            <w:rStyle w:val="Hyperlink"/>
            <w:rFonts w:asciiTheme="majorHAnsi" w:hAnsiTheme="majorHAnsi"/>
            <w:sz w:val="22"/>
            <w:szCs w:val="22"/>
          </w:rPr>
          <w:t xml:space="preserve"> Resolution</w:t>
        </w:r>
      </w:hyperlink>
      <w:r>
        <w:rPr>
          <w:rFonts w:asciiTheme="majorHAnsi" w:hAnsiTheme="majorHAnsi"/>
          <w:sz w:val="22"/>
          <w:szCs w:val="22"/>
        </w:rPr>
        <w:t xml:space="preserve"> directing that temporary second level protections for names and acronyms for the IGOs on the GAC-approved list be provided through Specification 5 of the New gTLD Agreement</w:t>
      </w:r>
    </w:p>
    <w:p w:rsidR="00FA3D92" w:rsidRDefault="00FA3D92" w:rsidP="004C486A">
      <w:pPr>
        <w:rPr>
          <w:rFonts w:asciiTheme="majorHAnsi" w:hAnsiTheme="majorHAnsi"/>
          <w:b/>
          <w:sz w:val="22"/>
          <w:szCs w:val="22"/>
        </w:rPr>
      </w:pPr>
    </w:p>
    <w:p w:rsidR="00044A69" w:rsidRPr="007C482E" w:rsidRDefault="00427EF8" w:rsidP="004C486A">
      <w:pPr>
        <w:rPr>
          <w:rFonts w:asciiTheme="majorHAnsi" w:hAnsiTheme="majorHAnsi"/>
          <w:b/>
        </w:rPr>
      </w:pPr>
      <w:r w:rsidRPr="007C482E">
        <w:rPr>
          <w:rFonts w:asciiTheme="majorHAnsi" w:hAnsiTheme="majorHAnsi"/>
          <w:b/>
        </w:rPr>
        <w:t xml:space="preserve">Part IV: </w:t>
      </w:r>
      <w:r w:rsidR="007C482E" w:rsidRPr="007C482E">
        <w:rPr>
          <w:rFonts w:asciiTheme="majorHAnsi" w:hAnsiTheme="majorHAnsi"/>
          <w:b/>
        </w:rPr>
        <w:t>Scope of the Current PDP</w:t>
      </w:r>
    </w:p>
    <w:p w:rsidR="004C486A" w:rsidRDefault="004C486A" w:rsidP="004C486A">
      <w:pPr>
        <w:rPr>
          <w:rFonts w:asciiTheme="majorHAnsi" w:hAnsiTheme="majorHAnsi"/>
          <w:sz w:val="22"/>
          <w:szCs w:val="22"/>
        </w:rPr>
      </w:pPr>
    </w:p>
    <w:p w:rsidR="002E280A" w:rsidRDefault="002E280A" w:rsidP="005E6CD8">
      <w:pPr>
        <w:ind w:firstLine="720"/>
        <w:rPr>
          <w:rFonts w:asciiTheme="majorHAnsi" w:hAnsiTheme="majorHAnsi"/>
          <w:sz w:val="22"/>
          <w:szCs w:val="22"/>
        </w:rPr>
      </w:pPr>
      <w:r>
        <w:rPr>
          <w:rFonts w:asciiTheme="majorHAnsi" w:hAnsiTheme="majorHAnsi"/>
          <w:sz w:val="22"/>
          <w:szCs w:val="22"/>
        </w:rPr>
        <w:t xml:space="preserve">The original IGO-INGO WG had previously drawn up a list of IGO and INGO names and acronyms for which certain protections, either at the top or the second level, were </w:t>
      </w:r>
      <w:hyperlink r:id="rId34" w:history="1">
        <w:r w:rsidR="002A7410">
          <w:rPr>
            <w:rStyle w:val="Hyperlink"/>
            <w:rFonts w:asciiTheme="majorHAnsi" w:hAnsiTheme="majorHAnsi"/>
            <w:sz w:val="22"/>
            <w:szCs w:val="22"/>
          </w:rPr>
          <w:t>recommended</w:t>
        </w:r>
      </w:hyperlink>
      <w:r w:rsidR="002A7410">
        <w:rPr>
          <w:rFonts w:asciiTheme="majorHAnsi" w:hAnsiTheme="majorHAnsi"/>
          <w:sz w:val="22"/>
          <w:szCs w:val="22"/>
        </w:rPr>
        <w:t xml:space="preserve">. </w:t>
      </w:r>
      <w:r>
        <w:rPr>
          <w:rFonts w:asciiTheme="majorHAnsi" w:hAnsiTheme="majorHAnsi"/>
          <w:sz w:val="22"/>
          <w:szCs w:val="22"/>
        </w:rPr>
        <w:t>As the current PDP stems from and is based on the consensus recommendations of that WG, the scope of this PDP is limited to considering only those IGO and INGO names and acronyms for which the IGO-INGO WG had agreed would be accorded protection</w:t>
      </w:r>
      <w:r w:rsidR="007C482E">
        <w:rPr>
          <w:rStyle w:val="FootnoteReference"/>
          <w:rFonts w:asciiTheme="majorHAnsi" w:hAnsiTheme="majorHAnsi"/>
          <w:sz w:val="22"/>
          <w:szCs w:val="22"/>
        </w:rPr>
        <w:footnoteReference w:id="6"/>
      </w:r>
      <w:r>
        <w:rPr>
          <w:rFonts w:asciiTheme="majorHAnsi" w:hAnsiTheme="majorHAnsi"/>
          <w:sz w:val="22"/>
          <w:szCs w:val="22"/>
        </w:rPr>
        <w:t>.</w:t>
      </w:r>
    </w:p>
    <w:p w:rsidR="002E280A" w:rsidRDefault="002E280A" w:rsidP="00D6605E">
      <w:pPr>
        <w:rPr>
          <w:rFonts w:asciiTheme="majorHAnsi" w:hAnsiTheme="majorHAnsi"/>
          <w:sz w:val="22"/>
          <w:szCs w:val="22"/>
        </w:rPr>
      </w:pPr>
    </w:p>
    <w:p w:rsidR="00DE02FF" w:rsidRDefault="002E280A" w:rsidP="005E6CD8">
      <w:pPr>
        <w:ind w:firstLine="720"/>
        <w:rPr>
          <w:rFonts w:asciiTheme="majorHAnsi" w:eastAsia="Times New Roman" w:hAnsiTheme="majorHAnsi" w:cs="Arial"/>
          <w:sz w:val="22"/>
          <w:szCs w:val="22"/>
          <w:shd w:val="clear" w:color="auto" w:fill="FFFFFF"/>
        </w:rPr>
      </w:pPr>
      <w:r>
        <w:rPr>
          <w:rFonts w:asciiTheme="majorHAnsi" w:hAnsiTheme="majorHAnsi"/>
          <w:sz w:val="22"/>
          <w:szCs w:val="22"/>
        </w:rPr>
        <w:t xml:space="preserve">This new PDP WG was expressly chartered by the GNSO Council to </w:t>
      </w:r>
      <w:r w:rsidRPr="007C482E">
        <w:rPr>
          <w:rFonts w:asciiTheme="majorHAnsi" w:hAnsiTheme="majorHAnsi"/>
          <w:i/>
          <w:sz w:val="22"/>
          <w:szCs w:val="22"/>
        </w:rPr>
        <w:t>“</w:t>
      </w:r>
      <w:r w:rsidRPr="007C482E">
        <w:rPr>
          <w:rFonts w:asciiTheme="majorHAnsi" w:eastAsia="Times New Roman" w:hAnsiTheme="majorHAnsi" w:cs="Arial"/>
          <w:i/>
          <w:sz w:val="22"/>
          <w:szCs w:val="22"/>
          <w:shd w:val="clear" w:color="auto" w:fill="FFFFFF"/>
        </w:rPr>
        <w:t xml:space="preserve">evaluate: (i) whether the UDRP and/or URS should be amended (to enable their access and use by IGOs and INGOs whose identifiers had been recommended for protection by the IGO-INGO PDP WG) and if so, in what way; or (ii) whether a separate narrowly-tailored procedure modeled on these curative rights protection measures to apply only to protected IGO and INGO </w:t>
      </w:r>
      <w:r w:rsidR="007C482E">
        <w:rPr>
          <w:rFonts w:asciiTheme="majorHAnsi" w:eastAsia="Times New Roman" w:hAnsiTheme="majorHAnsi" w:cs="Arial"/>
          <w:i/>
          <w:sz w:val="22"/>
          <w:szCs w:val="22"/>
          <w:shd w:val="clear" w:color="auto" w:fill="FFFFFF"/>
        </w:rPr>
        <w:t>identifiers should be developed</w:t>
      </w:r>
      <w:r w:rsidRPr="007C482E">
        <w:rPr>
          <w:rFonts w:asciiTheme="majorHAnsi" w:eastAsia="Times New Roman" w:hAnsiTheme="majorHAnsi" w:cs="Arial"/>
          <w:i/>
          <w:sz w:val="22"/>
          <w:szCs w:val="22"/>
          <w:shd w:val="clear" w:color="auto" w:fill="FFFFFF"/>
        </w:rPr>
        <w:t>”</w:t>
      </w:r>
      <w:r w:rsidR="007C482E">
        <w:rPr>
          <w:rFonts w:asciiTheme="majorHAnsi" w:eastAsia="Times New Roman" w:hAnsiTheme="majorHAnsi" w:cs="Arial"/>
          <w:i/>
          <w:sz w:val="22"/>
          <w:szCs w:val="22"/>
          <w:shd w:val="clear" w:color="auto" w:fill="FFFFFF"/>
        </w:rPr>
        <w:t>.</w:t>
      </w:r>
      <w:r>
        <w:rPr>
          <w:rFonts w:asciiTheme="majorHAnsi" w:eastAsia="Times New Roman" w:hAnsiTheme="majorHAnsi" w:cs="Arial"/>
          <w:sz w:val="22"/>
          <w:szCs w:val="22"/>
          <w:shd w:val="clear" w:color="auto" w:fill="FFFFFF"/>
        </w:rPr>
        <w:t xml:space="preserve"> The WG’s </w:t>
      </w:r>
      <w:hyperlink r:id="rId35" w:history="1">
        <w:r w:rsidR="00DE02FF">
          <w:rPr>
            <w:rStyle w:val="Hyperlink"/>
            <w:rFonts w:asciiTheme="majorHAnsi" w:eastAsia="Times New Roman" w:hAnsiTheme="majorHAnsi" w:cs="Arial"/>
            <w:sz w:val="22"/>
            <w:szCs w:val="22"/>
            <w:shd w:val="clear" w:color="auto" w:fill="FFFFFF"/>
          </w:rPr>
          <w:t>Charter</w:t>
        </w:r>
      </w:hyperlink>
      <w:r w:rsidR="00DE02FF">
        <w:rPr>
          <w:rFonts w:asciiTheme="majorHAnsi" w:eastAsia="Times New Roman" w:hAnsiTheme="majorHAnsi" w:cs="Arial"/>
          <w:sz w:val="22"/>
          <w:szCs w:val="22"/>
          <w:shd w:val="clear" w:color="auto" w:fill="FFFFFF"/>
        </w:rPr>
        <w:t xml:space="preserve"> </w:t>
      </w:r>
      <w:r>
        <w:rPr>
          <w:rFonts w:asciiTheme="majorHAnsi" w:eastAsia="Times New Roman" w:hAnsiTheme="majorHAnsi" w:cs="Arial"/>
          <w:sz w:val="22"/>
          <w:szCs w:val="22"/>
          <w:shd w:val="clear" w:color="auto" w:fill="FFFFFF"/>
        </w:rPr>
        <w:t xml:space="preserve">also </w:t>
      </w:r>
      <w:r w:rsidR="00DE02FF">
        <w:rPr>
          <w:rFonts w:asciiTheme="majorHAnsi" w:eastAsia="Times New Roman" w:hAnsiTheme="majorHAnsi" w:cs="Arial"/>
          <w:sz w:val="22"/>
          <w:szCs w:val="22"/>
          <w:shd w:val="clear" w:color="auto" w:fill="FFFFFF"/>
        </w:rPr>
        <w:t>lists</w:t>
      </w:r>
      <w:r>
        <w:rPr>
          <w:rFonts w:asciiTheme="majorHAnsi" w:eastAsia="Times New Roman" w:hAnsiTheme="majorHAnsi" w:cs="Arial"/>
          <w:sz w:val="22"/>
          <w:szCs w:val="22"/>
          <w:shd w:val="clear" w:color="auto" w:fill="FFFFFF"/>
        </w:rPr>
        <w:t xml:space="preserve"> certain early-stage actions</w:t>
      </w:r>
      <w:r w:rsidR="00DE02FF">
        <w:rPr>
          <w:rFonts w:asciiTheme="majorHAnsi" w:eastAsia="Times New Roman" w:hAnsiTheme="majorHAnsi" w:cs="Arial"/>
          <w:sz w:val="22"/>
          <w:szCs w:val="22"/>
          <w:shd w:val="clear" w:color="auto" w:fill="FFFFFF"/>
        </w:rPr>
        <w:t xml:space="preserve"> to be taken by the WG, including gathering data on the number of IGOs that have sought protection under Article 6</w:t>
      </w:r>
      <w:r w:rsidR="00DE02FF" w:rsidRPr="00DE02FF">
        <w:rPr>
          <w:rFonts w:asciiTheme="majorHAnsi" w:eastAsia="Times New Roman" w:hAnsiTheme="majorHAnsi" w:cs="Arial"/>
          <w:i/>
          <w:sz w:val="22"/>
          <w:szCs w:val="22"/>
          <w:shd w:val="clear" w:color="auto" w:fill="FFFFFF"/>
        </w:rPr>
        <w:t>ter</w:t>
      </w:r>
      <w:r w:rsidR="00DE02FF">
        <w:rPr>
          <w:rFonts w:asciiTheme="majorHAnsi" w:eastAsia="Times New Roman" w:hAnsiTheme="majorHAnsi" w:cs="Arial"/>
          <w:sz w:val="22"/>
          <w:szCs w:val="22"/>
          <w:shd w:val="clear" w:color="auto" w:fill="FFFFFF"/>
        </w:rPr>
        <w:t xml:space="preserve"> of the Paris Convention </w:t>
      </w:r>
      <w:r w:rsidR="00CB67A4">
        <w:rPr>
          <w:rFonts w:asciiTheme="majorHAnsi" w:eastAsia="Times New Roman" w:hAnsiTheme="majorHAnsi" w:cs="Arial"/>
          <w:sz w:val="22"/>
          <w:szCs w:val="22"/>
          <w:shd w:val="clear" w:color="auto" w:fill="FFFFFF"/>
        </w:rPr>
        <w:t>for the Protection of</w:t>
      </w:r>
      <w:r w:rsidR="00DE02FF">
        <w:rPr>
          <w:rFonts w:asciiTheme="majorHAnsi" w:eastAsia="Times New Roman" w:hAnsiTheme="majorHAnsi" w:cs="Arial"/>
          <w:sz w:val="22"/>
          <w:szCs w:val="22"/>
          <w:shd w:val="clear" w:color="auto" w:fill="FFFFFF"/>
        </w:rPr>
        <w:t xml:space="preserve"> Industrial Property and the scope of legal protection thereunder, as well as data on the extent of abusive second level registrations for IGO and INGO identifiers. In addition, the Charter directs the WG to consider prior ICANN community efforts (including the 2003 </w:t>
      </w:r>
      <w:r w:rsidR="002A7410">
        <w:rPr>
          <w:rFonts w:asciiTheme="majorHAnsi" w:eastAsia="Times New Roman" w:hAnsiTheme="majorHAnsi" w:cs="Arial"/>
          <w:sz w:val="22"/>
          <w:szCs w:val="22"/>
          <w:shd w:val="clear" w:color="auto" w:fill="FFFFFF"/>
        </w:rPr>
        <w:t xml:space="preserve">ICANN </w:t>
      </w:r>
      <w:r w:rsidR="00DE02FF">
        <w:rPr>
          <w:rFonts w:asciiTheme="majorHAnsi" w:eastAsia="Times New Roman" w:hAnsiTheme="majorHAnsi" w:cs="Arial"/>
          <w:sz w:val="22"/>
          <w:szCs w:val="22"/>
          <w:shd w:val="clear" w:color="auto" w:fill="FFFFFF"/>
        </w:rPr>
        <w:t>President’s Joint Working Group on the WIPO-2 Process) and reach out to UDRP and URS service providers and panelists for their input.</w:t>
      </w:r>
    </w:p>
    <w:p w:rsidR="00DE02FF" w:rsidRDefault="00DE02FF" w:rsidP="00D6605E">
      <w:pPr>
        <w:rPr>
          <w:rFonts w:asciiTheme="majorHAnsi" w:eastAsia="Times New Roman" w:hAnsiTheme="majorHAnsi" w:cs="Arial"/>
          <w:sz w:val="22"/>
          <w:szCs w:val="22"/>
          <w:shd w:val="clear" w:color="auto" w:fill="FFFFFF"/>
        </w:rPr>
      </w:pPr>
    </w:p>
    <w:p w:rsidR="007C482E" w:rsidRDefault="00DE02FF" w:rsidP="007C482E">
      <w:pPr>
        <w:ind w:firstLine="720"/>
        <w:rPr>
          <w:rFonts w:asciiTheme="majorHAnsi" w:eastAsia="Times New Roman" w:hAnsiTheme="majorHAnsi" w:cs="Arial"/>
          <w:sz w:val="22"/>
          <w:szCs w:val="22"/>
          <w:shd w:val="clear" w:color="auto" w:fill="FFFFFF"/>
        </w:rPr>
      </w:pPr>
      <w:r>
        <w:rPr>
          <w:rFonts w:asciiTheme="majorHAnsi" w:eastAsia="Times New Roman" w:hAnsiTheme="majorHAnsi" w:cs="Arial"/>
          <w:sz w:val="22"/>
          <w:szCs w:val="22"/>
          <w:shd w:val="clear" w:color="auto" w:fill="FFFFFF"/>
        </w:rPr>
        <w:t xml:space="preserve">IGO representatives and various GNSO stakeholders were among those who provided </w:t>
      </w:r>
      <w:hyperlink r:id="rId36" w:history="1">
        <w:r w:rsidR="00D6605E">
          <w:rPr>
            <w:rStyle w:val="Hyperlink"/>
            <w:rFonts w:asciiTheme="majorHAnsi" w:eastAsia="Times New Roman" w:hAnsiTheme="majorHAnsi" w:cs="Arial"/>
            <w:sz w:val="22"/>
            <w:szCs w:val="22"/>
            <w:shd w:val="clear" w:color="auto" w:fill="FFFFFF"/>
          </w:rPr>
          <w:t>public comments</w:t>
        </w:r>
      </w:hyperlink>
      <w:r w:rsidR="00D6605E">
        <w:rPr>
          <w:rFonts w:asciiTheme="majorHAnsi" w:eastAsia="Times New Roman" w:hAnsiTheme="majorHAnsi" w:cs="Arial"/>
          <w:sz w:val="22"/>
          <w:szCs w:val="22"/>
          <w:shd w:val="clear" w:color="auto" w:fill="FFFFFF"/>
        </w:rPr>
        <w:t xml:space="preserve"> </w:t>
      </w:r>
      <w:r>
        <w:rPr>
          <w:rFonts w:asciiTheme="majorHAnsi" w:eastAsia="Times New Roman" w:hAnsiTheme="majorHAnsi" w:cs="Arial"/>
          <w:sz w:val="22"/>
          <w:szCs w:val="22"/>
          <w:shd w:val="clear" w:color="auto" w:fill="FFFFFF"/>
        </w:rPr>
        <w:t xml:space="preserve">on the Preliminary Issue Report, which were taken into account in the preparation of the Final Issue Report. The GNSO’s </w:t>
      </w:r>
      <w:hyperlink r:id="rId37" w:history="1">
        <w:r w:rsidR="002A7410">
          <w:rPr>
            <w:rStyle w:val="Hyperlink"/>
            <w:rFonts w:asciiTheme="majorHAnsi" w:eastAsia="Times New Roman" w:hAnsiTheme="majorHAnsi" w:cs="Arial"/>
            <w:sz w:val="22"/>
            <w:szCs w:val="22"/>
            <w:shd w:val="clear" w:color="auto" w:fill="FFFFFF"/>
          </w:rPr>
          <w:t>Working Group Guidelines</w:t>
        </w:r>
      </w:hyperlink>
      <w:r w:rsidR="002A7410">
        <w:rPr>
          <w:rFonts w:asciiTheme="majorHAnsi" w:eastAsia="Times New Roman" w:hAnsiTheme="majorHAnsi" w:cs="Arial"/>
          <w:sz w:val="22"/>
          <w:szCs w:val="22"/>
          <w:shd w:val="clear" w:color="auto" w:fill="FFFFFF"/>
        </w:rPr>
        <w:t xml:space="preserve"> </w:t>
      </w:r>
      <w:r>
        <w:rPr>
          <w:rFonts w:asciiTheme="majorHAnsi" w:eastAsia="Times New Roman" w:hAnsiTheme="majorHAnsi" w:cs="Arial"/>
          <w:sz w:val="22"/>
          <w:szCs w:val="22"/>
          <w:shd w:val="clear" w:color="auto" w:fill="FFFFFF"/>
        </w:rPr>
        <w:t xml:space="preserve">require also that input from ICANN’s Supporting Organizations and Advisory Committees be sought early in the PDP. </w:t>
      </w:r>
      <w:r w:rsidR="007C482E">
        <w:rPr>
          <w:rFonts w:asciiTheme="majorHAnsi" w:eastAsia="Times New Roman" w:hAnsiTheme="majorHAnsi" w:cs="Arial"/>
          <w:sz w:val="22"/>
          <w:szCs w:val="22"/>
          <w:shd w:val="clear" w:color="auto" w:fill="FFFFFF"/>
        </w:rPr>
        <w:t>It may be helpful also to note that the GNSO and the GAC have</w:t>
      </w:r>
      <w:r w:rsidR="00D6605E">
        <w:rPr>
          <w:rFonts w:asciiTheme="majorHAnsi" w:eastAsia="Times New Roman" w:hAnsiTheme="majorHAnsi" w:cs="Arial"/>
          <w:sz w:val="22"/>
          <w:szCs w:val="22"/>
          <w:shd w:val="clear" w:color="auto" w:fill="FFFFFF"/>
        </w:rPr>
        <w:t xml:space="preserve"> committed to exploring options to enable the GAC to engage early in a PDP; actions taken so far include the provision to the GAC of a monthly update on each PDP and other GNSO activity. </w:t>
      </w:r>
    </w:p>
    <w:p w:rsidR="004C486A" w:rsidRDefault="004C486A" w:rsidP="004C486A">
      <w:pPr>
        <w:ind w:firstLine="720"/>
        <w:rPr>
          <w:rFonts w:asciiTheme="majorHAnsi" w:eastAsia="Times New Roman" w:hAnsiTheme="majorHAnsi" w:cs="Arial"/>
          <w:sz w:val="22"/>
          <w:szCs w:val="22"/>
          <w:shd w:val="clear" w:color="auto" w:fill="FFFFFF"/>
        </w:rPr>
      </w:pPr>
    </w:p>
    <w:p w:rsidR="007C482E" w:rsidRDefault="007C482E" w:rsidP="00D6605E">
      <w:pPr>
        <w:rPr>
          <w:rFonts w:asciiTheme="majorHAnsi" w:eastAsia="Times New Roman" w:hAnsiTheme="majorHAnsi" w:cs="Arial"/>
          <w:b/>
          <w:sz w:val="22"/>
          <w:szCs w:val="22"/>
          <w:shd w:val="clear" w:color="auto" w:fill="FFFFFF"/>
        </w:rPr>
      </w:pPr>
      <w:r>
        <w:rPr>
          <w:rFonts w:asciiTheme="majorHAnsi" w:eastAsia="Times New Roman" w:hAnsiTheme="majorHAnsi" w:cs="Arial"/>
          <w:b/>
          <w:sz w:val="22"/>
          <w:szCs w:val="22"/>
          <w:shd w:val="clear" w:color="auto" w:fill="FFFFFF"/>
        </w:rPr>
        <w:t>FINAL NOTE:</w:t>
      </w:r>
    </w:p>
    <w:p w:rsidR="007C482E" w:rsidRDefault="007C482E" w:rsidP="00D6605E">
      <w:pPr>
        <w:rPr>
          <w:rFonts w:asciiTheme="majorHAnsi" w:eastAsia="Times New Roman" w:hAnsiTheme="majorHAnsi" w:cs="Arial"/>
          <w:b/>
          <w:sz w:val="22"/>
          <w:szCs w:val="22"/>
          <w:shd w:val="clear" w:color="auto" w:fill="FFFFFF"/>
        </w:rPr>
      </w:pPr>
    </w:p>
    <w:p w:rsidR="007C482E" w:rsidRPr="007C482E" w:rsidRDefault="007C482E" w:rsidP="00D6605E">
      <w:pPr>
        <w:rPr>
          <w:rFonts w:asciiTheme="majorHAnsi" w:eastAsia="Times New Roman" w:hAnsiTheme="majorHAnsi" w:cs="Arial"/>
          <w:b/>
          <w:i/>
          <w:sz w:val="22"/>
          <w:szCs w:val="22"/>
          <w:shd w:val="clear" w:color="auto" w:fill="FFFFFF"/>
        </w:rPr>
      </w:pPr>
      <w:r w:rsidRPr="007C482E">
        <w:rPr>
          <w:rFonts w:asciiTheme="majorHAnsi" w:hAnsiTheme="majorHAnsi"/>
          <w:b/>
          <w:i/>
          <w:sz w:val="22"/>
          <w:szCs w:val="22"/>
        </w:rPr>
        <w:t>The Board has recognized that the issue of IGO and INGO curative rights protection (i.e. mechanisms for resolving domain name disputes between IGOs or INGOs with third party registrants) is being explored by the current IGO-INGO CRP Working Group. While its ongoing dialogue with the GAC and the GNSO may result in certain amendments to the preventative rights protection mechanisms available to IGOs and INGOs (for example, the duration of Trademark Clearinghouse and claims notice protection), it does not supersede the role of this WG nor its work and ultimate recommendations.</w:t>
      </w:r>
    </w:p>
    <w:p w:rsidR="007C482E" w:rsidRDefault="007C482E" w:rsidP="00D6605E">
      <w:pPr>
        <w:rPr>
          <w:rFonts w:asciiTheme="majorHAnsi" w:eastAsia="Times New Roman" w:hAnsiTheme="majorHAnsi" w:cs="Arial"/>
          <w:b/>
          <w:sz w:val="22"/>
          <w:szCs w:val="22"/>
          <w:shd w:val="clear" w:color="auto" w:fill="FFFFFF"/>
        </w:rPr>
      </w:pPr>
    </w:p>
    <w:p w:rsidR="00D6605E" w:rsidRPr="00D6605E" w:rsidRDefault="007C482E" w:rsidP="00D6605E">
      <w:pPr>
        <w:rPr>
          <w:rFonts w:asciiTheme="majorHAnsi" w:eastAsia="Times New Roman" w:hAnsiTheme="majorHAnsi" w:cs="Arial"/>
          <w:b/>
          <w:sz w:val="22"/>
          <w:szCs w:val="22"/>
          <w:shd w:val="clear" w:color="auto" w:fill="FFFFFF"/>
        </w:rPr>
      </w:pPr>
      <w:r>
        <w:rPr>
          <w:rFonts w:asciiTheme="majorHAnsi" w:eastAsia="Times New Roman" w:hAnsiTheme="majorHAnsi" w:cs="Arial"/>
          <w:b/>
          <w:sz w:val="22"/>
          <w:szCs w:val="22"/>
          <w:shd w:val="clear" w:color="auto" w:fill="FFFFFF"/>
        </w:rPr>
        <w:t>FURTHER INFORMATION:</w:t>
      </w:r>
    </w:p>
    <w:p w:rsidR="00D6605E" w:rsidRPr="00D6605E" w:rsidRDefault="00D6605E" w:rsidP="00D6605E">
      <w:pPr>
        <w:rPr>
          <w:rFonts w:asciiTheme="majorHAnsi" w:eastAsia="Times New Roman" w:hAnsiTheme="majorHAnsi" w:cs="Arial"/>
          <w:sz w:val="22"/>
          <w:szCs w:val="22"/>
          <w:shd w:val="clear" w:color="auto" w:fill="FFFFFF"/>
        </w:rPr>
      </w:pP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IGO-INGO WG Final Report (Nov 2013): </w:t>
      </w:r>
      <w:hyperlink r:id="rId38" w:history="1">
        <w:r w:rsidRPr="005E6CD8">
          <w:rPr>
            <w:rStyle w:val="Hyperlink"/>
            <w:rFonts w:asciiTheme="majorHAnsi" w:hAnsiTheme="majorHAnsi"/>
            <w:sz w:val="22"/>
            <w:szCs w:val="22"/>
          </w:rPr>
          <w:t>http://gnso.icann.org/en/issues/igo-ingo-final-10nov13-en.pdf</w:t>
        </w:r>
      </w:hyperlink>
      <w:r w:rsidRPr="005E6CD8">
        <w:rPr>
          <w:rFonts w:asciiTheme="majorHAnsi" w:hAnsiTheme="majorHAnsi"/>
          <w:sz w:val="22"/>
          <w:szCs w:val="22"/>
        </w:rPr>
        <w:t xml:space="preserve"> </w:t>
      </w: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Preliminary Issue Report on IGO-INGO Access to UDRP &amp; URS (March 2014): </w:t>
      </w:r>
      <w:hyperlink r:id="rId39" w:history="1">
        <w:r w:rsidRPr="005E6CD8">
          <w:rPr>
            <w:rStyle w:val="Hyperlink"/>
            <w:rFonts w:asciiTheme="majorHAnsi" w:hAnsiTheme="majorHAnsi"/>
            <w:sz w:val="22"/>
            <w:szCs w:val="22"/>
          </w:rPr>
          <w:t>http://gnso.icann.org/en/issues/igo-ingo-crp-prelim-10mar14-en.pdf</w:t>
        </w:r>
      </w:hyperlink>
      <w:r w:rsidRPr="005E6CD8">
        <w:rPr>
          <w:rFonts w:asciiTheme="majorHAnsi" w:hAnsiTheme="majorHAnsi"/>
          <w:sz w:val="22"/>
          <w:szCs w:val="22"/>
        </w:rPr>
        <w:t xml:space="preserve"> </w:t>
      </w: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Report of Public Comments received on the Preliminary Issue Report: </w:t>
      </w:r>
      <w:hyperlink r:id="rId40" w:history="1">
        <w:r w:rsidRPr="005E6CD8">
          <w:rPr>
            <w:rStyle w:val="Hyperlink"/>
            <w:rFonts w:asciiTheme="majorHAnsi" w:hAnsiTheme="majorHAnsi"/>
            <w:sz w:val="22"/>
            <w:szCs w:val="22"/>
          </w:rPr>
          <w:t>https://www.icann.org/news/public-comment/report-comments-igo-ingo-crp-prelim-16may14-en.pdf</w:t>
        </w:r>
      </w:hyperlink>
      <w:r w:rsidRPr="005E6CD8">
        <w:rPr>
          <w:rFonts w:asciiTheme="majorHAnsi" w:hAnsiTheme="majorHAnsi"/>
          <w:sz w:val="22"/>
          <w:szCs w:val="22"/>
        </w:rPr>
        <w:t xml:space="preserve"> </w:t>
      </w:r>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Final Issue Report on IGO-INGO Access to UDRP &amp; URS (May 2014): </w:t>
      </w:r>
      <w:hyperlink r:id="rId41" w:history="1">
        <w:r w:rsidRPr="005E6CD8">
          <w:rPr>
            <w:rStyle w:val="Hyperlink"/>
            <w:rFonts w:asciiTheme="majorHAnsi" w:hAnsiTheme="majorHAnsi"/>
            <w:sz w:val="22"/>
            <w:szCs w:val="22"/>
          </w:rPr>
          <w:t>http://gnso.icann.org/en/drafts/igo-ingo-crp-final-25may14-en.pdf</w:t>
        </w:r>
      </w:hyperlink>
    </w:p>
    <w:p w:rsidR="00D6605E" w:rsidRPr="005E6CD8" w:rsidRDefault="00D6605E" w:rsidP="005E6CD8">
      <w:pPr>
        <w:pStyle w:val="ListParagraph"/>
        <w:numPr>
          <w:ilvl w:val="0"/>
          <w:numId w:val="1"/>
        </w:numPr>
        <w:rPr>
          <w:rFonts w:asciiTheme="majorHAnsi" w:hAnsiTheme="majorHAnsi"/>
          <w:sz w:val="22"/>
          <w:szCs w:val="22"/>
        </w:rPr>
      </w:pPr>
      <w:r w:rsidRPr="005E6CD8">
        <w:rPr>
          <w:rFonts w:asciiTheme="majorHAnsi" w:hAnsiTheme="majorHAnsi"/>
          <w:sz w:val="22"/>
          <w:szCs w:val="22"/>
        </w:rPr>
        <w:t xml:space="preserve">Charter for new PDP Working Group (as adopted by the GNSO Council on 25 June 2014): </w:t>
      </w:r>
      <w:hyperlink r:id="rId42" w:history="1">
        <w:r w:rsidRPr="005E6CD8">
          <w:rPr>
            <w:rStyle w:val="Hyperlink"/>
            <w:rFonts w:asciiTheme="majorHAnsi" w:hAnsiTheme="majorHAnsi"/>
            <w:sz w:val="22"/>
            <w:szCs w:val="22"/>
          </w:rPr>
          <w:t>http://gnso.icann.org/en/drafts/igo-ingo-crp-access-charter-24jun14-en.pdf</w:t>
        </w:r>
      </w:hyperlink>
    </w:p>
    <w:p w:rsidR="002E280A" w:rsidRDefault="002E280A" w:rsidP="00D6605E">
      <w:pPr>
        <w:rPr>
          <w:rFonts w:asciiTheme="majorHAnsi" w:hAnsiTheme="majorHAnsi"/>
          <w:sz w:val="22"/>
          <w:szCs w:val="22"/>
        </w:rPr>
      </w:pPr>
    </w:p>
    <w:p w:rsidR="00EB7768" w:rsidRDefault="00EB7768" w:rsidP="00D6605E">
      <w:pPr>
        <w:rPr>
          <w:rFonts w:asciiTheme="majorHAnsi" w:hAnsiTheme="majorHAnsi"/>
          <w:b/>
          <w:sz w:val="22"/>
          <w:szCs w:val="22"/>
        </w:rPr>
        <w:sectPr w:rsidR="00EB7768" w:rsidSect="00D16ED3">
          <w:footerReference w:type="even" r:id="rId43"/>
          <w:footerReference w:type="default" r:id="rId44"/>
          <w:pgSz w:w="12240" w:h="15840"/>
          <w:pgMar w:top="1440" w:right="1800" w:bottom="1440" w:left="1800" w:header="720" w:footer="720" w:gutter="0"/>
          <w:cols w:space="720"/>
          <w:docGrid w:linePitch="360"/>
        </w:sectPr>
      </w:pPr>
    </w:p>
    <w:p w:rsidR="00EB7768" w:rsidRDefault="00EB7768" w:rsidP="00D6605E">
      <w:pPr>
        <w:rPr>
          <w:rFonts w:asciiTheme="majorHAnsi" w:hAnsiTheme="majorHAnsi"/>
          <w:b/>
          <w:sz w:val="22"/>
          <w:szCs w:val="22"/>
        </w:rPr>
      </w:pPr>
    </w:p>
    <w:p w:rsidR="007C482E" w:rsidRPr="007C482E" w:rsidRDefault="007C482E" w:rsidP="007C482E">
      <w:pPr>
        <w:jc w:val="center"/>
        <w:rPr>
          <w:rFonts w:asciiTheme="majorHAnsi" w:hAnsiTheme="majorHAnsi"/>
          <w:b/>
        </w:rPr>
      </w:pPr>
      <w:r w:rsidRPr="007C482E">
        <w:rPr>
          <w:rFonts w:asciiTheme="majorHAnsi" w:hAnsiTheme="majorHAnsi"/>
          <w:b/>
        </w:rPr>
        <w:t>ANN</w:t>
      </w:r>
      <w:r w:rsidR="00EB7768">
        <w:rPr>
          <w:rFonts w:asciiTheme="majorHAnsi" w:hAnsiTheme="majorHAnsi"/>
          <w:b/>
        </w:rPr>
        <w:t>EX A</w:t>
      </w:r>
    </w:p>
    <w:p w:rsidR="007C482E" w:rsidRDefault="007C482E" w:rsidP="00D6605E">
      <w:pPr>
        <w:rPr>
          <w:rFonts w:asciiTheme="majorHAnsi" w:hAnsiTheme="majorHAnsi"/>
          <w:b/>
          <w:sz w:val="22"/>
          <w:szCs w:val="22"/>
        </w:rPr>
      </w:pPr>
    </w:p>
    <w:p w:rsidR="00F326C2" w:rsidRDefault="00F326C2" w:rsidP="003322F9">
      <w:pPr>
        <w:jc w:val="center"/>
        <w:rPr>
          <w:rFonts w:asciiTheme="majorHAnsi" w:hAnsiTheme="majorHAnsi"/>
          <w:b/>
          <w:sz w:val="22"/>
          <w:szCs w:val="22"/>
        </w:rPr>
      </w:pPr>
      <w:r w:rsidRPr="00F326C2">
        <w:rPr>
          <w:rFonts w:asciiTheme="majorHAnsi" w:hAnsiTheme="majorHAnsi"/>
          <w:b/>
          <w:sz w:val="22"/>
          <w:szCs w:val="22"/>
        </w:rPr>
        <w:t>List of Protected IGO-INGO Identifiers</w:t>
      </w:r>
    </w:p>
    <w:p w:rsidR="00F326C2" w:rsidRDefault="00F326C2" w:rsidP="00D6605E">
      <w:pPr>
        <w:rPr>
          <w:rFonts w:asciiTheme="majorHAnsi" w:hAnsiTheme="majorHAnsi"/>
          <w:b/>
          <w:sz w:val="22"/>
          <w:szCs w:val="22"/>
        </w:rPr>
      </w:pPr>
    </w:p>
    <w:p w:rsidR="00F326C2" w:rsidRPr="00F326C2" w:rsidRDefault="00F326C2" w:rsidP="00D6605E">
      <w:pPr>
        <w:rPr>
          <w:rFonts w:asciiTheme="majorHAnsi" w:hAnsiTheme="majorHAnsi"/>
          <w:i/>
          <w:sz w:val="22"/>
          <w:szCs w:val="22"/>
        </w:rPr>
      </w:pPr>
      <w:r w:rsidRPr="00F326C2">
        <w:rPr>
          <w:rFonts w:asciiTheme="majorHAnsi" w:hAnsiTheme="majorHAnsi"/>
          <w:i/>
          <w:sz w:val="22"/>
          <w:szCs w:val="22"/>
          <w:u w:val="single"/>
        </w:rPr>
        <w:t>Important Note</w:t>
      </w:r>
      <w:r w:rsidRPr="00F326C2">
        <w:rPr>
          <w:rFonts w:asciiTheme="majorHAnsi" w:hAnsiTheme="majorHAnsi"/>
          <w:i/>
          <w:sz w:val="22"/>
          <w:szCs w:val="22"/>
        </w:rPr>
        <w:t xml:space="preserve">: </w:t>
      </w:r>
      <w:r>
        <w:rPr>
          <w:rFonts w:asciiTheme="majorHAnsi" w:hAnsiTheme="majorHAnsi"/>
          <w:i/>
          <w:sz w:val="22"/>
          <w:szCs w:val="22"/>
        </w:rPr>
        <w:t>T</w:t>
      </w:r>
      <w:r w:rsidRPr="00F326C2">
        <w:rPr>
          <w:rFonts w:asciiTheme="majorHAnsi" w:hAnsiTheme="majorHAnsi"/>
          <w:i/>
          <w:sz w:val="22"/>
          <w:szCs w:val="22"/>
        </w:rPr>
        <w:t xml:space="preserve">he scope of protection </w:t>
      </w:r>
      <w:r>
        <w:rPr>
          <w:rFonts w:asciiTheme="majorHAnsi" w:hAnsiTheme="majorHAnsi"/>
          <w:i/>
          <w:sz w:val="22"/>
          <w:szCs w:val="22"/>
        </w:rPr>
        <w:t xml:space="preserve">that </w:t>
      </w:r>
      <w:r w:rsidRPr="00F326C2">
        <w:rPr>
          <w:rFonts w:asciiTheme="majorHAnsi" w:hAnsiTheme="majorHAnsi"/>
          <w:i/>
          <w:sz w:val="22"/>
          <w:szCs w:val="22"/>
        </w:rPr>
        <w:t xml:space="preserve">the WG recommended for the various Scope 1 and Scope 2 identifiers are </w:t>
      </w:r>
      <w:r w:rsidRPr="00F326C2">
        <w:rPr>
          <w:rFonts w:asciiTheme="majorHAnsi" w:hAnsiTheme="majorHAnsi"/>
          <w:i/>
          <w:sz w:val="22"/>
          <w:szCs w:val="22"/>
          <w:u w:val="single"/>
        </w:rPr>
        <w:t>not</w:t>
      </w:r>
      <w:r w:rsidRPr="00F326C2">
        <w:rPr>
          <w:rFonts w:asciiTheme="majorHAnsi" w:hAnsiTheme="majorHAnsi"/>
          <w:i/>
          <w:sz w:val="22"/>
          <w:szCs w:val="22"/>
        </w:rPr>
        <w:t xml:space="preserve"> identical. Where some were recommended for top-level protection (e.g. as Strings Ineligible for Delegation, others were recommended for second-level protection (e.g. through entry into the Trademark Clearinghouse and eligibility for a 90-days claims notification process)</w:t>
      </w:r>
      <w:r>
        <w:rPr>
          <w:rFonts w:asciiTheme="majorHAnsi" w:hAnsiTheme="majorHAnsi"/>
          <w:i/>
          <w:sz w:val="22"/>
          <w:szCs w:val="22"/>
        </w:rPr>
        <w:t xml:space="preserve">. For the full set of protections recommended, see the WG’s </w:t>
      </w:r>
      <w:hyperlink r:id="rId45" w:history="1">
        <w:r>
          <w:rPr>
            <w:rStyle w:val="Hyperlink"/>
            <w:rFonts w:asciiTheme="majorHAnsi" w:hAnsiTheme="majorHAnsi"/>
            <w:i/>
            <w:sz w:val="22"/>
            <w:szCs w:val="22"/>
          </w:rPr>
          <w:t>Final Report</w:t>
        </w:r>
      </w:hyperlink>
      <w:r>
        <w:rPr>
          <w:rFonts w:asciiTheme="majorHAnsi" w:hAnsiTheme="majorHAnsi"/>
          <w:i/>
          <w:sz w:val="22"/>
          <w:szCs w:val="22"/>
        </w:rPr>
        <w:t>.</w:t>
      </w:r>
    </w:p>
    <w:p w:rsidR="00F326C2" w:rsidRPr="00F326C2" w:rsidRDefault="00F326C2" w:rsidP="00D6605E">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8483"/>
      </w:tblGrid>
      <w:tr w:rsidR="00F326C2" w:rsidRPr="00F326C2" w:rsidTr="00861A32">
        <w:trPr>
          <w:cantSplit/>
          <w:trHeight w:val="296"/>
          <w:tblHeader/>
        </w:trPr>
        <w:tc>
          <w:tcPr>
            <w:tcW w:w="0" w:type="auto"/>
            <w:shd w:val="clear" w:color="auto" w:fill="BFBFBF"/>
          </w:tcPr>
          <w:p w:rsidR="00F326C2" w:rsidRPr="00F326C2" w:rsidRDefault="00F326C2" w:rsidP="00861A32">
            <w:pPr>
              <w:jc w:val="center"/>
              <w:rPr>
                <w:rFonts w:asciiTheme="majorHAnsi" w:hAnsiTheme="majorHAnsi"/>
                <w:b/>
                <w:sz w:val="22"/>
                <w:szCs w:val="22"/>
              </w:rPr>
            </w:pPr>
            <w:r w:rsidRPr="00F326C2">
              <w:rPr>
                <w:rFonts w:asciiTheme="majorHAnsi" w:hAnsiTheme="majorHAnsi"/>
                <w:b/>
                <w:sz w:val="22"/>
                <w:szCs w:val="22"/>
              </w:rPr>
              <w:t>#</w:t>
            </w:r>
          </w:p>
        </w:tc>
        <w:tc>
          <w:tcPr>
            <w:tcW w:w="7790" w:type="dxa"/>
            <w:shd w:val="clear" w:color="auto" w:fill="BFBFBF"/>
          </w:tcPr>
          <w:p w:rsidR="00F326C2" w:rsidRPr="00F326C2" w:rsidRDefault="00F326C2" w:rsidP="00861A32">
            <w:pPr>
              <w:jc w:val="center"/>
              <w:rPr>
                <w:rFonts w:asciiTheme="majorHAnsi" w:hAnsiTheme="majorHAnsi"/>
                <w:b/>
                <w:sz w:val="22"/>
                <w:szCs w:val="22"/>
              </w:rPr>
            </w:pPr>
            <w:r w:rsidRPr="00F326C2">
              <w:rPr>
                <w:rFonts w:asciiTheme="majorHAnsi" w:hAnsiTheme="majorHAnsi" w:cs="Arial"/>
                <w:b/>
                <w:sz w:val="22"/>
                <w:szCs w:val="22"/>
              </w:rPr>
              <w:t>Red Cross Red Crescent Movement (RCRC) Identifiers</w:t>
            </w:r>
          </w:p>
        </w:tc>
      </w:tr>
      <w:tr w:rsidR="00F326C2" w:rsidRPr="00F326C2" w:rsidTr="00861A32">
        <w:trPr>
          <w:cantSplit/>
          <w:trHeight w:val="296"/>
          <w:tblHeader/>
        </w:trPr>
        <w:tc>
          <w:tcPr>
            <w:tcW w:w="8838" w:type="dxa"/>
            <w:gridSpan w:val="2"/>
            <w:shd w:val="clear" w:color="auto" w:fill="BFBFBF"/>
          </w:tcPr>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1 Identifiers</w:t>
            </w:r>
            <w:r w:rsidRPr="00F326C2">
              <w:rPr>
                <w:rStyle w:val="FootnoteReference"/>
                <w:rFonts w:asciiTheme="majorHAnsi" w:hAnsiTheme="majorHAnsi"/>
                <w:b/>
                <w:sz w:val="22"/>
                <w:szCs w:val="22"/>
              </w:rPr>
              <w:footnoteReference w:id="7"/>
            </w:r>
            <w:r w:rsidRPr="00F326C2">
              <w:rPr>
                <w:rFonts w:asciiTheme="majorHAnsi" w:hAnsiTheme="majorHAnsi"/>
                <w:sz w:val="22"/>
                <w:szCs w:val="22"/>
              </w:rPr>
              <w:t>: "Red Cross", "Red Crescent", "Red Lion and Sun" and "Red Crystal" (Language: UN6)</w:t>
            </w:r>
          </w:p>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2 Identifiers</w:t>
            </w:r>
            <w:r w:rsidRPr="00F326C2">
              <w:rPr>
                <w:rFonts w:asciiTheme="majorHAnsi" w:hAnsiTheme="majorHAnsi"/>
                <w:sz w:val="22"/>
                <w:szCs w:val="22"/>
              </w:rPr>
              <w:t>: 189 recognized National Red Cross and Red Crescent Societies; International Committee of the Red Cross; International Federation of Red Cross and Red Crescent Societies; ICRC, CICR, CICV, MKKK, IFRC, FICR (Language: in English, as well as in their respective national languages; ICRC &amp; IFRC protected in UN6)</w:t>
            </w:r>
          </w:p>
        </w:tc>
      </w:tr>
    </w:tbl>
    <w:p w:rsidR="00F326C2" w:rsidRPr="00F326C2" w:rsidRDefault="00F326C2" w:rsidP="00D6605E">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7790"/>
      </w:tblGrid>
      <w:tr w:rsidR="00F326C2" w:rsidRPr="00F326C2" w:rsidTr="00861A32">
        <w:trPr>
          <w:cantSplit/>
          <w:trHeight w:val="296"/>
          <w:tblHeader/>
        </w:trPr>
        <w:tc>
          <w:tcPr>
            <w:tcW w:w="0" w:type="auto"/>
            <w:shd w:val="clear" w:color="auto" w:fill="BFBFBF"/>
          </w:tcPr>
          <w:p w:rsidR="00F326C2" w:rsidRPr="00F326C2" w:rsidRDefault="00F326C2" w:rsidP="00861A32">
            <w:pPr>
              <w:ind w:left="720"/>
              <w:contextualSpacing/>
              <w:jc w:val="center"/>
              <w:rPr>
                <w:rFonts w:asciiTheme="majorHAnsi" w:hAnsiTheme="majorHAnsi"/>
                <w:b/>
                <w:sz w:val="22"/>
                <w:szCs w:val="22"/>
              </w:rPr>
            </w:pPr>
            <w:r w:rsidRPr="00F326C2">
              <w:rPr>
                <w:rFonts w:asciiTheme="majorHAnsi" w:hAnsiTheme="majorHAnsi"/>
                <w:b/>
                <w:sz w:val="22"/>
                <w:szCs w:val="22"/>
              </w:rPr>
              <w:t>#</w:t>
            </w:r>
          </w:p>
        </w:tc>
        <w:tc>
          <w:tcPr>
            <w:tcW w:w="7790" w:type="dxa"/>
            <w:shd w:val="clear" w:color="auto" w:fill="BFBFBF"/>
          </w:tcPr>
          <w:p w:rsidR="00F326C2" w:rsidRPr="00F326C2" w:rsidRDefault="00F326C2" w:rsidP="00861A32">
            <w:pPr>
              <w:jc w:val="center"/>
              <w:rPr>
                <w:rFonts w:asciiTheme="majorHAnsi" w:hAnsiTheme="majorHAnsi"/>
                <w:b/>
                <w:sz w:val="22"/>
                <w:szCs w:val="22"/>
              </w:rPr>
            </w:pPr>
            <w:r w:rsidRPr="00F326C2">
              <w:rPr>
                <w:rFonts w:asciiTheme="majorHAnsi" w:hAnsiTheme="majorHAnsi" w:cs="Arial"/>
                <w:b/>
                <w:sz w:val="22"/>
                <w:szCs w:val="22"/>
              </w:rPr>
              <w:t>International Olympic Committee (IOC) Identifiers</w:t>
            </w:r>
          </w:p>
        </w:tc>
      </w:tr>
      <w:tr w:rsidR="00F326C2" w:rsidRPr="00F326C2" w:rsidTr="00861A32">
        <w:trPr>
          <w:cantSplit/>
          <w:trHeight w:val="296"/>
          <w:tblHeader/>
        </w:trPr>
        <w:tc>
          <w:tcPr>
            <w:tcW w:w="8838" w:type="dxa"/>
            <w:gridSpan w:val="2"/>
            <w:shd w:val="clear" w:color="auto" w:fill="BFBFBF"/>
          </w:tcPr>
          <w:p w:rsidR="00F326C2" w:rsidRPr="00F326C2" w:rsidRDefault="00F326C2" w:rsidP="00861A32">
            <w:pPr>
              <w:rPr>
                <w:rFonts w:asciiTheme="majorHAnsi" w:hAnsiTheme="majorHAnsi" w:cs="Arial"/>
                <w:b/>
                <w:sz w:val="22"/>
                <w:szCs w:val="22"/>
              </w:rPr>
            </w:pPr>
            <w:r w:rsidRPr="00F326C2">
              <w:rPr>
                <w:rFonts w:asciiTheme="majorHAnsi" w:hAnsiTheme="majorHAnsi"/>
                <w:b/>
                <w:sz w:val="22"/>
                <w:szCs w:val="22"/>
              </w:rPr>
              <w:t>Scope 1 Identifiers</w:t>
            </w:r>
            <w:r w:rsidRPr="00F326C2">
              <w:rPr>
                <w:rFonts w:asciiTheme="majorHAnsi" w:hAnsiTheme="majorHAnsi"/>
                <w:sz w:val="22"/>
                <w:szCs w:val="22"/>
              </w:rPr>
              <w:t>: olympic, olympiad (Language: UN6, + German, Greek, and Korean)</w:t>
            </w:r>
            <w:r w:rsidRPr="00F326C2">
              <w:rPr>
                <w:rStyle w:val="FootnoteReference"/>
                <w:rFonts w:asciiTheme="majorHAnsi" w:hAnsiTheme="majorHAnsi" w:cs="Arial"/>
                <w:b/>
                <w:sz w:val="22"/>
                <w:szCs w:val="22"/>
              </w:rPr>
              <w:t xml:space="preserve"> </w:t>
            </w:r>
            <w:r w:rsidRPr="00F326C2">
              <w:rPr>
                <w:rStyle w:val="FootnoteReference"/>
                <w:rFonts w:asciiTheme="majorHAnsi" w:hAnsiTheme="majorHAnsi" w:cs="Arial"/>
                <w:b/>
                <w:sz w:val="22"/>
                <w:szCs w:val="22"/>
              </w:rPr>
              <w:footnoteReference w:id="8"/>
            </w:r>
            <w:r w:rsidRPr="00F326C2">
              <w:rPr>
                <w:rStyle w:val="FootnoteReference"/>
                <w:rFonts w:asciiTheme="majorHAnsi" w:hAnsiTheme="majorHAnsi" w:cs="Arial"/>
                <w:b/>
                <w:sz w:val="22"/>
                <w:szCs w:val="22"/>
              </w:rPr>
              <w:t>,</w:t>
            </w:r>
            <w:r w:rsidRPr="00F326C2">
              <w:rPr>
                <w:rStyle w:val="FootnoteReference"/>
                <w:rFonts w:asciiTheme="majorHAnsi" w:hAnsiTheme="majorHAnsi"/>
                <w:sz w:val="22"/>
                <w:szCs w:val="22"/>
              </w:rPr>
              <w:footnoteReference w:id="9"/>
            </w:r>
          </w:p>
        </w:tc>
      </w:tr>
    </w:tbl>
    <w:p w:rsidR="00F326C2" w:rsidRPr="00F326C2" w:rsidRDefault="00F326C2" w:rsidP="00D6605E">
      <w:pP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8483"/>
      </w:tblGrid>
      <w:tr w:rsidR="00F326C2" w:rsidRPr="00F326C2" w:rsidTr="00861A32">
        <w:trPr>
          <w:cantSplit/>
          <w:trHeight w:val="296"/>
          <w:tblHeader/>
        </w:trPr>
        <w:tc>
          <w:tcPr>
            <w:tcW w:w="0" w:type="auto"/>
            <w:shd w:val="clear" w:color="auto" w:fill="BFBFBF"/>
          </w:tcPr>
          <w:p w:rsidR="00F326C2" w:rsidRPr="00F326C2" w:rsidRDefault="00F326C2" w:rsidP="00861A32">
            <w:pPr>
              <w:jc w:val="center"/>
              <w:rPr>
                <w:rFonts w:asciiTheme="majorHAnsi" w:hAnsiTheme="majorHAnsi"/>
                <w:b/>
                <w:sz w:val="22"/>
                <w:szCs w:val="22"/>
              </w:rPr>
            </w:pPr>
            <w:r w:rsidRPr="00F326C2">
              <w:rPr>
                <w:rFonts w:asciiTheme="majorHAnsi" w:hAnsiTheme="majorHAnsi"/>
                <w:b/>
                <w:sz w:val="22"/>
                <w:szCs w:val="22"/>
              </w:rPr>
              <w:t>#</w:t>
            </w:r>
          </w:p>
        </w:tc>
        <w:tc>
          <w:tcPr>
            <w:tcW w:w="7790" w:type="dxa"/>
            <w:shd w:val="clear" w:color="auto" w:fill="BFBFBF"/>
          </w:tcPr>
          <w:p w:rsidR="00F326C2" w:rsidRPr="00F326C2" w:rsidRDefault="00F326C2" w:rsidP="00861A32">
            <w:pPr>
              <w:jc w:val="center"/>
              <w:rPr>
                <w:rFonts w:asciiTheme="majorHAnsi" w:hAnsiTheme="majorHAnsi"/>
                <w:b/>
                <w:sz w:val="22"/>
                <w:szCs w:val="22"/>
              </w:rPr>
            </w:pPr>
            <w:r w:rsidRPr="00F326C2">
              <w:rPr>
                <w:rFonts w:asciiTheme="majorHAnsi" w:hAnsiTheme="majorHAnsi" w:cs="Arial"/>
                <w:b/>
                <w:sz w:val="22"/>
                <w:szCs w:val="22"/>
              </w:rPr>
              <w:t>International Governmental Organization (IGO) Identifiers</w:t>
            </w:r>
          </w:p>
        </w:tc>
      </w:tr>
      <w:tr w:rsidR="00F326C2" w:rsidRPr="00F326C2" w:rsidTr="00861A32">
        <w:trPr>
          <w:cantSplit/>
          <w:trHeight w:val="296"/>
          <w:tblHeader/>
        </w:trPr>
        <w:tc>
          <w:tcPr>
            <w:tcW w:w="8838" w:type="dxa"/>
            <w:gridSpan w:val="2"/>
            <w:shd w:val="clear" w:color="auto" w:fill="BFBFBF"/>
          </w:tcPr>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1 Identifiers</w:t>
            </w:r>
            <w:r w:rsidRPr="00F326C2">
              <w:rPr>
                <w:rFonts w:asciiTheme="majorHAnsi" w:hAnsiTheme="majorHAnsi"/>
                <w:sz w:val="22"/>
                <w:szCs w:val="22"/>
              </w:rPr>
              <w:t>: GAC List</w:t>
            </w:r>
            <w:r w:rsidRPr="00F326C2">
              <w:rPr>
                <w:rStyle w:val="FootnoteReference"/>
                <w:rFonts w:asciiTheme="majorHAnsi" w:hAnsiTheme="majorHAnsi"/>
                <w:sz w:val="22"/>
                <w:szCs w:val="22"/>
              </w:rPr>
              <w:footnoteReference w:id="10"/>
            </w:r>
            <w:r w:rsidRPr="00F326C2">
              <w:rPr>
                <w:rFonts w:asciiTheme="majorHAnsi" w:hAnsiTheme="majorHAnsi"/>
                <w:sz w:val="22"/>
                <w:szCs w:val="22"/>
              </w:rPr>
              <w:t xml:space="preserve"> (22 March 2013) - Full Name (Language: Up to two languages</w:t>
            </w:r>
            <w:r w:rsidRPr="00F326C2">
              <w:rPr>
                <w:rStyle w:val="FootnoteReference"/>
                <w:rFonts w:asciiTheme="majorHAnsi" w:hAnsiTheme="majorHAnsi"/>
                <w:sz w:val="22"/>
                <w:szCs w:val="22"/>
              </w:rPr>
              <w:footnoteReference w:id="11"/>
            </w:r>
            <w:r w:rsidRPr="00F326C2">
              <w:rPr>
                <w:rFonts w:asciiTheme="majorHAnsi" w:hAnsiTheme="majorHAnsi"/>
                <w:sz w:val="22"/>
                <w:szCs w:val="22"/>
              </w:rPr>
              <w:t>)</w:t>
            </w:r>
          </w:p>
          <w:p w:rsidR="00F326C2" w:rsidRPr="00F326C2" w:rsidRDefault="00F326C2" w:rsidP="00F326C2">
            <w:pPr>
              <w:numPr>
                <w:ilvl w:val="1"/>
                <w:numId w:val="3"/>
              </w:numPr>
              <w:ind w:left="540"/>
              <w:rPr>
                <w:rFonts w:asciiTheme="majorHAnsi" w:hAnsiTheme="majorHAnsi" w:cs="Arial"/>
                <w:b/>
                <w:sz w:val="22"/>
                <w:szCs w:val="22"/>
              </w:rPr>
            </w:pPr>
            <w:r w:rsidRPr="00F326C2">
              <w:rPr>
                <w:rFonts w:asciiTheme="majorHAnsi" w:hAnsiTheme="majorHAnsi"/>
                <w:b/>
                <w:sz w:val="22"/>
                <w:szCs w:val="22"/>
              </w:rPr>
              <w:t>Scope 2 Identifiers</w:t>
            </w:r>
            <w:r w:rsidRPr="00F326C2">
              <w:rPr>
                <w:rFonts w:asciiTheme="majorHAnsi" w:hAnsiTheme="majorHAnsi"/>
                <w:sz w:val="22"/>
                <w:szCs w:val="22"/>
              </w:rPr>
              <w:t>: GAC List (22 March 2013) - Acronym (Language: Up to two languages)</w:t>
            </w:r>
          </w:p>
        </w:tc>
      </w:tr>
    </w:tbl>
    <w:p w:rsidR="00F326C2" w:rsidRPr="00F326C2" w:rsidRDefault="00F326C2" w:rsidP="00D6605E">
      <w:pPr>
        <w:rPr>
          <w:rFonts w:asciiTheme="majorHAnsi" w:hAnsiTheme="majorHAnsi"/>
          <w:sz w:val="22"/>
          <w:szCs w:val="2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7792"/>
      </w:tblGrid>
      <w:tr w:rsidR="00F326C2" w:rsidRPr="00F326C2" w:rsidTr="00861A32">
        <w:trPr>
          <w:cantSplit/>
          <w:trHeight w:val="296"/>
          <w:tblHeader/>
        </w:trPr>
        <w:tc>
          <w:tcPr>
            <w:tcW w:w="592" w:type="pct"/>
            <w:shd w:val="clear" w:color="auto" w:fill="BFBFBF"/>
          </w:tcPr>
          <w:p w:rsidR="00F326C2" w:rsidRPr="00F326C2" w:rsidRDefault="00F326C2" w:rsidP="00861A32">
            <w:pPr>
              <w:ind w:left="720"/>
              <w:contextualSpacing/>
              <w:jc w:val="center"/>
              <w:rPr>
                <w:rFonts w:asciiTheme="majorHAnsi" w:hAnsiTheme="majorHAnsi"/>
                <w:b/>
                <w:sz w:val="22"/>
                <w:szCs w:val="22"/>
              </w:rPr>
            </w:pPr>
            <w:r w:rsidRPr="00F326C2">
              <w:rPr>
                <w:rFonts w:asciiTheme="majorHAnsi" w:hAnsiTheme="majorHAnsi"/>
                <w:b/>
                <w:sz w:val="22"/>
                <w:szCs w:val="22"/>
              </w:rPr>
              <w:t>#</w:t>
            </w:r>
          </w:p>
        </w:tc>
        <w:tc>
          <w:tcPr>
            <w:tcW w:w="4408" w:type="pct"/>
            <w:shd w:val="clear" w:color="auto" w:fill="BFBFBF"/>
          </w:tcPr>
          <w:p w:rsidR="00F326C2" w:rsidRPr="00F326C2" w:rsidRDefault="00F326C2" w:rsidP="00861A32">
            <w:pPr>
              <w:jc w:val="center"/>
              <w:rPr>
                <w:rFonts w:asciiTheme="majorHAnsi" w:hAnsiTheme="majorHAnsi"/>
                <w:b/>
                <w:sz w:val="22"/>
                <w:szCs w:val="22"/>
              </w:rPr>
            </w:pPr>
            <w:r w:rsidRPr="00F326C2">
              <w:rPr>
                <w:rFonts w:asciiTheme="majorHAnsi" w:hAnsiTheme="majorHAnsi"/>
                <w:b/>
                <w:sz w:val="22"/>
                <w:szCs w:val="22"/>
              </w:rPr>
              <w:t>International Non-Governmental Organizations (INGO) Identifiers</w:t>
            </w:r>
            <w:r>
              <w:rPr>
                <w:rFonts w:asciiTheme="majorHAnsi" w:hAnsiTheme="majorHAnsi"/>
                <w:b/>
                <w:sz w:val="22"/>
                <w:szCs w:val="22"/>
              </w:rPr>
              <w:t xml:space="preserve"> (other than RCRC &amp; IOC)</w:t>
            </w:r>
          </w:p>
        </w:tc>
      </w:tr>
      <w:tr w:rsidR="00F326C2" w:rsidRPr="00F326C2" w:rsidTr="00861A32">
        <w:trPr>
          <w:cantSplit/>
          <w:trHeight w:val="296"/>
          <w:tblHeader/>
        </w:trPr>
        <w:tc>
          <w:tcPr>
            <w:tcW w:w="5000" w:type="pct"/>
            <w:gridSpan w:val="2"/>
            <w:shd w:val="clear" w:color="auto" w:fill="BFBFBF"/>
          </w:tcPr>
          <w:p w:rsidR="00F326C2" w:rsidRPr="00F326C2" w:rsidRDefault="00F326C2" w:rsidP="00F326C2">
            <w:pPr>
              <w:numPr>
                <w:ilvl w:val="1"/>
                <w:numId w:val="3"/>
              </w:numPr>
              <w:ind w:left="540"/>
              <w:rPr>
                <w:rFonts w:asciiTheme="majorHAnsi" w:hAnsiTheme="majorHAnsi"/>
                <w:sz w:val="22"/>
                <w:szCs w:val="22"/>
              </w:rPr>
            </w:pPr>
            <w:r w:rsidRPr="00F326C2">
              <w:rPr>
                <w:rFonts w:asciiTheme="majorHAnsi" w:hAnsiTheme="majorHAnsi"/>
                <w:b/>
                <w:sz w:val="22"/>
                <w:szCs w:val="22"/>
              </w:rPr>
              <w:t>Scope 1 Identifiers</w:t>
            </w:r>
            <w:r w:rsidRPr="00F326C2">
              <w:rPr>
                <w:rFonts w:asciiTheme="majorHAnsi" w:hAnsiTheme="majorHAnsi"/>
                <w:sz w:val="22"/>
                <w:szCs w:val="22"/>
              </w:rPr>
              <w:t>: ECOSOC List</w:t>
            </w:r>
            <w:r w:rsidRPr="00F326C2">
              <w:rPr>
                <w:rStyle w:val="FootnoteReference"/>
                <w:rFonts w:asciiTheme="majorHAnsi" w:hAnsiTheme="majorHAnsi"/>
                <w:sz w:val="22"/>
                <w:szCs w:val="22"/>
              </w:rPr>
              <w:footnoteReference w:id="12"/>
            </w:r>
            <w:r w:rsidRPr="00F326C2">
              <w:rPr>
                <w:rFonts w:asciiTheme="majorHAnsi" w:hAnsiTheme="majorHAnsi"/>
                <w:sz w:val="22"/>
                <w:szCs w:val="22"/>
              </w:rPr>
              <w:t xml:space="preserve"> (General Consultative Status) (Language: English only)</w:t>
            </w:r>
          </w:p>
          <w:p w:rsidR="00F326C2" w:rsidRPr="00F326C2" w:rsidRDefault="00F326C2" w:rsidP="00F326C2">
            <w:pPr>
              <w:numPr>
                <w:ilvl w:val="1"/>
                <w:numId w:val="3"/>
              </w:numPr>
              <w:ind w:left="540"/>
              <w:rPr>
                <w:rFonts w:asciiTheme="majorHAnsi" w:hAnsiTheme="majorHAnsi"/>
                <w:sz w:val="22"/>
                <w:szCs w:val="22"/>
              </w:rPr>
            </w:pPr>
            <w:r w:rsidRPr="00F326C2">
              <w:rPr>
                <w:rFonts w:asciiTheme="majorHAnsi" w:hAnsiTheme="majorHAnsi"/>
                <w:b/>
                <w:sz w:val="22"/>
                <w:szCs w:val="22"/>
              </w:rPr>
              <w:t>Scope 2 Identifiers</w:t>
            </w:r>
            <w:r w:rsidRPr="00F326C2">
              <w:rPr>
                <w:rFonts w:asciiTheme="majorHAnsi" w:hAnsiTheme="majorHAnsi"/>
                <w:sz w:val="22"/>
                <w:szCs w:val="22"/>
              </w:rPr>
              <w:t>: ECOSOC List (Special Consultative Status) (Language: English only)</w:t>
            </w:r>
          </w:p>
          <w:p w:rsidR="00F326C2" w:rsidRPr="00F326C2" w:rsidRDefault="00F326C2" w:rsidP="00861A32">
            <w:pPr>
              <w:rPr>
                <w:rFonts w:asciiTheme="majorHAnsi" w:hAnsiTheme="majorHAnsi"/>
                <w:b/>
                <w:sz w:val="22"/>
                <w:szCs w:val="22"/>
              </w:rPr>
            </w:pPr>
            <w:r>
              <w:rPr>
                <w:rFonts w:asciiTheme="majorHAnsi" w:hAnsiTheme="majorHAnsi"/>
                <w:sz w:val="22"/>
                <w:szCs w:val="22"/>
              </w:rPr>
              <w:t>(</w:t>
            </w:r>
            <w:r w:rsidRPr="00F326C2">
              <w:rPr>
                <w:rFonts w:asciiTheme="majorHAnsi" w:hAnsiTheme="majorHAnsi"/>
                <w:sz w:val="22"/>
                <w:szCs w:val="22"/>
              </w:rPr>
              <w:t xml:space="preserve">See </w:t>
            </w:r>
            <w:hyperlink r:id="rId46" w:history="1">
              <w:r w:rsidRPr="00F326C2">
                <w:rPr>
                  <w:rStyle w:val="Hyperlink"/>
                  <w:rFonts w:asciiTheme="majorHAnsi" w:hAnsiTheme="majorHAnsi"/>
                  <w:sz w:val="22"/>
                  <w:szCs w:val="22"/>
                </w:rPr>
                <w:t>http://csonet.org/content/documents/E2011INF4.pdf</w:t>
              </w:r>
            </w:hyperlink>
            <w:r>
              <w:rPr>
                <w:rStyle w:val="Hyperlink"/>
                <w:rFonts w:asciiTheme="majorHAnsi" w:hAnsiTheme="majorHAnsi"/>
                <w:sz w:val="22"/>
                <w:szCs w:val="22"/>
              </w:rPr>
              <w:t>)</w:t>
            </w:r>
          </w:p>
        </w:tc>
      </w:tr>
    </w:tbl>
    <w:p w:rsidR="00F326C2" w:rsidRPr="00D6605E" w:rsidRDefault="00F326C2" w:rsidP="00F326C2">
      <w:pPr>
        <w:rPr>
          <w:rFonts w:asciiTheme="majorHAnsi" w:hAnsiTheme="majorHAnsi"/>
          <w:sz w:val="22"/>
          <w:szCs w:val="22"/>
        </w:rPr>
      </w:pPr>
    </w:p>
    <w:sectPr w:rsidR="00F326C2" w:rsidRPr="00D6605E"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68" w:rsidRDefault="00EB7768" w:rsidP="00F326C2">
      <w:r>
        <w:separator/>
      </w:r>
    </w:p>
  </w:endnote>
  <w:endnote w:type="continuationSeparator" w:id="0">
    <w:p w:rsidR="00EB7768" w:rsidRDefault="00EB7768" w:rsidP="00F3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768" w:rsidRDefault="00EB7768" w:rsidP="00EB77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7768" w:rsidRDefault="00EB7768" w:rsidP="00EB77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768" w:rsidRDefault="00EB7768" w:rsidP="00EB77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3B03">
      <w:rPr>
        <w:rStyle w:val="PageNumber"/>
        <w:noProof/>
      </w:rPr>
      <w:t>1</w:t>
    </w:r>
    <w:r>
      <w:rPr>
        <w:rStyle w:val="PageNumber"/>
      </w:rPr>
      <w:fldChar w:fldCharType="end"/>
    </w:r>
  </w:p>
  <w:p w:rsidR="00EB7768" w:rsidRDefault="00EB7768" w:rsidP="00EB776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68" w:rsidRDefault="00EB7768" w:rsidP="00F326C2">
      <w:r>
        <w:separator/>
      </w:r>
    </w:p>
  </w:footnote>
  <w:footnote w:type="continuationSeparator" w:id="0">
    <w:p w:rsidR="00EB7768" w:rsidRDefault="00EB7768" w:rsidP="00F326C2">
      <w:r>
        <w:continuationSeparator/>
      </w:r>
    </w:p>
  </w:footnote>
  <w:footnote w:id="1">
    <w:p w:rsidR="00EB7768" w:rsidRDefault="00EB7768">
      <w:pPr>
        <w:pStyle w:val="FootnoteText"/>
      </w:pPr>
      <w:r>
        <w:rPr>
          <w:rStyle w:val="FootnoteReference"/>
        </w:rPr>
        <w:footnoteRef/>
      </w:r>
      <w:r>
        <w:t xml:space="preserve"> See Part III below for the relevant GAC advice on this topic.</w:t>
      </w:r>
    </w:p>
  </w:footnote>
  <w:footnote w:id="2">
    <w:p w:rsidR="00EB7768" w:rsidRDefault="00EB7768">
      <w:pPr>
        <w:pStyle w:val="FootnoteText"/>
      </w:pPr>
      <w:r>
        <w:rPr>
          <w:rStyle w:val="FootnoteReference"/>
        </w:rPr>
        <w:footnoteRef/>
      </w:r>
      <w:r>
        <w:t xml:space="preserve"> This procedure is described in Section 16 of the GNSO’s PDP Manual. See </w:t>
      </w:r>
      <w:hyperlink r:id="rId1" w:history="1">
        <w:r w:rsidRPr="00EF4C46">
          <w:rPr>
            <w:rStyle w:val="Hyperlink"/>
          </w:rPr>
          <w:t>http://gnso.icann.org/en/issues/proposed-policy-recommendations-modifications-09jul14-en.pdf</w:t>
        </w:r>
      </w:hyperlink>
      <w:r>
        <w:t xml:space="preserve"> for a Staff Briefing Note describing the process. Note that this procedure was developed as part of the last round of GNSO improvements, and has yet to be invoked by the GNSO Council.</w:t>
      </w:r>
    </w:p>
  </w:footnote>
  <w:footnote w:id="3">
    <w:p w:rsidR="00EB7768" w:rsidRDefault="00EB7768">
      <w:pPr>
        <w:pStyle w:val="FootnoteText"/>
      </w:pPr>
      <w:r>
        <w:rPr>
          <w:rStyle w:val="FootnoteReference"/>
        </w:rPr>
        <w:footnoteRef/>
      </w:r>
      <w:r>
        <w:t xml:space="preserve"> See </w:t>
      </w:r>
      <w:r w:rsidRPr="00FA3D92">
        <w:rPr>
          <w:u w:val="single"/>
        </w:rPr>
        <w:t xml:space="preserve">Annex </w:t>
      </w:r>
      <w:r>
        <w:rPr>
          <w:u w:val="single"/>
        </w:rPr>
        <w:t>A</w:t>
      </w:r>
      <w:r>
        <w:t xml:space="preserve"> for a full list of each group of identifiers (i.e. Red Cross, IOC, IGOs and INGOs) recommended for protection by the IGO-INGO WG.</w:t>
      </w:r>
    </w:p>
  </w:footnote>
  <w:footnote w:id="4">
    <w:p w:rsidR="00EB7768" w:rsidRDefault="00EB7768">
      <w:pPr>
        <w:pStyle w:val="FootnoteText"/>
      </w:pPr>
      <w:r>
        <w:rPr>
          <w:rStyle w:val="FootnoteReference"/>
        </w:rPr>
        <w:footnoteRef/>
      </w:r>
      <w:r>
        <w:t xml:space="preserve"> Subsequent GAC Communiques – including Costa Rica (March 2012), Prague (June 2012), Toronto (October 2012), Beijing (April 2013), Durban (July 2013), Buenos Aires (November 2013)</w:t>
      </w:r>
      <w:r w:rsidR="002B7C68">
        <w:t>,</w:t>
      </w:r>
      <w:r>
        <w:t xml:space="preserve"> Singapore (</w:t>
      </w:r>
      <w:r w:rsidR="002B7C68">
        <w:t xml:space="preserve">March </w:t>
      </w:r>
      <w:r>
        <w:t xml:space="preserve">2014) </w:t>
      </w:r>
      <w:r w:rsidR="002B7C68">
        <w:t xml:space="preserve">and London (June 2014) </w:t>
      </w:r>
      <w:r>
        <w:t>– reiterated the GAC’s support for protection for Red Cross and IOC identifiers, based on their legal protections under international treaties and multiple national laws.</w:t>
      </w:r>
    </w:p>
  </w:footnote>
  <w:footnote w:id="5">
    <w:p w:rsidR="00EB7768" w:rsidRDefault="00EB7768">
      <w:pPr>
        <w:pStyle w:val="FootnoteText"/>
      </w:pPr>
      <w:r>
        <w:rPr>
          <w:rStyle w:val="FootnoteReference"/>
        </w:rPr>
        <w:footnoteRef/>
      </w:r>
      <w:r>
        <w:t xml:space="preserve"> Subsequent GAC Communiques – including </w:t>
      </w:r>
      <w:r w:rsidR="002B7C68">
        <w:t xml:space="preserve">those from </w:t>
      </w:r>
      <w:r>
        <w:t>Durban (July</w:t>
      </w:r>
      <w:r w:rsidR="002B7C68">
        <w:t xml:space="preserve"> 2013</w:t>
      </w:r>
      <w:r>
        <w:t>)</w:t>
      </w:r>
      <w:r w:rsidR="002B7C68">
        <w:t>,</w:t>
      </w:r>
      <w:r>
        <w:t xml:space="preserve"> Buenos Aires (November 2013)</w:t>
      </w:r>
      <w:r w:rsidR="002B7C68">
        <w:t xml:space="preserve"> and London (June 2014)</w:t>
      </w:r>
      <w:r>
        <w:t xml:space="preserve"> – continued to emphasize the need to protect IGO names and acronyms at the second level. </w:t>
      </w:r>
    </w:p>
  </w:footnote>
  <w:footnote w:id="6">
    <w:p w:rsidR="00EB7768" w:rsidRDefault="00EB7768">
      <w:pPr>
        <w:pStyle w:val="FootnoteText"/>
      </w:pPr>
      <w:r>
        <w:rPr>
          <w:rStyle w:val="FootnoteReference"/>
        </w:rPr>
        <w:footnoteRef/>
      </w:r>
      <w:r>
        <w:t xml:space="preserve"> See </w:t>
      </w:r>
      <w:r w:rsidRPr="007C482E">
        <w:rPr>
          <w:u w:val="single"/>
        </w:rPr>
        <w:t xml:space="preserve">Annex </w:t>
      </w:r>
      <w:r>
        <w:rPr>
          <w:u w:val="single"/>
        </w:rPr>
        <w:t>A</w:t>
      </w:r>
      <w:r>
        <w:t xml:space="preserve"> for the full list.</w:t>
      </w:r>
    </w:p>
  </w:footnote>
  <w:footnote w:id="7">
    <w:p w:rsidR="00EB7768" w:rsidRPr="00F326C2" w:rsidRDefault="00EB7768" w:rsidP="00F326C2">
      <w:pPr>
        <w:pStyle w:val="FootnoteText"/>
        <w:spacing w:after="0"/>
        <w:contextualSpacing/>
      </w:pPr>
      <w:r w:rsidRPr="00F326C2">
        <w:rPr>
          <w:rStyle w:val="FootnoteReference"/>
        </w:rPr>
        <w:footnoteRef/>
      </w:r>
      <w:r w:rsidRPr="00F326C2">
        <w:t xml:space="preserve"> The Scope 1 identifiers for RCRC are alrea</w:t>
      </w:r>
      <w:r>
        <w:t>dy placed on the reserved list:</w:t>
      </w:r>
      <w:hyperlink r:id="rId2" w:history="1">
        <w:r w:rsidRPr="00F326C2">
          <w:rPr>
            <w:rStyle w:val="Hyperlink"/>
          </w:rPr>
          <w:t>http://www.icann.org/sites/default/files/packages/reserved-names/ReservedNames.xml</w:t>
        </w:r>
      </w:hyperlink>
      <w:r w:rsidRPr="00F326C2">
        <w:rPr>
          <w:rStyle w:val="Hyperlink"/>
        </w:rPr>
        <w:t xml:space="preserve">. </w:t>
      </w:r>
    </w:p>
  </w:footnote>
  <w:footnote w:id="8">
    <w:p w:rsidR="00EB7768" w:rsidRPr="00F326C2" w:rsidRDefault="00EB7768" w:rsidP="00F326C2">
      <w:pPr>
        <w:pStyle w:val="FootnoteText"/>
        <w:spacing w:after="0"/>
        <w:contextualSpacing/>
      </w:pPr>
      <w:r w:rsidRPr="00F326C2">
        <w:rPr>
          <w:rStyle w:val="FootnoteReference"/>
        </w:rPr>
        <w:footnoteRef/>
      </w:r>
      <w:r w:rsidRPr="00F326C2">
        <w:t xml:space="preserve"> The Scope 1 identifiers for IOC are already placed on the reserved list: </w:t>
      </w:r>
      <w:hyperlink r:id="rId3" w:history="1">
        <w:r w:rsidRPr="00F326C2">
          <w:rPr>
            <w:rStyle w:val="Hyperlink"/>
          </w:rPr>
          <w:t>http://www.icann.org/sites/default/files/packages/reserved-names/ReservedNames.xml</w:t>
        </w:r>
      </w:hyperlink>
      <w:r w:rsidRPr="00F326C2">
        <w:rPr>
          <w:rStyle w:val="Hyperlink"/>
        </w:rPr>
        <w:t xml:space="preserve">. </w:t>
      </w:r>
    </w:p>
  </w:footnote>
  <w:footnote w:id="9">
    <w:p w:rsidR="00EB7768" w:rsidRPr="00F326C2" w:rsidRDefault="00EB7768" w:rsidP="00F326C2">
      <w:pPr>
        <w:pStyle w:val="FootnoteText"/>
        <w:spacing w:after="0"/>
        <w:contextualSpacing/>
      </w:pPr>
      <w:r w:rsidRPr="00F326C2">
        <w:rPr>
          <w:rStyle w:val="FootnoteReference"/>
        </w:rPr>
        <w:footnoteRef/>
      </w:r>
      <w:r w:rsidRPr="00F326C2">
        <w:rPr>
          <w:rStyle w:val="FootnoteReference"/>
        </w:rPr>
        <w:t xml:space="preserve"> </w:t>
      </w:r>
      <w:r>
        <w:t>T</w:t>
      </w:r>
      <w:r w:rsidRPr="00F326C2">
        <w:t>he IOC did not request protections for acronyms.</w:t>
      </w:r>
    </w:p>
  </w:footnote>
  <w:footnote w:id="10">
    <w:p w:rsidR="00EB7768" w:rsidRPr="00F326C2" w:rsidRDefault="00EB7768" w:rsidP="00F326C2">
      <w:pPr>
        <w:pStyle w:val="FootnoteText"/>
        <w:spacing w:after="0"/>
        <w:contextualSpacing/>
      </w:pPr>
      <w:r w:rsidRPr="00F326C2">
        <w:rPr>
          <w:rStyle w:val="FootnoteReference"/>
        </w:rPr>
        <w:footnoteRef/>
      </w:r>
      <w:r w:rsidRPr="00F326C2">
        <w:t xml:space="preserve"> List of IGO Full Name &amp; Acronym (Scope 1 &amp; 2) Identifiers from GAC Advice: </w:t>
      </w:r>
      <w:hyperlink r:id="rId4" w:history="1">
        <w:r w:rsidRPr="00F326C2">
          <w:rPr>
            <w:rStyle w:val="Hyperlink"/>
          </w:rPr>
          <w:t>http://www.icann.org/en/news/correspondence/dryden-to-crocker-chalaby-annex2-22mar13-en.pdf</w:t>
        </w:r>
      </w:hyperlink>
    </w:p>
  </w:footnote>
  <w:footnote w:id="11">
    <w:p w:rsidR="00EB7768" w:rsidRPr="00F326C2" w:rsidRDefault="00EB7768" w:rsidP="00F326C2">
      <w:pPr>
        <w:pStyle w:val="FootnoteText"/>
        <w:spacing w:after="0"/>
        <w:contextualSpacing/>
      </w:pPr>
      <w:r w:rsidRPr="00F326C2">
        <w:rPr>
          <w:rStyle w:val="FootnoteReference"/>
        </w:rPr>
        <w:footnoteRef/>
      </w:r>
      <w:r w:rsidRPr="00F326C2">
        <w:t xml:space="preserve"> The </w:t>
      </w:r>
      <w:r>
        <w:t>WG noted that “</w:t>
      </w:r>
      <w:r w:rsidRPr="00F326C2">
        <w:t>IGO Representatives collaborating with the GAC are to provide a list of the two languages each organization prefers because ICANN may not be in a position to determine which languages should be reserved for each of the 190+ organizations on the GAC list (UN6 is the standard scope for which ICANN conducts translations.)</w:t>
      </w:r>
      <w:r>
        <w:t>”</w:t>
      </w:r>
    </w:p>
  </w:footnote>
  <w:footnote w:id="12">
    <w:p w:rsidR="00EB7768" w:rsidRPr="00F326C2" w:rsidRDefault="00EB7768" w:rsidP="00F326C2">
      <w:pPr>
        <w:pStyle w:val="FootnoteText"/>
        <w:spacing w:after="0"/>
        <w:contextualSpacing/>
      </w:pPr>
      <w:r w:rsidRPr="00F326C2">
        <w:rPr>
          <w:rStyle w:val="FootnoteReference"/>
        </w:rPr>
        <w:footnoteRef/>
      </w:r>
      <w:r w:rsidRPr="00F326C2">
        <w:t xml:space="preserve"> The </w:t>
      </w:r>
      <w:r>
        <w:t xml:space="preserve">WG noted that “the </w:t>
      </w:r>
      <w:r w:rsidRPr="00F326C2">
        <w:t>Implementation Recommendations Team (IRT) to be formed in relation to this PDP will need to determine how this list is managed as new organizations enter the ECOSOC list.</w:t>
      </w:r>
      <w:r>
        <w:t>”</w:t>
      </w:r>
      <w:r w:rsidRPr="00F326C2">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22BB"/>
    <w:multiLevelType w:val="hybridMultilevel"/>
    <w:tmpl w:val="34E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61233D"/>
    <w:multiLevelType w:val="hybridMultilevel"/>
    <w:tmpl w:val="127A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F555A6"/>
    <w:multiLevelType w:val="hybridMultilevel"/>
    <w:tmpl w:val="282EC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B52125"/>
    <w:multiLevelType w:val="hybridMultilevel"/>
    <w:tmpl w:val="60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9C5663"/>
    <w:multiLevelType w:val="hybridMultilevel"/>
    <w:tmpl w:val="CB7E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0A"/>
    <w:rsid w:val="00030499"/>
    <w:rsid w:val="00044A69"/>
    <w:rsid w:val="00064DF4"/>
    <w:rsid w:val="00177751"/>
    <w:rsid w:val="001A617B"/>
    <w:rsid w:val="002A7410"/>
    <w:rsid w:val="002B7C68"/>
    <w:rsid w:val="002E280A"/>
    <w:rsid w:val="003322F9"/>
    <w:rsid w:val="003847A9"/>
    <w:rsid w:val="00427EF8"/>
    <w:rsid w:val="0044446F"/>
    <w:rsid w:val="004551D1"/>
    <w:rsid w:val="00464D4F"/>
    <w:rsid w:val="004C44B5"/>
    <w:rsid w:val="004C486A"/>
    <w:rsid w:val="005E6CD8"/>
    <w:rsid w:val="006D0C96"/>
    <w:rsid w:val="007C482E"/>
    <w:rsid w:val="00843126"/>
    <w:rsid w:val="00853B03"/>
    <w:rsid w:val="00861A32"/>
    <w:rsid w:val="00926E78"/>
    <w:rsid w:val="00957D2D"/>
    <w:rsid w:val="00A665E4"/>
    <w:rsid w:val="00A9584F"/>
    <w:rsid w:val="00BA4FCB"/>
    <w:rsid w:val="00CB67A4"/>
    <w:rsid w:val="00D16ED3"/>
    <w:rsid w:val="00D6605E"/>
    <w:rsid w:val="00DB364C"/>
    <w:rsid w:val="00DE02FF"/>
    <w:rsid w:val="00E30253"/>
    <w:rsid w:val="00EA7C46"/>
    <w:rsid w:val="00EB7768"/>
    <w:rsid w:val="00F326C2"/>
    <w:rsid w:val="00FA2113"/>
    <w:rsid w:val="00FA3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80A"/>
    <w:rPr>
      <w:color w:val="0000FF"/>
      <w:u w:val="single"/>
    </w:rPr>
  </w:style>
  <w:style w:type="character" w:customStyle="1" w:styleId="apple-converted-space">
    <w:name w:val="apple-converted-space"/>
    <w:basedOn w:val="DefaultParagraphFont"/>
    <w:rsid w:val="002E280A"/>
  </w:style>
  <w:style w:type="paragraph" w:styleId="ListParagraph">
    <w:name w:val="List Paragraph"/>
    <w:basedOn w:val="Normal"/>
    <w:uiPriority w:val="34"/>
    <w:qFormat/>
    <w:rsid w:val="005E6CD8"/>
    <w:pPr>
      <w:ind w:left="720"/>
      <w:contextualSpacing/>
    </w:pPr>
  </w:style>
  <w:style w:type="paragraph" w:styleId="FootnoteText">
    <w:name w:val="footnote text"/>
    <w:basedOn w:val="Normal"/>
    <w:link w:val="FootnoteTextChar"/>
    <w:uiPriority w:val="99"/>
    <w:unhideWhenUsed/>
    <w:rsid w:val="00F326C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326C2"/>
    <w:rPr>
      <w:rFonts w:ascii="Calibri" w:eastAsia="Calibri" w:hAnsi="Calibri" w:cs="Times New Roman"/>
      <w:sz w:val="20"/>
      <w:szCs w:val="20"/>
    </w:rPr>
  </w:style>
  <w:style w:type="character" w:styleId="FootnoteReference">
    <w:name w:val="footnote reference"/>
    <w:rsid w:val="00F326C2"/>
    <w:rPr>
      <w:vertAlign w:val="superscript"/>
    </w:rPr>
  </w:style>
  <w:style w:type="character" w:styleId="FollowedHyperlink">
    <w:name w:val="FollowedHyperlink"/>
    <w:basedOn w:val="DefaultParagraphFont"/>
    <w:uiPriority w:val="99"/>
    <w:semiHidden/>
    <w:unhideWhenUsed/>
    <w:rsid w:val="007C482E"/>
    <w:rPr>
      <w:color w:val="800080" w:themeColor="followedHyperlink"/>
      <w:u w:val="single"/>
    </w:rPr>
  </w:style>
  <w:style w:type="paragraph" w:styleId="Footer">
    <w:name w:val="footer"/>
    <w:basedOn w:val="Normal"/>
    <w:link w:val="FooterChar"/>
    <w:uiPriority w:val="99"/>
    <w:unhideWhenUsed/>
    <w:rsid w:val="00EB7768"/>
    <w:pPr>
      <w:tabs>
        <w:tab w:val="center" w:pos="4320"/>
        <w:tab w:val="right" w:pos="8640"/>
      </w:tabs>
    </w:pPr>
  </w:style>
  <w:style w:type="character" w:customStyle="1" w:styleId="FooterChar">
    <w:name w:val="Footer Char"/>
    <w:basedOn w:val="DefaultParagraphFont"/>
    <w:link w:val="Footer"/>
    <w:uiPriority w:val="99"/>
    <w:rsid w:val="00EB7768"/>
  </w:style>
  <w:style w:type="character" w:styleId="PageNumber">
    <w:name w:val="page number"/>
    <w:basedOn w:val="DefaultParagraphFont"/>
    <w:uiPriority w:val="99"/>
    <w:semiHidden/>
    <w:unhideWhenUsed/>
    <w:rsid w:val="00EB776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280A"/>
    <w:rPr>
      <w:color w:val="0000FF"/>
      <w:u w:val="single"/>
    </w:rPr>
  </w:style>
  <w:style w:type="character" w:customStyle="1" w:styleId="apple-converted-space">
    <w:name w:val="apple-converted-space"/>
    <w:basedOn w:val="DefaultParagraphFont"/>
    <w:rsid w:val="002E280A"/>
  </w:style>
  <w:style w:type="paragraph" w:styleId="ListParagraph">
    <w:name w:val="List Paragraph"/>
    <w:basedOn w:val="Normal"/>
    <w:uiPriority w:val="34"/>
    <w:qFormat/>
    <w:rsid w:val="005E6CD8"/>
    <w:pPr>
      <w:ind w:left="720"/>
      <w:contextualSpacing/>
    </w:pPr>
  </w:style>
  <w:style w:type="paragraph" w:styleId="FootnoteText">
    <w:name w:val="footnote text"/>
    <w:basedOn w:val="Normal"/>
    <w:link w:val="FootnoteTextChar"/>
    <w:uiPriority w:val="99"/>
    <w:unhideWhenUsed/>
    <w:rsid w:val="00F326C2"/>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F326C2"/>
    <w:rPr>
      <w:rFonts w:ascii="Calibri" w:eastAsia="Calibri" w:hAnsi="Calibri" w:cs="Times New Roman"/>
      <w:sz w:val="20"/>
      <w:szCs w:val="20"/>
    </w:rPr>
  </w:style>
  <w:style w:type="character" w:styleId="FootnoteReference">
    <w:name w:val="footnote reference"/>
    <w:rsid w:val="00F326C2"/>
    <w:rPr>
      <w:vertAlign w:val="superscript"/>
    </w:rPr>
  </w:style>
  <w:style w:type="character" w:styleId="FollowedHyperlink">
    <w:name w:val="FollowedHyperlink"/>
    <w:basedOn w:val="DefaultParagraphFont"/>
    <w:uiPriority w:val="99"/>
    <w:semiHidden/>
    <w:unhideWhenUsed/>
    <w:rsid w:val="007C482E"/>
    <w:rPr>
      <w:color w:val="800080" w:themeColor="followedHyperlink"/>
      <w:u w:val="single"/>
    </w:rPr>
  </w:style>
  <w:style w:type="paragraph" w:styleId="Footer">
    <w:name w:val="footer"/>
    <w:basedOn w:val="Normal"/>
    <w:link w:val="FooterChar"/>
    <w:uiPriority w:val="99"/>
    <w:unhideWhenUsed/>
    <w:rsid w:val="00EB7768"/>
    <w:pPr>
      <w:tabs>
        <w:tab w:val="center" w:pos="4320"/>
        <w:tab w:val="right" w:pos="8640"/>
      </w:tabs>
    </w:pPr>
  </w:style>
  <w:style w:type="character" w:customStyle="1" w:styleId="FooterChar">
    <w:name w:val="Footer Char"/>
    <w:basedOn w:val="DefaultParagraphFont"/>
    <w:link w:val="Footer"/>
    <w:uiPriority w:val="99"/>
    <w:rsid w:val="00EB7768"/>
  </w:style>
  <w:style w:type="character" w:styleId="PageNumber">
    <w:name w:val="page number"/>
    <w:basedOn w:val="DefaultParagraphFont"/>
    <w:uiPriority w:val="99"/>
    <w:semiHidden/>
    <w:unhideWhenUsed/>
    <w:rsid w:val="00EB7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279823">
      <w:bodyDiv w:val="1"/>
      <w:marLeft w:val="0"/>
      <w:marRight w:val="0"/>
      <w:marTop w:val="0"/>
      <w:marBottom w:val="0"/>
      <w:divBdr>
        <w:top w:val="none" w:sz="0" w:space="0" w:color="auto"/>
        <w:left w:val="none" w:sz="0" w:space="0" w:color="auto"/>
        <w:bottom w:val="none" w:sz="0" w:space="0" w:color="auto"/>
        <w:right w:val="none" w:sz="0" w:space="0" w:color="auto"/>
      </w:divBdr>
    </w:div>
    <w:div w:id="1668092593">
      <w:bodyDiv w:val="1"/>
      <w:marLeft w:val="0"/>
      <w:marRight w:val="0"/>
      <w:marTop w:val="0"/>
      <w:marBottom w:val="0"/>
      <w:divBdr>
        <w:top w:val="none" w:sz="0" w:space="0" w:color="auto"/>
        <w:left w:val="none" w:sz="0" w:space="0" w:color="auto"/>
        <w:bottom w:val="none" w:sz="0" w:space="0" w:color="auto"/>
        <w:right w:val="none" w:sz="0" w:space="0" w:color="auto"/>
      </w:divBdr>
    </w:div>
    <w:div w:id="1685522238">
      <w:bodyDiv w:val="1"/>
      <w:marLeft w:val="0"/>
      <w:marRight w:val="0"/>
      <w:marTop w:val="0"/>
      <w:marBottom w:val="0"/>
      <w:divBdr>
        <w:top w:val="none" w:sz="0" w:space="0" w:color="auto"/>
        <w:left w:val="none" w:sz="0" w:space="0" w:color="auto"/>
        <w:bottom w:val="none" w:sz="0" w:space="0" w:color="auto"/>
        <w:right w:val="none" w:sz="0" w:space="0" w:color="auto"/>
      </w:divBdr>
    </w:div>
    <w:div w:id="1886288176">
      <w:bodyDiv w:val="1"/>
      <w:marLeft w:val="0"/>
      <w:marRight w:val="0"/>
      <w:marTop w:val="0"/>
      <w:marBottom w:val="0"/>
      <w:divBdr>
        <w:top w:val="none" w:sz="0" w:space="0" w:color="auto"/>
        <w:left w:val="none" w:sz="0" w:space="0" w:color="auto"/>
        <w:bottom w:val="none" w:sz="0" w:space="0" w:color="auto"/>
        <w:right w:val="none" w:sz="0" w:space="0" w:color="auto"/>
      </w:divBdr>
    </w:div>
    <w:div w:id="1921526581">
      <w:bodyDiv w:val="1"/>
      <w:marLeft w:val="0"/>
      <w:marRight w:val="0"/>
      <w:marTop w:val="0"/>
      <w:marBottom w:val="0"/>
      <w:divBdr>
        <w:top w:val="none" w:sz="0" w:space="0" w:color="auto"/>
        <w:left w:val="none" w:sz="0" w:space="0" w:color="auto"/>
        <w:bottom w:val="none" w:sz="0" w:space="0" w:color="auto"/>
        <w:right w:val="none" w:sz="0" w:space="0" w:color="auto"/>
      </w:divBdr>
    </w:div>
    <w:div w:id="19908621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csonet.org/content/documents/E2011INF4.pdf" TargetMode="Externa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www.icann.org/en/groups/board/documents/resolutions-annex-a-30apr14-en.pdf" TargetMode="External"/><Relationship Id="rId21" Type="http://schemas.openxmlformats.org/officeDocument/2006/relationships/hyperlink" Target="http://www.icann.org/en/groups/board/documents/resolutions-annex-b-30apr14-en.pdf" TargetMode="External"/><Relationship Id="rId22" Type="http://schemas.openxmlformats.org/officeDocument/2006/relationships/hyperlink" Target="https://gacweb.icann.org/download/attachments/28278847/20110512-GAC%20Statement%20on%20IOC%20and%20Red%20Cross%20Movement.pdf?version=1&amp;modificationDate=1345670411000&amp;api=v2" TargetMode="External"/><Relationship Id="rId23" Type="http://schemas.openxmlformats.org/officeDocument/2006/relationships/hyperlink" Target="https://www.icann.org/resources/board-material/resolutions-2011-06-20-en" TargetMode="External"/><Relationship Id="rId24" Type="http://schemas.openxmlformats.org/officeDocument/2006/relationships/hyperlink" Target="http://gnso.icann.org/en/correspondence/dryden-to-van-gelder-red-cross-14sep11-en.pdf" TargetMode="External"/><Relationship Id="rId25" Type="http://schemas.openxmlformats.org/officeDocument/2006/relationships/hyperlink" Target="http://www.icann.org/en/news/correspondence/igo-counsels-to-beckstrom-et-al-13dec11-en.pdf" TargetMode="External"/><Relationship Id="rId26" Type="http://schemas.openxmlformats.org/officeDocument/2006/relationships/hyperlink" Target="http://www.gtldregistries.org/sites/gtldregistries.org/files/IGO_common_position_paper_04_05_2012.pdf" TargetMode="External"/><Relationship Id="rId27" Type="http://schemas.openxmlformats.org/officeDocument/2006/relationships/hyperlink" Target="https://www.icann.org/resources/board-material/resolutions-new-gtld-2012-09-13-en" TargetMode="External"/><Relationship Id="rId28" Type="http://schemas.openxmlformats.org/officeDocument/2006/relationships/hyperlink" Target="https://gacweb.icann.org/download/attachments/28278842/FINAL_Toronto_Communique_20121017.pdf?version=1&amp;modificationDate=1351109294000&amp;api=v2" TargetMode="External"/><Relationship Id="rId29" Type="http://schemas.openxmlformats.org/officeDocument/2006/relationships/hyperlink" Target="http://www.icann.org/en/groups/board/documents/resolutions-new-gtld-26nov12-en.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icann.org/en/news/correspondence/dryden-to-crocker-chalaby-22mar13-en.pdf" TargetMode="External"/><Relationship Id="rId31" Type="http://schemas.openxmlformats.org/officeDocument/2006/relationships/hyperlink" Target="http://www.icann.org/en/news/correspondence/dryden-to-crocker-%20chalaby-annex2-22mar13-en.pdf" TargetMode="External"/><Relationship Id="rId32" Type="http://schemas.openxmlformats.org/officeDocument/2006/relationships/hyperlink" Target="https://gacweb.icann.org/download/attachments/27132037/Beijing%20Communique%20april2013_Final.pdf?version=1&amp;modificationDate=1365666376000&amp;api=v2" TargetMode="External"/><Relationship Id="rId9" Type="http://schemas.openxmlformats.org/officeDocument/2006/relationships/hyperlink" Target="http://gnso.icann.org/en/issues/igo-ingo-charter-15nov12-en.pdf"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council/resolutions" TargetMode="External"/><Relationship Id="rId33" Type="http://schemas.openxmlformats.org/officeDocument/2006/relationships/hyperlink" Target="https://www.icann.org/resources/board-material/resolutions-new-gtld-2013-07-02-en" TargetMode="External"/><Relationship Id="rId34" Type="http://schemas.openxmlformats.org/officeDocument/2006/relationships/hyperlink" Target="http://gnso.icann.org/en/issues/igo-ingo-final-10nov13-en.pdf" TargetMode="External"/><Relationship Id="rId35" Type="http://schemas.openxmlformats.org/officeDocument/2006/relationships/hyperlink" Target="http://gnso.icann.org/en/drafts/igo-ingo-crp-access-charter-24jun14-en.pdf" TargetMode="External"/><Relationship Id="rId36" Type="http://schemas.openxmlformats.org/officeDocument/2006/relationships/hyperlink" Target="https://www.icann.org/news/public-comment/report-comments-igo-ingo-crp-prelim-16may14-en.pdf" TargetMode="External"/><Relationship Id="rId10" Type="http://schemas.openxmlformats.org/officeDocument/2006/relationships/hyperlink" Target="http://gnso.icann.org/en/issues/igo-ingo-initial-14jun13-en.pdf" TargetMode="External"/><Relationship Id="rId11" Type="http://schemas.openxmlformats.org/officeDocument/2006/relationships/hyperlink" Target="http://gnso.icann.org/en/issues/igo-ingo-final-10nov13-en.pdf" TargetMode="External"/><Relationship Id="rId12" Type="http://schemas.openxmlformats.org/officeDocument/2006/relationships/hyperlink" Target="http://www.icann.org/en/news/public-comment/igo-ingo-final-20sep13-en.htm" TargetMode="External"/><Relationship Id="rId13" Type="http://schemas.openxmlformats.org/officeDocument/2006/relationships/hyperlink" Target="http://gnso.icann.org/en/issues/igo-ingo-final-minority-positions-10nov13-en.pdf" TargetMode="External"/><Relationship Id="rId14" Type="http://schemas.openxmlformats.org/officeDocument/2006/relationships/hyperlink" Target="http://gnso.icann.org/en/council/resolutions" TargetMode="External"/><Relationship Id="rId15" Type="http://schemas.openxmlformats.org/officeDocument/2006/relationships/hyperlink" Target="http://gnso.icann.org/en/issues/council-board-igo-ingo-23jan14-en.pdf" TargetMode="External"/><Relationship Id="rId16" Type="http://schemas.openxmlformats.org/officeDocument/2006/relationships/hyperlink" Target="http://gnso.icann.org/en/correspondence/chalaby-to-robinson-20mar14-en.pdf" TargetMode="External"/><Relationship Id="rId17" Type="http://schemas.openxmlformats.org/officeDocument/2006/relationships/hyperlink" Target="https://www.icann.org/resources/board-material/resolutions-2014-04-30-en" TargetMode="External"/><Relationship Id="rId18" Type="http://schemas.openxmlformats.org/officeDocument/2006/relationships/hyperlink" Target="http://gnso.icann.org/en/correspondence/chalaby-to-robinson-16jun14-en.pdf" TargetMode="External"/><Relationship Id="rId19" Type="http://schemas.openxmlformats.org/officeDocument/2006/relationships/hyperlink" Target="http://london50.icann.org/en/schedule/wed-gnso-council" TargetMode="External"/><Relationship Id="rId37" Type="http://schemas.openxmlformats.org/officeDocument/2006/relationships/hyperlink" Target="http://gnso.icann.org/council/annex-1-gnso-wg-guidelines-26mar14-en.pdf" TargetMode="External"/><Relationship Id="rId38" Type="http://schemas.openxmlformats.org/officeDocument/2006/relationships/hyperlink" Target="http://gnso.icann.org/en/issues/igo-ingo-final-10nov13-en.pdf" TargetMode="External"/><Relationship Id="rId39" Type="http://schemas.openxmlformats.org/officeDocument/2006/relationships/hyperlink" Target="http://gnso.icann.org/en/issues/igo-ingo-crp-prelim-10mar14-en.pdf" TargetMode="External"/><Relationship Id="rId40" Type="http://schemas.openxmlformats.org/officeDocument/2006/relationships/hyperlink" Target="https://www.icann.org/news/public-comment/report-comments-igo-ingo-crp-prelim-16may14-en.pdf" TargetMode="External"/><Relationship Id="rId41" Type="http://schemas.openxmlformats.org/officeDocument/2006/relationships/hyperlink" Target="http://gnso.icann.org/en/drafts/igo-ingo-crp-final-25may14-en.pdf" TargetMode="External"/><Relationship Id="rId42" Type="http://schemas.openxmlformats.org/officeDocument/2006/relationships/hyperlink" Target="http://gnso.icann.org/en/drafts/igo-ingo-crp-access-charter-24jun14-en.pdf" TargetMode="Externa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hyperlink" Target="http://gnso.icann.org/en/issues/igo-ingo-final-10nov13-e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cann.org/sites/default/files/packages/reserved-names/ReservedNames.xml" TargetMode="External"/><Relationship Id="rId4" Type="http://schemas.openxmlformats.org/officeDocument/2006/relationships/hyperlink" Target="http://www.icann.org/en/news/correspondence/dryden-to-crocker-chalaby-annex2-22mar13-en.pdf" TargetMode="External"/><Relationship Id="rId1" Type="http://schemas.openxmlformats.org/officeDocument/2006/relationships/hyperlink" Target="http://gnso.icann.org/en/issues/proposed-policy-recommendations-modifications-09jul14-en.pdf" TargetMode="External"/><Relationship Id="rId2" Type="http://schemas.openxmlformats.org/officeDocument/2006/relationships/hyperlink" Target="http://www.icann.org/sites/default/files/packages/reserved-names/ReservedNames.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2953</Words>
  <Characters>16833</Characters>
  <Application>Microsoft Macintosh Word</Application>
  <DocSecurity>4</DocSecurity>
  <Lines>140</Lines>
  <Paragraphs>39</Paragraphs>
  <ScaleCrop>false</ScaleCrop>
  <Company>ICANN</Company>
  <LinksUpToDate>false</LinksUpToDate>
  <CharactersWithSpaces>19747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2014-09-03T00:31:00Z</dcterms:created>
  <dcterms:modified xsi:type="dcterms:W3CDTF">2014-09-03T00:31:00Z</dcterms:modified>
</cp:coreProperties>
</file>