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5F51A2" w14:textId="4A547FB8" w:rsidR="001B6C38" w:rsidRDefault="00442AE9">
      <w:r>
        <w:rPr>
          <w:b/>
        </w:rPr>
        <w:t xml:space="preserve">DRAFT SECTION 6 OF THE WORKING GROUP INITIAL REPORT – </w:t>
      </w:r>
      <w:del w:id="0" w:author="Mary Wong" w:date="2016-09-28T13:44:00Z">
        <w:r w:rsidDel="004E6777">
          <w:rPr>
            <w:b/>
          </w:rPr>
          <w:delText xml:space="preserve">5 </w:delText>
        </w:r>
      </w:del>
      <w:ins w:id="1" w:author="Mary Wong" w:date="2016-09-28T13:44:00Z">
        <w:r w:rsidR="004E6777">
          <w:rPr>
            <w:b/>
          </w:rPr>
          <w:t xml:space="preserve">28 </w:t>
        </w:r>
      </w:ins>
      <w:r>
        <w:rPr>
          <w:b/>
        </w:rPr>
        <w:t>SEPTEMBER 2016</w:t>
      </w:r>
    </w:p>
    <w:p w14:paraId="32CB6CE0" w14:textId="77777777" w:rsidR="001B6C38" w:rsidRDefault="00442AE9">
      <w:r>
        <w:t xml:space="preserve"> </w:t>
      </w:r>
    </w:p>
    <w:p w14:paraId="411C899E" w14:textId="77777777" w:rsidR="001B6C38" w:rsidRDefault="00442AE9">
      <w:r>
        <w:t>The following preliminary recommendations are being published by the Working Group for public comments. All input received will be reviewed by the Working Group, and if appropriate, incorporated into the Working Group’s Final Report. This review process may result in amendments or updates to the preliminary recommendations contained in this Initial Report.</w:t>
      </w:r>
    </w:p>
    <w:p w14:paraId="7ED84DBC" w14:textId="77777777" w:rsidR="001B6C38" w:rsidRDefault="00442AE9">
      <w:r>
        <w:t xml:space="preserve"> </w:t>
      </w:r>
    </w:p>
    <w:p w14:paraId="4B2B0F3F" w14:textId="09047D81" w:rsidR="001B6C38" w:rsidRDefault="00442AE9">
      <w:r>
        <w:t>[Several open questions on which the Working Group has yet to reach preliminary agreement or for which the Working Group would like to seek community input prior to finalizing its recommendations on those topics are also listed in this Section.]</w:t>
      </w:r>
      <w:r>
        <w:rPr>
          <w:sz w:val="18"/>
          <w:szCs w:val="18"/>
        </w:rPr>
        <w:t xml:space="preserve">[MW1] </w:t>
      </w:r>
    </w:p>
    <w:p w14:paraId="4DF4B7BB" w14:textId="77777777" w:rsidR="001B6C38" w:rsidRDefault="00442AE9">
      <w:r>
        <w:t xml:space="preserve"> </w:t>
      </w:r>
    </w:p>
    <w:p w14:paraId="40396497" w14:textId="77777777" w:rsidR="001B6C38" w:rsidRDefault="00442AE9">
      <w:r>
        <w:rPr>
          <w:b/>
        </w:rPr>
        <w:t>General</w:t>
      </w:r>
    </w:p>
    <w:p w14:paraId="74D4BEA8" w14:textId="77777777" w:rsidR="001B6C38" w:rsidRDefault="00442AE9">
      <w:r>
        <w:t xml:space="preserve"> </w:t>
      </w:r>
    </w:p>
    <w:p w14:paraId="20A33004" w14:textId="77777777" w:rsidR="001B6C38" w:rsidRDefault="00442AE9">
      <w:r>
        <w:t>The Charter for the Working Group tasked the Working Group to examine the questions: “whether to amend the UDRP and URS to allow access to and use o</w:t>
      </w:r>
      <w:commentRangeStart w:id="2"/>
      <w:r>
        <w:t>f these mechanism</w:t>
      </w:r>
      <w:commentRangeEnd w:id="2"/>
      <w:r>
        <w:commentReference w:id="2"/>
      </w:r>
      <w:r>
        <w:t xml:space="preserve">s by IGOs and INGOs and, if so in what respects or whether a separate, narrowly-tailored dispute resolution procedure at the second level modeled on the UDRP and URS that takes into account the particular needs and specific circumstances of IGOs and INGOs should be developed.” </w:t>
      </w:r>
    </w:p>
    <w:p w14:paraId="2F75BC08" w14:textId="77777777" w:rsidR="001B6C38" w:rsidRDefault="001B6C38"/>
    <w:p w14:paraId="7B20B9E7" w14:textId="77777777" w:rsidR="004E6777" w:rsidRPr="004E6777" w:rsidRDefault="00442AE9" w:rsidP="004E6777">
      <w:pPr>
        <w:rPr>
          <w:ins w:id="3" w:author="Mary Wong" w:date="2016-09-28T13:44:00Z"/>
        </w:rPr>
      </w:pPr>
      <w:r>
        <w:t>The Working Group’s preliminary answers to these questions are no. Reasons for these conclusions, and specific Working Group recommendations pertaining to specific questions arising within the scope of its Charter, are described below.</w:t>
      </w:r>
      <w:ins w:id="4" w:author="Mary Wong" w:date="2016-09-28T13:44:00Z">
        <w:r w:rsidR="004E6777">
          <w:t xml:space="preserve"> </w:t>
        </w:r>
        <w:r w:rsidR="004E6777" w:rsidRPr="004E6777">
          <w:t>Ultimately, the Working Group concluded that, given: (1) the limited instances of a scenario where an IGO would assert immunity against a losing respondent in a national court, having already filed and won a UDRP or URS complaint; (2) the need to preserve a registrant’s right to appeal to a court of competent jurisdiction; and (3) the lack of a single, universally applicable rule in relation to IGO jurisdictional immunity, the most prudent and advisable approach would be to not recommend any changes to the UDRP or URS at this time.</w:t>
        </w:r>
      </w:ins>
    </w:p>
    <w:p w14:paraId="52BB49AF" w14:textId="26B4A4BD" w:rsidR="001B6C38" w:rsidRDefault="001B6C38"/>
    <w:p w14:paraId="7606A30D" w14:textId="77777777" w:rsidR="001B6C38" w:rsidRDefault="00442AE9">
      <w:r>
        <w:t xml:space="preserve"> </w:t>
      </w:r>
    </w:p>
    <w:p w14:paraId="77AA19D0" w14:textId="77777777" w:rsidR="001B6C38" w:rsidRDefault="00442AE9">
      <w:r>
        <w:rPr>
          <w:b/>
        </w:rPr>
        <w:t>Recommendation #1: The Working Group recommends that no changes to the UDRP and URS be made, and no specific new process be created, for INGOs (including the Red Cross movement and the International Olympic Committee). To the extent that the Policy Guidance document referred to elsewhere in this set of recommendations is compiled, the Working Group recommends that this clarification as regards INGOs be included in that document.</w:t>
      </w:r>
    </w:p>
    <w:p w14:paraId="53AD3693" w14:textId="77777777" w:rsidR="001B6C38" w:rsidRDefault="00442AE9">
      <w:r>
        <w:t xml:space="preserve"> </w:t>
      </w:r>
    </w:p>
    <w:p w14:paraId="3713828A" w14:textId="77777777" w:rsidR="001B6C38" w:rsidRDefault="00442AE9">
      <w:r>
        <w:t>One of the first topics discussed by the Working Group was whether or not the specific needs and concerns of IGOs and of INGOs wer</w:t>
      </w:r>
      <w:commentRangeStart w:id="5"/>
      <w:r>
        <w:t xml:space="preserve">e </w:t>
      </w:r>
      <w:ins w:id="6" w:author="Steve Chan" w:date="2016-09-20T12:03:00Z">
        <w:r w:rsidR="00446C26">
          <w:t xml:space="preserve">of a </w:t>
        </w:r>
      </w:ins>
      <w:r>
        <w:t>simil</w:t>
      </w:r>
      <w:commentRangeEnd w:id="5"/>
      <w:r>
        <w:commentReference w:id="5"/>
      </w:r>
      <w:r>
        <w:t>ar</w:t>
      </w:r>
      <w:ins w:id="7" w:author="Steve Chan" w:date="2016-09-20T12:03:00Z">
        <w:r w:rsidR="00446C26">
          <w:t xml:space="preserve"> nature</w:t>
        </w:r>
      </w:ins>
      <w:r>
        <w:t>, and i</w:t>
      </w:r>
      <w:commentRangeStart w:id="8"/>
      <w:r>
        <w:t>n either cas</w:t>
      </w:r>
      <w:commentRangeEnd w:id="8"/>
      <w:r>
        <w:commentReference w:id="8"/>
      </w:r>
      <w:r>
        <w:t>e whether such needs and concerns warranted policy changes to the UDRP and URS. The Working Group’s initial conclusion is that the specific needs and concerns of INGOs are adequately addressed by the current dispute resolution processes</w:t>
      </w:r>
      <w:bookmarkStart w:id="9" w:name="_GoBack"/>
      <w:bookmarkEnd w:id="9"/>
      <w:del w:id="10" w:author="Steve Chan" w:date="2016-09-20T12:03:00Z">
        <w:r w:rsidDel="00446C26">
          <w:delText>,</w:delText>
        </w:r>
      </w:del>
      <w:r>
        <w:t xml:space="preserve"> </w:t>
      </w:r>
      <w:ins w:id="11" w:author="Steve Chan" w:date="2016-09-20T12:04:00Z">
        <w:r w:rsidR="00446C26">
          <w:t xml:space="preserve">(e.g., UDRP and URS) </w:t>
        </w:r>
      </w:ins>
      <w:r>
        <w:t>an</w:t>
      </w:r>
      <w:commentRangeStart w:id="12"/>
      <w:r>
        <w:t xml:space="preserve">d </w:t>
      </w:r>
      <w:del w:id="13" w:author="Steve Chan" w:date="2016-09-20T12:04:00Z">
        <w:r w:rsidDel="00446C26">
          <w:delText>thu</w:delText>
        </w:r>
        <w:commentRangeEnd w:id="12"/>
        <w:r w:rsidDel="00446C26">
          <w:commentReference w:id="12"/>
        </w:r>
        <w:r w:rsidDel="00446C26">
          <w:delText xml:space="preserve">s </w:delText>
        </w:r>
      </w:del>
      <w:ins w:id="14" w:author="Steve Chan" w:date="2016-09-20T12:04:00Z">
        <w:r w:rsidR="00446C26">
          <w:t xml:space="preserve">that </w:t>
        </w:r>
      </w:ins>
      <w:r>
        <w:t xml:space="preserve">there was no principled </w:t>
      </w:r>
      <w:r>
        <w:lastRenderedPageBreak/>
        <w:t>reason to recommend any modifications to</w:t>
      </w:r>
      <w:commentRangeStart w:id="15"/>
      <w:r>
        <w:t xml:space="preserve"> these processe</w:t>
      </w:r>
      <w:commentRangeEnd w:id="15"/>
      <w:r>
        <w:commentReference w:id="15"/>
      </w:r>
      <w:r>
        <w:t>s or the creation of a new curative rights process for INGOs.</w:t>
      </w:r>
    </w:p>
    <w:p w14:paraId="0283B982" w14:textId="77777777" w:rsidR="001B6C38" w:rsidRDefault="00442AE9">
      <w:r>
        <w:t xml:space="preserve"> </w:t>
      </w:r>
    </w:p>
    <w:p w14:paraId="12706DBF" w14:textId="17F1F00B" w:rsidR="001B6C38" w:rsidRDefault="00442AE9">
      <w:r>
        <w:t>The following is the Working Group’s rationale for its conclusion that the UDRP and URS do not need amending in order to address the needs and concerns of INGOs, and that a new curative rights process applicable to INGOs is not necessary</w:t>
      </w:r>
      <w:ins w:id="16" w:author="Steve Chan" w:date="2016-09-20T16:21:00Z">
        <w:r w:rsidR="00C65062">
          <w:rPr>
            <w:rStyle w:val="FootnoteReference"/>
          </w:rPr>
          <w:footnoteReference w:id="1"/>
        </w:r>
      </w:ins>
      <w:del w:id="19" w:author="Steve Chan" w:date="2016-09-20T16:21:00Z">
        <w:r w:rsidDel="00C65062">
          <w:rPr>
            <w:rFonts w:ascii="Calibri" w:eastAsia="Calibri" w:hAnsi="Calibri" w:cs="Calibri"/>
            <w:sz w:val="24"/>
            <w:szCs w:val="24"/>
          </w:rPr>
          <w:delText>[1]</w:delText>
        </w:r>
      </w:del>
      <w:r>
        <w:t>:</w:t>
      </w:r>
    </w:p>
    <w:p w14:paraId="7E2EF0BB" w14:textId="77777777" w:rsidR="001B6C38" w:rsidRDefault="00442AE9">
      <w:r>
        <w:t xml:space="preserve"> </w:t>
      </w:r>
    </w:p>
    <w:p w14:paraId="69D63D8D" w14:textId="4B0B6002" w:rsidR="001B6C38" w:rsidRDefault="00442AE9">
      <w:pPr>
        <w:pStyle w:val="ListParagraph"/>
        <w:numPr>
          <w:ilvl w:val="0"/>
          <w:numId w:val="1"/>
        </w:numPr>
        <w:pPrChange w:id="20" w:author="Steve Chan" w:date="2016-09-20T15:15:00Z">
          <w:pPr>
            <w:ind w:left="1180"/>
          </w:pPr>
        </w:pPrChange>
      </w:pPr>
      <w:commentRangeStart w:id="21"/>
      <w:commentRangeStart w:id="22"/>
      <w:del w:id="23" w:author="Steve Chan" w:date="2016-09-20T15:16:00Z">
        <w:r w:rsidDel="00825BFE">
          <w:delText>·</w:delText>
        </w:r>
        <w:r w:rsidRPr="00825BFE" w:rsidDel="00825BFE">
          <w:rPr>
            <w:rFonts w:ascii="Times New Roman" w:eastAsia="Times New Roman" w:hAnsi="Times New Roman" w:cs="Times New Roman"/>
            <w:sz w:val="14"/>
            <w:szCs w:val="14"/>
          </w:rPr>
          <w:delText xml:space="preserve">     </w:delText>
        </w:r>
        <w:commentRangeEnd w:id="21"/>
        <w:r w:rsidDel="00825BFE">
          <w:commentReference w:id="21"/>
        </w:r>
        <w:commentRangeEnd w:id="22"/>
        <w:r w:rsidR="00321B96" w:rsidDel="00825BFE">
          <w:rPr>
            <w:rStyle w:val="CommentReference"/>
          </w:rPr>
          <w:commentReference w:id="22"/>
        </w:r>
        <w:r w:rsidRPr="00825BFE" w:rsidDel="00825BFE">
          <w:rPr>
            <w:rFonts w:ascii="Times New Roman" w:eastAsia="Times New Roman" w:hAnsi="Times New Roman" w:cs="Times New Roman"/>
            <w:sz w:val="14"/>
            <w:szCs w:val="14"/>
          </w:rPr>
          <w:delText xml:space="preserve">       </w:delText>
        </w:r>
      </w:del>
      <w:r>
        <w:t>Many INGOs alread</w:t>
      </w:r>
      <w:commentRangeStart w:id="24"/>
      <w:r>
        <w:t>y have, and do enforce their trademark rights</w:t>
      </w:r>
      <w:del w:id="25" w:author="Steve Chan" w:date="2016-09-20T15:11:00Z">
        <w:r w:rsidDel="003E0260">
          <w:delText>, and</w:delText>
        </w:r>
      </w:del>
      <w:r>
        <w:t xml:space="preserve"> </w:t>
      </w:r>
      <w:ins w:id="26" w:author="Steve Chan" w:date="2016-09-20T15:11:00Z">
        <w:r w:rsidR="003E0260">
          <w:t>T</w:t>
        </w:r>
      </w:ins>
      <w:del w:id="27" w:author="Steve Chan" w:date="2016-09-20T15:11:00Z">
        <w:r w:rsidDel="003E0260">
          <w:delText>t</w:delText>
        </w:r>
      </w:del>
      <w:r>
        <w:t>here is no perceivable</w:t>
      </w:r>
      <w:commentRangeEnd w:id="24"/>
      <w:r>
        <w:commentReference w:id="24"/>
      </w:r>
      <w:r>
        <w:t xml:space="preserve"> barrier to other INGOs obtaining trademark rights in their names and/or acronyms and subsequently utilizing those rights as the basis for standing in the existing dispute resolution procedures (DRPs) created and offered by ICANN as a faster and lower cost alternative to litigation.</w:t>
      </w:r>
    </w:p>
    <w:p w14:paraId="5B0441BB" w14:textId="5776BD92" w:rsidR="001B6C38" w:rsidRDefault="00442AE9">
      <w:pPr>
        <w:pStyle w:val="ListParagraph"/>
        <w:numPr>
          <w:ilvl w:val="0"/>
          <w:numId w:val="1"/>
        </w:numPr>
        <w:pPrChange w:id="28" w:author="Steve Chan" w:date="2016-09-20T15:15:00Z">
          <w:pPr>
            <w:ind w:left="1180"/>
          </w:pPr>
        </w:pPrChange>
      </w:pPr>
      <w:del w:id="29" w:author="Steve Chan" w:date="2016-09-20T15:16:00Z">
        <w:r w:rsidDel="00825BFE">
          <w:delText>·</w:delText>
        </w:r>
        <w:r w:rsidRPr="00825BFE" w:rsidDel="00825BFE">
          <w:rPr>
            <w:rFonts w:ascii="Times New Roman" w:eastAsia="Times New Roman" w:hAnsi="Times New Roman" w:cs="Times New Roman"/>
            <w:sz w:val="14"/>
            <w:szCs w:val="14"/>
          </w:rPr>
          <w:delText xml:space="preserve">          </w:delText>
        </w:r>
        <w:commentRangeStart w:id="30"/>
        <w:commentRangeStart w:id="31"/>
        <w:r w:rsidRPr="00825BFE" w:rsidDel="00825BFE">
          <w:rPr>
            <w:rFonts w:ascii="Times New Roman" w:eastAsia="Times New Roman" w:hAnsi="Times New Roman" w:cs="Times New Roman"/>
            <w:sz w:val="14"/>
            <w:szCs w:val="14"/>
          </w:rPr>
          <w:delText xml:space="preserve">   </w:delText>
        </w:r>
      </w:del>
      <w:r>
        <w:t>Unlike IGOs, who may claim jurisdictional immunity in certain circumstances, INGOs are not hindered from submittin</w:t>
      </w:r>
      <w:commentRangeEnd w:id="30"/>
      <w:r>
        <w:commentReference w:id="30"/>
      </w:r>
      <w:commentRangeEnd w:id="31"/>
      <w:r w:rsidR="00E21A00">
        <w:rPr>
          <w:rStyle w:val="CommentReference"/>
        </w:rPr>
        <w:commentReference w:id="31"/>
      </w:r>
      <w:r>
        <w:t>g to the jurisdiction of national courts under the Mutual Jurisdiction clause within the existing DRP</w:t>
      </w:r>
      <w:commentRangeStart w:id="32"/>
      <w:r>
        <w:t>s. The Working Group’s research revealed that some INGOs regularly use the UDRP to protect their rights.</w:t>
      </w:r>
      <w:commentRangeEnd w:id="32"/>
      <w:r>
        <w:commentReference w:id="32"/>
      </w:r>
    </w:p>
    <w:p w14:paraId="4D5A9845" w14:textId="40CB2DF7" w:rsidR="001B6C38" w:rsidRDefault="00442AE9">
      <w:pPr>
        <w:pStyle w:val="ListParagraph"/>
        <w:numPr>
          <w:ilvl w:val="0"/>
          <w:numId w:val="1"/>
        </w:numPr>
        <w:pPrChange w:id="33" w:author="Steve Chan" w:date="2016-09-20T15:15:00Z">
          <w:pPr>
            <w:ind w:left="1180"/>
          </w:pPr>
        </w:pPrChange>
      </w:pPr>
      <w:del w:id="34" w:author="Steve Chan" w:date="2016-09-20T15:16:00Z">
        <w:r w:rsidDel="00825BFE">
          <w:delText>·</w:delText>
        </w:r>
        <w:r w:rsidRPr="00825BFE" w:rsidDel="00825BFE">
          <w:rPr>
            <w:rFonts w:ascii="Times New Roman" w:eastAsia="Times New Roman" w:hAnsi="Times New Roman" w:cs="Times New Roman"/>
            <w:sz w:val="14"/>
            <w:szCs w:val="14"/>
          </w:rPr>
          <w:delText xml:space="preserve">          </w:delText>
        </w:r>
        <w:commentRangeStart w:id="35"/>
        <w:r w:rsidRPr="00825BFE" w:rsidDel="00825BFE">
          <w:rPr>
            <w:rFonts w:ascii="Times New Roman" w:eastAsia="Times New Roman" w:hAnsi="Times New Roman" w:cs="Times New Roman"/>
            <w:sz w:val="14"/>
            <w:szCs w:val="14"/>
          </w:rPr>
          <w:delText xml:space="preserve">   </w:delText>
        </w:r>
      </w:del>
      <w:r>
        <w:t>Although some INGOs may be concerned about the cost of using the UDRP and the URS, because enforcement through these RPMs involves some expenditure of funds, this is not a problem for all INGOs nor is it unique to INGOs as rights holders; furthermore, the issue of ICANN subsidizing INGOs to utilize DRPs is outside the scope of the Working Group Charte</w:t>
      </w:r>
      <w:commentRangeEnd w:id="35"/>
      <w:r>
        <w:commentReference w:id="35"/>
      </w:r>
      <w:r>
        <w:t>r.</w:t>
      </w:r>
    </w:p>
    <w:p w14:paraId="27907A24" w14:textId="72FB7D23" w:rsidR="001B6C38" w:rsidRDefault="00442AE9">
      <w:pPr>
        <w:pStyle w:val="ListParagraph"/>
        <w:numPr>
          <w:ilvl w:val="0"/>
          <w:numId w:val="1"/>
        </w:numPr>
        <w:pPrChange w:id="36" w:author="Steve Chan" w:date="2016-09-20T15:15:00Z">
          <w:pPr>
            <w:ind w:left="1180"/>
          </w:pPr>
        </w:pPrChange>
      </w:pPr>
      <w:del w:id="37" w:author="Steve Chan" w:date="2016-09-20T15:16:00Z">
        <w:r w:rsidDel="00825BFE">
          <w:delText>·</w:delText>
        </w:r>
        <w:r w:rsidRPr="00825BFE" w:rsidDel="00825BFE">
          <w:rPr>
            <w:rFonts w:ascii="Times New Roman" w:eastAsia="Times New Roman" w:hAnsi="Times New Roman" w:cs="Times New Roman"/>
            <w:sz w:val="14"/>
            <w:szCs w:val="14"/>
          </w:rPr>
          <w:delText xml:space="preserve">             </w:delText>
        </w:r>
      </w:del>
      <w:r>
        <w:t xml:space="preserve">The Working Group found that the United Nations Economic and Social Council (ECOSOC) list of non-governmental organizations in consultative status </w:t>
      </w:r>
      <w:commentRangeStart w:id="38"/>
      <w:del w:id="39" w:author="Steve Chan" w:date="2016-09-20T15:14:00Z">
        <w:r w:rsidDel="001239F8">
          <w:delText xml:space="preserve">with it </w:delText>
        </w:r>
        <w:commentRangeEnd w:id="38"/>
        <w:r w:rsidDel="001239F8">
          <w:commentReference w:id="38"/>
        </w:r>
      </w:del>
      <w:r>
        <w:t xml:space="preserve">consists of nearly 4,000 organizations, of which 147 organizations were in general consultative status, 2,774 in special consultative status, and 979 on the Roster. </w:t>
      </w:r>
      <w:commentRangeStart w:id="40"/>
      <w:r>
        <w:t>The Working Group note</w:t>
      </w:r>
      <w:commentRangeEnd w:id="40"/>
      <w:r>
        <w:commentReference w:id="40"/>
      </w:r>
      <w:r>
        <w:t>s that there might be many more organizations not presently on the ECOSOC list who might claim the right to utilize any new curative rights process created for INGOs. The WG felt that the sheer scale of INGOs, in combination with the factors cited above, weighed against the creation of a special DRP for INGOs.</w:t>
      </w:r>
    </w:p>
    <w:p w14:paraId="6CAA8035" w14:textId="77777777" w:rsidR="001B6C38" w:rsidRDefault="00442AE9">
      <w:r>
        <w:t xml:space="preserve"> </w:t>
      </w:r>
    </w:p>
    <w:p w14:paraId="640555E1" w14:textId="77777777" w:rsidR="001B6C38" w:rsidRDefault="00442AE9">
      <w:r>
        <w:t>In relation to the RC and IOC, the Working Group noted that although these INGOs had been specifically highlighted by the GAC and the Charter provision cited above as enjoying international legal treaty protections and rights under multiple national laws, for the purposes of this PDP these organizations have demonstrated that: (1) they have access to the UDRP and the URS; and (2) they possess trademark rights th</w:t>
      </w:r>
      <w:commentRangeStart w:id="41"/>
      <w:r>
        <w:t>at they defend and enfor</w:t>
      </w:r>
      <w:commentRangeEnd w:id="41"/>
      <w:r>
        <w:commentReference w:id="41"/>
      </w:r>
      <w:r>
        <w:t>ce. As such, for the limited purpose of considering acces</w:t>
      </w:r>
      <w:commentRangeStart w:id="42"/>
      <w:r>
        <w:t>s o</w:t>
      </w:r>
      <w:commentRangeEnd w:id="42"/>
      <w:r>
        <w:commentReference w:id="42"/>
      </w:r>
      <w:r>
        <w:t>f INGOs t</w:t>
      </w:r>
      <w:commentRangeStart w:id="43"/>
      <w:r>
        <w:t>o curati</w:t>
      </w:r>
      <w:commentRangeEnd w:id="43"/>
      <w:r>
        <w:commentReference w:id="43"/>
      </w:r>
      <w:r>
        <w:t xml:space="preserve">ve rights protections, the WG determined there was no principled reason to distinguish them from other INGOs. The WG </w:t>
      </w:r>
      <w:r>
        <w:lastRenderedPageBreak/>
        <w:t>noted that legal representatives of the IOC participate actively in the WG and fully support this conclusion.</w:t>
      </w:r>
    </w:p>
    <w:p w14:paraId="3BBC96D8" w14:textId="77777777" w:rsidR="001B6C38" w:rsidRDefault="00442AE9">
      <w:r>
        <w:t xml:space="preserve"> </w:t>
      </w:r>
    </w:p>
    <w:p w14:paraId="4CF3AAD8" w14:textId="77777777" w:rsidR="001B6C38" w:rsidRDefault="00442AE9">
      <w:r>
        <w:t>The following two paragraphs are taken substantially from the Final Issue Report that outlined the scope of this PDP, and are provided herein as further background to this issue.</w:t>
      </w:r>
    </w:p>
    <w:p w14:paraId="3AEDFA29" w14:textId="77777777" w:rsidR="001B6C38" w:rsidRDefault="00442AE9">
      <w:r>
        <w:t xml:space="preserve"> </w:t>
      </w:r>
    </w:p>
    <w:p w14:paraId="56A2BAA1" w14:textId="4182999C" w:rsidR="001B6C38" w:rsidRDefault="00442AE9">
      <w:r>
        <w:t>1.</w:t>
      </w:r>
      <w:r>
        <w:rPr>
          <w:rFonts w:ascii="Times New Roman" w:eastAsia="Times New Roman" w:hAnsi="Times New Roman" w:cs="Times New Roman"/>
          <w:sz w:val="14"/>
          <w:szCs w:val="14"/>
        </w:rPr>
        <w:t xml:space="preserve">     </w:t>
      </w:r>
      <w:r>
        <w:t>As recognized in the Final Issue Report scoping out this PDP, the scope of the UDRP and URS as drafted currently applies only to second level domain name disputes where the complainant has legal rights in a trademark or service mark, and the complaint alleges that the respondent’s domain name is identical or confusingly similar to that trademark or service mark. The Final Issue Report had also noted that not all IGOs and INGOs will have trademarks in their names and acronyms, and that during the development of the Applicant Guidebook (AGB) for the New gTLD Program, while certain objection procedures and trademark rights-protection mechanisms had been created, the AGB did not contain any specific rules that pertained exclusively to either preventative (i.e. prevent the harm from occurring by excluding an identifier from registration or delegation) or curative (i.e. an organization that claims to have suffered harm is able to file a dispute to cure the defect or problem) rights protections for IGOs or INGOs related directly to their status as international organizations. Rather, the AGB prescribed that organizations that met the existing criteria for a .int registration could avail themselves of the legal rights objection process, and organizations that owned trademark and other intellectual property rights in their names and/or acronyms could participate in the new Trademark Clearinghouse and the associated sunrise and Trademark Claims notice processes</w:t>
      </w:r>
      <w:ins w:id="44" w:author="Steve Chan" w:date="2016-09-20T16:24:00Z">
        <w:r w:rsidR="0051745F">
          <w:rPr>
            <w:rStyle w:val="FootnoteReference"/>
          </w:rPr>
          <w:footnoteReference w:id="2"/>
        </w:r>
      </w:ins>
      <w:del w:id="66" w:author="Steve Chan" w:date="2016-09-20T16:24:00Z">
        <w:r w:rsidDel="0051745F">
          <w:rPr>
            <w:rFonts w:ascii="Calibri" w:eastAsia="Calibri" w:hAnsi="Calibri" w:cs="Calibri"/>
            <w:sz w:val="24"/>
            <w:szCs w:val="24"/>
          </w:rPr>
          <w:delText>[2]</w:delText>
        </w:r>
        <w:r w:rsidDel="0051745F">
          <w:delText>.</w:delText>
        </w:r>
      </w:del>
    </w:p>
    <w:p w14:paraId="3BDE941F" w14:textId="77777777" w:rsidR="001B6C38" w:rsidRDefault="00442AE9">
      <w:r>
        <w:t xml:space="preserve"> </w:t>
      </w:r>
    </w:p>
    <w:p w14:paraId="64E536BC" w14:textId="77777777" w:rsidR="001B6C38" w:rsidRDefault="00442AE9">
      <w:r>
        <w:t>2.</w:t>
      </w:r>
      <w:r>
        <w:rPr>
          <w:rFonts w:ascii="Times New Roman" w:eastAsia="Times New Roman" w:hAnsi="Times New Roman" w:cs="Times New Roman"/>
          <w:sz w:val="14"/>
          <w:szCs w:val="14"/>
        </w:rPr>
        <w:t xml:space="preserve">     </w:t>
      </w:r>
      <w:r>
        <w:t>The AGB also contained top-level protections for certain Red Cross (RC) and International Olympic Committee (IOC) identifiers, through which these RC and IOC identifiers would be reserved and thus withheld from delegation under the New gTLD Program. Both the RC and IOC are INGOs. Subsequently, interim second-level protections for certain RC and IOC and for a specific list of IGO names and acronyms provided by the GAC was granted in response to advice from the GAC.</w:t>
      </w:r>
    </w:p>
    <w:p w14:paraId="4871C375" w14:textId="77777777" w:rsidR="001B6C38" w:rsidRDefault="00442AE9">
      <w:r>
        <w:t xml:space="preserve"> </w:t>
      </w:r>
    </w:p>
    <w:p w14:paraId="4F642E54" w14:textId="77777777" w:rsidR="001B6C38" w:rsidRDefault="00442AE9">
      <w:r>
        <w:t>It is important to note that the second-level protections noted above were granted on an interim basis to allow new gTLDs to begin launching while policy development and consultations continued on the topic of what would be the appropriate second level protections for RC and IOC names and acronyms, and IGO acronyms. As of the date of publication of this Initial Report, the Working Group understands that consultations and discussions continue among the ICANN Board, the GAC, the RC, IGO representatives and the GNSO. The Working Group therefore acknowledges that certain of its initial recommendations may be revisited if concrete proposals emerge from these consultations that come within the scope of this PDP, and which require the Working Group to review its initial conclusions in advance of its completion of its Final Report.</w:t>
      </w:r>
      <w:r>
        <w:rPr>
          <w:sz w:val="18"/>
          <w:szCs w:val="18"/>
        </w:rPr>
        <w:t xml:space="preserve">[MW2] </w:t>
      </w:r>
    </w:p>
    <w:p w14:paraId="515229A7" w14:textId="77777777" w:rsidR="001B6C38" w:rsidRDefault="00442AE9">
      <w:r>
        <w:t xml:space="preserve"> </w:t>
      </w:r>
    </w:p>
    <w:p w14:paraId="5814BD0A" w14:textId="1379041E" w:rsidR="001B6C38" w:rsidRDefault="00442AE9">
      <w:r>
        <w:rPr>
          <w:b/>
        </w:rPr>
        <w:lastRenderedPageBreak/>
        <w:t xml:space="preserve">Recommendation #2: For IGOs, standing to file a complaint under the UDRP and URS can, in addition to trademark rights, </w:t>
      </w:r>
      <w:del w:id="67" w:author="Steve Chan" w:date="2016-09-21T17:04:00Z">
        <w:r w:rsidDel="00212C7B">
          <w:rPr>
            <w:b/>
          </w:rPr>
          <w:delText xml:space="preserve"> </w:delText>
        </w:r>
      </w:del>
      <w:r>
        <w:rPr>
          <w:b/>
        </w:rPr>
        <w:t>be demonstrated by IGOs who have complied with the requisite communication and notification procedure in accordance with Article 6</w:t>
      </w:r>
      <w:r>
        <w:rPr>
          <w:b/>
          <w:i/>
        </w:rPr>
        <w:t>ter</w:t>
      </w:r>
      <w:r>
        <w:rPr>
          <w:b/>
        </w:rPr>
        <w:t xml:space="preserve"> of the Paris Convention for the Protection of Industrial Property</w:t>
      </w:r>
      <w:ins w:id="68" w:author="Steve Chan" w:date="2016-09-21T17:04:00Z">
        <w:r w:rsidR="00394A90">
          <w:rPr>
            <w:rStyle w:val="FootnoteReference"/>
            <w:b/>
          </w:rPr>
          <w:footnoteReference w:id="3"/>
        </w:r>
      </w:ins>
      <w:r>
        <w:rPr>
          <w:sz w:val="18"/>
          <w:szCs w:val="18"/>
        </w:rPr>
        <w:t xml:space="preserve">[MW3] </w:t>
      </w:r>
      <w:r>
        <w:rPr>
          <w:b/>
        </w:rPr>
        <w:t>. For clarity, the Working Group recommends further that a Policy Guidance document pursuant to the UDRP and URS be prepared and issued to this effect for the benefit of panelists and registrants.</w:t>
      </w:r>
    </w:p>
    <w:p w14:paraId="2EA50C83" w14:textId="77777777" w:rsidR="001B6C38" w:rsidRDefault="00442AE9">
      <w:r>
        <w:t xml:space="preserve"> </w:t>
      </w:r>
    </w:p>
    <w:p w14:paraId="0CDDDC4D" w14:textId="7F126546" w:rsidR="001B6C38" w:rsidRDefault="00442AE9">
      <w:commentRangeStart w:id="72"/>
      <w:r>
        <w:t>Under the UDRP and URS, the first substantive element that a complainant must satisfy under both procedures is that the complainant has rights in a trademark or service ma</w:t>
      </w:r>
      <w:commentRangeEnd w:id="72"/>
      <w:r>
        <w:commentReference w:id="72"/>
      </w:r>
      <w:r>
        <w:t>rk. Most UDRP panelists have read this requirement as a requirement for standing to file a complaint</w:t>
      </w:r>
      <w:del w:id="73" w:author="Steve Chan" w:date="2016-09-20T16:25:00Z">
        <w:r w:rsidDel="0051745F">
          <w:rPr>
            <w:rFonts w:ascii="Calibri" w:eastAsia="Calibri" w:hAnsi="Calibri" w:cs="Calibri"/>
            <w:sz w:val="24"/>
            <w:szCs w:val="24"/>
          </w:rPr>
          <w:delText>[3</w:delText>
        </w:r>
      </w:del>
      <w:ins w:id="74" w:author="Steve Chan" w:date="2016-09-20T16:25:00Z">
        <w:r w:rsidR="0051745F">
          <w:rPr>
            <w:rStyle w:val="FootnoteReference"/>
            <w:rFonts w:ascii="Calibri" w:eastAsia="Calibri" w:hAnsi="Calibri" w:cs="Calibri"/>
            <w:sz w:val="24"/>
            <w:szCs w:val="24"/>
          </w:rPr>
          <w:footnoteReference w:id="4"/>
        </w:r>
      </w:ins>
      <w:del w:id="75" w:author="Steve Chan" w:date="2016-09-20T16:25:00Z">
        <w:r w:rsidDel="0051745F">
          <w:rPr>
            <w:rFonts w:ascii="Calibri" w:eastAsia="Calibri" w:hAnsi="Calibri" w:cs="Calibri"/>
            <w:sz w:val="24"/>
            <w:szCs w:val="24"/>
          </w:rPr>
          <w:delText>]</w:delText>
        </w:r>
      </w:del>
      <w:r>
        <w:t>, and it is generally accepted that th</w:t>
      </w:r>
      <w:commentRangeStart w:id="76"/>
      <w:r>
        <w:t xml:space="preserve">e </w:t>
      </w:r>
      <w:ins w:id="77" w:author="Steve Chan" w:date="2016-09-20T15:22:00Z">
        <w:r w:rsidR="00662295">
          <w:t>threshold may be satisfied by establishing either ownership or exclusive license rights in the trademark or service mark</w:t>
        </w:r>
      </w:ins>
      <w:del w:id="78" w:author="Steve Chan" w:date="2016-09-20T15:22:00Z">
        <w:r w:rsidDel="00662295">
          <w:delText>ownership by a complainant of a trademark is sufficient to satisfy the threshold requirement of having trademark rig</w:delText>
        </w:r>
        <w:commentRangeEnd w:id="76"/>
        <w:r w:rsidDel="00662295">
          <w:commentReference w:id="76"/>
        </w:r>
        <w:r w:rsidDel="00662295">
          <w:delText>hts</w:delText>
        </w:r>
      </w:del>
      <w:ins w:id="79" w:author="Steve Chan" w:date="2016-09-20T16:25:00Z">
        <w:r w:rsidR="0051745F">
          <w:rPr>
            <w:rStyle w:val="FootnoteReference"/>
          </w:rPr>
          <w:footnoteReference w:id="5"/>
        </w:r>
      </w:ins>
      <w:del w:id="80" w:author="Steve Chan" w:date="2016-09-20T16:25:00Z">
        <w:r w:rsidDel="0051745F">
          <w:rPr>
            <w:rFonts w:ascii="Calibri" w:eastAsia="Calibri" w:hAnsi="Calibri" w:cs="Calibri"/>
            <w:sz w:val="24"/>
            <w:szCs w:val="24"/>
          </w:rPr>
          <w:delText>[4]</w:delText>
        </w:r>
        <w:r w:rsidDel="0051745F">
          <w:delText xml:space="preserve">. </w:delText>
        </w:r>
      </w:del>
      <w:r>
        <w:t>The Working Group considered this requirement in the context of IGOs, with particular reference to the trademark protections offered to IGOs under Article 6</w:t>
      </w:r>
      <w:r>
        <w:rPr>
          <w:i/>
        </w:rPr>
        <w:t>ter</w:t>
      </w:r>
      <w:r>
        <w:t xml:space="preserve"> of the Paris Convention for the Protection of Intellectual Property. The Working Group came to a preliminary conclusion that, based on Article 6</w:t>
      </w:r>
      <w:r>
        <w:rPr>
          <w:i/>
        </w:rPr>
        <w:t>ter</w:t>
      </w:r>
      <w:r>
        <w:t>, IGOs who have complied with the communications procedure described in that treaty provision will have satisfied the standing requirement of the UDRP and URS.</w:t>
      </w:r>
    </w:p>
    <w:p w14:paraId="3659403A" w14:textId="77777777" w:rsidR="001B6C38" w:rsidRDefault="00442AE9">
      <w:r>
        <w:t xml:space="preserve"> </w:t>
      </w:r>
    </w:p>
    <w:p w14:paraId="1901CB23" w14:textId="205AB342" w:rsidR="001B6C38" w:rsidRDefault="00442AE9">
      <w:r>
        <w:t>The purpose of Article 6</w:t>
      </w:r>
      <w:r>
        <w:rPr>
          <w:i/>
        </w:rPr>
        <w:t>ter</w:t>
      </w:r>
      <w:r>
        <w:t xml:space="preserve"> is to protect armorial bearings, flags and other State emblems of the States party to the Paris Convention</w:t>
      </w:r>
      <w:ins w:id="81" w:author="Steve Chan" w:date="2016-09-20T16:26:00Z">
        <w:r w:rsidR="0051745F">
          <w:rPr>
            <w:rStyle w:val="FootnoteReference"/>
          </w:rPr>
          <w:footnoteReference w:id="6"/>
        </w:r>
        <w:r w:rsidR="0051745F">
          <w:t xml:space="preserve"> </w:t>
        </w:r>
      </w:ins>
      <w:del w:id="83" w:author="Steve Chan" w:date="2016-09-20T16:26:00Z">
        <w:r w:rsidDel="0051745F">
          <w:rPr>
            <w:rFonts w:ascii="Calibri" w:eastAsia="Calibri" w:hAnsi="Calibri" w:cs="Calibri"/>
            <w:sz w:val="24"/>
            <w:szCs w:val="24"/>
          </w:rPr>
          <w:delText>[5]</w:delText>
        </w:r>
        <w:r w:rsidDel="0051745F">
          <w:delText xml:space="preserve"> </w:delText>
        </w:r>
      </w:del>
      <w:r>
        <w:t xml:space="preserve">as well as official signs and hallmarks indicating control and warranty adopted by them.  This protection was extended to armorial bearings, flags, other emblems, </w:t>
      </w:r>
      <w:r w:rsidRPr="00EB5AAF">
        <w:rPr>
          <w:b/>
          <w:i/>
          <w:rPrChange w:id="84" w:author="Steve Chan" w:date="2016-09-20T15:25:00Z">
            <w:rPr/>
          </w:rPrChange>
        </w:rPr>
        <w:t>abbreviations and names</w:t>
      </w:r>
      <w:r>
        <w:t xml:space="preserve"> of international intergovernmental organizations by the Revision Conference of Lisbon in 1958.</w:t>
      </w:r>
    </w:p>
    <w:p w14:paraId="74DABDED" w14:textId="77777777" w:rsidR="001B6C38" w:rsidRDefault="00442AE9">
      <w:r>
        <w:t xml:space="preserve"> </w:t>
      </w:r>
    </w:p>
    <w:p w14:paraId="06B5207E" w14:textId="77777777" w:rsidR="001B6C38" w:rsidRDefault="00442AE9">
      <w:r>
        <w:t>Under paragraph 6(1)(a) of Article 6</w:t>
      </w:r>
      <w:r>
        <w:rPr>
          <w:i/>
        </w:rPr>
        <w:t>ter</w:t>
      </w:r>
      <w:r>
        <w:t xml:space="preserve">, the States that are party to the Paris Convention </w:t>
      </w:r>
      <w:r>
        <w:rPr>
          <w:i/>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t xml:space="preserve"> Under paragraph 6(1)(b), the protections described by paragraph (a) “shall apply equally to armorial bearings, flags, other emblems, abbreviations, and names,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p>
    <w:p w14:paraId="6DAC2AC2" w14:textId="77777777" w:rsidR="001B6C38" w:rsidRDefault="001B6C38"/>
    <w:p w14:paraId="00F13C08" w14:textId="77777777" w:rsidR="001B6C38" w:rsidRDefault="00442AE9">
      <w:commentRangeStart w:id="85"/>
      <w:r>
        <w:lastRenderedPageBreak/>
        <w:t xml:space="preserve">The Paris Convention has an established procedure for recognition of those items subject to the protection of Article </w:t>
      </w:r>
      <w:r>
        <w:rPr>
          <w:i/>
        </w:rPr>
        <w:t>6te</w:t>
      </w:r>
      <w:r>
        <w:t>r(1)(a).</w:t>
      </w:r>
      <w:commentRangeEnd w:id="85"/>
      <w:r>
        <w:commentReference w:id="85"/>
      </w:r>
    </w:p>
    <w:p w14:paraId="4198B395" w14:textId="77777777" w:rsidR="001B6C38" w:rsidRDefault="001B6C38"/>
    <w:p w14:paraId="1A2E2935" w14:textId="77777777" w:rsidR="001B6C38" w:rsidRDefault="00442AE9">
      <w:r>
        <w:t>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w:t>
      </w:r>
      <w:commentRangeStart w:id="86"/>
      <w:r>
        <w:t>.” As discussed further below (in ____), the Working Group believes that this limitation reflects the other substantive grounds of the UDRP and URS, which require that the respondent have no legitimate rights or interests in the domain that is identical or confusingly similar to the complainant’s mark, and has registered and used the domain name in bad faith.</w:t>
      </w:r>
      <w:commentRangeEnd w:id="86"/>
      <w:r>
        <w:commentReference w:id="86"/>
      </w:r>
    </w:p>
    <w:p w14:paraId="77EF9F88" w14:textId="77777777" w:rsidR="001B6C38" w:rsidRDefault="001B6C38"/>
    <w:p w14:paraId="3EC816F9" w14:textId="77777777" w:rsidR="001B6C38" w:rsidRDefault="00442AE9">
      <w:r>
        <w:t>Consequentially, the Working Group believes that, while Article 6ter does not necessarily in and of itself confer substantive legal rights in any particular jurisdiction – that being the province of each sovereign nation state – for the limited purpose of possessing the requisite standing to file a complaint under the UDRP and URS, this requirement would be satisfied if IGOs have complied with the communication procedure prescribed by Article 6</w:t>
      </w:r>
      <w:r>
        <w:rPr>
          <w:i/>
        </w:rPr>
        <w:t>ter</w:t>
      </w:r>
      <w:r>
        <w:t xml:space="preserve">. </w:t>
      </w:r>
      <w:r>
        <w:rPr>
          <w:b/>
          <w:i/>
        </w:rPr>
        <w:t xml:space="preserve">For the avoidance of doubt, this also means that IGOs that have not complied with the communications procedure prescribed by Article 6ter (e.g. in terms of filing a notification as required) should </w:t>
      </w:r>
      <w:r>
        <w:rPr>
          <w:b/>
          <w:i/>
          <w:u w:val="single"/>
        </w:rPr>
        <w:t>not</w:t>
      </w:r>
      <w:r>
        <w:rPr>
          <w:b/>
          <w:i/>
        </w:rPr>
        <w:t xml:space="preserve"> be deemed to have fulfilled the standing requirement under the UDRP and URS.</w:t>
      </w:r>
    </w:p>
    <w:p w14:paraId="1D261DF5" w14:textId="77777777" w:rsidR="001B6C38" w:rsidRDefault="00442AE9">
      <w:r>
        <w:t xml:space="preserve"> </w:t>
      </w:r>
    </w:p>
    <w:p w14:paraId="5A580F20" w14:textId="77777777" w:rsidR="001B6C38" w:rsidRDefault="00442AE9">
      <w:commentRangeStart w:id="87"/>
      <w:r>
        <w:t>To enshrine this recommendation as part of binding Consensus Policy and/or contractual agreement with ICANN’s contracted parties, the Working Group recommends that a binding Policy Guidance document be prepared that will describe the scope of the standing issue for IGOs, as well as any other points that may warrant clarification should the GNSO Council and the ICANN Board accept these PDP recommendations.</w:t>
      </w:r>
      <w:commentRangeEnd w:id="87"/>
      <w:r>
        <w:commentReference w:id="87"/>
      </w:r>
    </w:p>
    <w:p w14:paraId="7F4937A1" w14:textId="77777777" w:rsidR="001B6C38" w:rsidRDefault="00442AE9">
      <w:r>
        <w:t xml:space="preserve"> </w:t>
      </w:r>
    </w:p>
    <w:p w14:paraId="36E8291B" w14:textId="77777777" w:rsidR="001B6C38" w:rsidRDefault="00442AE9">
      <w:r>
        <w:t xml:space="preserve"> </w:t>
      </w:r>
    </w:p>
    <w:p w14:paraId="037DAFFA" w14:textId="77777777" w:rsidR="001B6C38" w:rsidRDefault="00442AE9">
      <w:r>
        <w:rPr>
          <w:b/>
        </w:rPr>
        <w:t>Notes on the Prescribed Communications Procedure under Article 6</w:t>
      </w:r>
      <w:r>
        <w:rPr>
          <w:b/>
          <w:i/>
        </w:rPr>
        <w:t>ter</w:t>
      </w:r>
      <w:r>
        <w:rPr>
          <w:b/>
        </w:rPr>
        <w:t>:</w:t>
      </w:r>
    </w:p>
    <w:p w14:paraId="07D4C205" w14:textId="77777777" w:rsidR="001B6C38" w:rsidRDefault="00442AE9">
      <w:r>
        <w:t xml:space="preserve"> </w:t>
      </w:r>
    </w:p>
    <w:p w14:paraId="0823F623" w14:textId="77777777" w:rsidR="001B6C38" w:rsidRDefault="00442AE9">
      <w:r>
        <w:t>The current communication procedure involves the periodical electronic publication by WIPO of those IGO names and acronyms for which protection under Article 6</w:t>
      </w:r>
      <w:r>
        <w:rPr>
          <w:i/>
        </w:rPr>
        <w:t>ter</w:t>
      </w:r>
      <w:r>
        <w:t xml:space="preserve"> is being requested, in what is known as the Article 6ter Express Database (</w:t>
      </w:r>
      <w:hyperlink r:id="rId9">
        <w:r>
          <w:rPr>
            <w:color w:val="1155CC"/>
            <w:u w:val="single"/>
          </w:rPr>
          <w:t>http://www.wipo.int/ipdl/en/6ter/)</w:t>
        </w:r>
      </w:hyperlink>
      <w:r>
        <w:t>. The nature of the names and acronyms concerned as well as the IGO that has requested their protection is published, in English and French, together with the individual reproductions of the names and acronyms concerned.</w:t>
      </w:r>
    </w:p>
    <w:p w14:paraId="66A658A8" w14:textId="77777777" w:rsidR="001B6C38" w:rsidRDefault="00442AE9">
      <w:r>
        <w:t xml:space="preserve"> </w:t>
      </w:r>
    </w:p>
    <w:p w14:paraId="16A40ADD" w14:textId="63EE5777" w:rsidR="001B6C38" w:rsidRDefault="00442AE9">
      <w:r>
        <w:t xml:space="preserve">The electronic publication is made on a semi-annual basis, on the last working day of the months of March and September. A link to the most recent communications is inserted into the database, which indicates the communications that were received by WIPO during the six months previous to the most current publication. The date of publication is considered to </w:t>
      </w:r>
      <w:r>
        <w:lastRenderedPageBreak/>
        <w:t>constitute the date of receipt of the communication by individual States party to the Paris Convention and any other party bound to apply Article 6</w:t>
      </w:r>
      <w:r>
        <w:rPr>
          <w:i/>
        </w:rPr>
        <w:t>ter</w:t>
      </w:r>
      <w:r>
        <w:t xml:space="preserve"> of the Paris Convention</w:t>
      </w:r>
      <w:ins w:id="88" w:author="Steve Chan" w:date="2016-09-20T16:27:00Z">
        <w:r w:rsidR="0051745F">
          <w:rPr>
            <w:rStyle w:val="FootnoteReference"/>
          </w:rPr>
          <w:footnoteReference w:id="7"/>
        </w:r>
      </w:ins>
      <w:del w:id="114" w:author="Steve Chan" w:date="2016-09-20T16:27:00Z">
        <w:r w:rsidDel="0051745F">
          <w:rPr>
            <w:rFonts w:ascii="Calibri" w:eastAsia="Calibri" w:hAnsi="Calibri" w:cs="Calibri"/>
            <w:sz w:val="24"/>
            <w:szCs w:val="24"/>
          </w:rPr>
          <w:delText>[6]</w:delText>
        </w:r>
      </w:del>
      <w:r>
        <w:t>.</w:t>
      </w:r>
    </w:p>
    <w:p w14:paraId="2E416DFE" w14:textId="77777777" w:rsidR="001B6C38" w:rsidRDefault="001B6C38"/>
    <w:p w14:paraId="1F257B79" w14:textId="77777777" w:rsidR="001B6C38" w:rsidRDefault="00442AE9">
      <w:r>
        <w:t xml:space="preserve">There does not appear to be any procedure by which any publication may be investigated, examined, or challenged.  In this regard the inclusion within the database bears similarity to registrations in jurisdictions that do not subject trademark registrations to an investigatory process.  The Working Group notes that UDRP panels have typically found trademark registrations that are automatic or unexamined (such as US state registrations as opposed to US federal registrations) are not owed the same deference under the UDRP as examined registrations. ][footnote:  See: Para 1.1, </w:t>
      </w:r>
      <w:r>
        <w:rPr>
          <w:i/>
          <w:sz w:val="20"/>
          <w:szCs w:val="20"/>
        </w:rPr>
        <w:t>WIPO Overview of WIPO Panel Views on Selected UDRP Questions, Second Edition</w:t>
      </w:r>
      <w:r>
        <w:rPr>
          <w:sz w:val="20"/>
          <w:szCs w:val="20"/>
        </w:rPr>
        <w:t xml:space="preserve"> ("WIPO Overview 2.0"), © 2011 World Intellectual Property Organization).  </w:t>
      </w:r>
      <w:r>
        <w:t>By stating its position above, the Working Group is not intending to alter existing UDRP jurisprudence or suggesting that the pre-existing standards used by UDRP panelists with regards to the recognition of trademarks obtained via an automated or unexamined process be altered in any manner.</w:t>
      </w:r>
    </w:p>
    <w:p w14:paraId="7BFE8E65" w14:textId="77777777" w:rsidR="001B6C38" w:rsidRDefault="001B6C38"/>
    <w:p w14:paraId="6FA9B6CB" w14:textId="77777777" w:rsidR="001B6C38" w:rsidRDefault="00442AE9">
      <w:commentRangeStart w:id="115"/>
      <w:r>
        <w:rPr>
          <w:b/>
        </w:rPr>
        <w:t>Recommendation #3: For IGOs, the Working Group does not recommend that any specific changes be made to the substantive grounds upon which a complainant may file and succeed on a claim against a respondent (e.g. as listed in Section 4(a)(i) – (iii) of the UDRP). In relation to IGOs, however, the Working Group proposes that the limitation enshrined in Article 6</w:t>
      </w:r>
      <w:r>
        <w:rPr>
          <w:b/>
          <w:i/>
        </w:rPr>
        <w:t>ter</w:t>
      </w:r>
      <w:r>
        <w:rPr>
          <w:b/>
        </w:rPr>
        <w:t>(1)(c) of the Paris Convention be considered an approximation of the remaining substantive grounds of the UDRP and URS</w:t>
      </w:r>
      <w:r>
        <w:rPr>
          <w:sz w:val="18"/>
          <w:szCs w:val="18"/>
        </w:rPr>
        <w:t xml:space="preserve">[PC4] </w:t>
      </w:r>
      <w:r>
        <w:rPr>
          <w:b/>
        </w:rPr>
        <w:t>, with respect to the required findings that a respondent possess no legitimate rights in the domain name that is identical or confusingly similar to an IGO’s name or acronym, and has registered and used the domain name in question in bad faith.</w:t>
      </w:r>
      <w:commentRangeEnd w:id="115"/>
      <w:r>
        <w:commentReference w:id="115"/>
      </w:r>
    </w:p>
    <w:p w14:paraId="5CD67E8F" w14:textId="77777777" w:rsidR="001B6C38" w:rsidRDefault="00442AE9">
      <w:r>
        <w:rPr>
          <w:b/>
        </w:rPr>
        <w:t xml:space="preserve"> </w:t>
      </w:r>
    </w:p>
    <w:p w14:paraId="2BC214AF" w14:textId="77777777" w:rsidR="001B6C38" w:rsidRDefault="00442AE9">
      <w:r>
        <w:t xml:space="preserve">For the avoidance of doubt, the above-noted recommendation means that, where a panelist’s/panel’s finding that the use </w:t>
      </w:r>
      <w:r>
        <w:rPr>
          <w:u w:val="single"/>
        </w:rPr>
        <w:t>and</w:t>
      </w:r>
      <w:r>
        <w:t xml:space="preserve"> registration of the domain name in question, is not of such a nature as to suggest to the public that a connection exists between the IGO concerned and the registrant, or if such use </w:t>
      </w:r>
      <w:r>
        <w:rPr>
          <w:u w:val="single"/>
        </w:rPr>
        <w:t>and</w:t>
      </w:r>
      <w:r>
        <w:t xml:space="preserve"> registration is probably not of such a nature as to mislead the public as to the existence of a connection between the respondent-registrant and the IGO in question, a complaint under the UDRP and/or URS would also fail.</w:t>
      </w:r>
    </w:p>
    <w:p w14:paraId="4FA04428" w14:textId="77777777" w:rsidR="001B6C38" w:rsidRDefault="00442AE9">
      <w:r>
        <w:t xml:space="preserve"> </w:t>
      </w:r>
    </w:p>
    <w:p w14:paraId="0B175C3C" w14:textId="7B0361C1" w:rsidR="005C418F" w:rsidRDefault="00442AE9">
      <w:pPr>
        <w:rPr>
          <w:ins w:id="116" w:author="Steve Chan" w:date="2016-09-27T17:51:00Z"/>
          <w:b/>
        </w:rPr>
      </w:pPr>
      <w:r>
        <w:rPr>
          <w:b/>
        </w:rPr>
        <w:t xml:space="preserve">Recommendation #4: In relation to the issue of jurisdictional immunity, which IGOs may claim successfully in certain circumstances (but not INGOs), the Working Group recommends that: (a) no change be made to the Mutual Jurisdiction clause of the UDRP and URS; (b) </w:t>
      </w:r>
      <w:ins w:id="117" w:author="Mary Wong" w:date="2016-09-28T11:46:00Z">
        <w:r w:rsidR="00A84C52">
          <w:rPr>
            <w:b/>
          </w:rPr>
          <w:t xml:space="preserve">a Policy Guidance document (as further described below) be prepared </w:t>
        </w:r>
        <w:r w:rsidR="000C7791">
          <w:rPr>
            <w:b/>
          </w:rPr>
          <w:t xml:space="preserve">that outlines options available to </w:t>
        </w:r>
      </w:ins>
      <w:commentRangeStart w:id="118"/>
      <w:r>
        <w:rPr>
          <w:b/>
        </w:rPr>
        <w:t>IGOs</w:t>
      </w:r>
      <w:del w:id="119" w:author="Mary Wong" w:date="2016-09-28T11:47:00Z">
        <w:r w:rsidDel="000C7791">
          <w:rPr>
            <w:b/>
          </w:rPr>
          <w:delText xml:space="preserve"> be notified that</w:delText>
        </w:r>
      </w:del>
      <w:ins w:id="120" w:author="Mary Wong" w:date="2016-09-28T11:47:00Z">
        <w:r w:rsidR="000C7791">
          <w:rPr>
            <w:b/>
          </w:rPr>
          <w:t>, e.g.</w:t>
        </w:r>
      </w:ins>
      <w:r>
        <w:rPr>
          <w:b/>
        </w:rPr>
        <w:t xml:space="preserve"> they have the ability to elect to have a complaint filed under the UDRP and/or URS on their behalf by an assignee, agent or licensee</w:t>
      </w:r>
      <w:commentRangeEnd w:id="118"/>
      <w:r w:rsidR="003F17FE">
        <w:rPr>
          <w:rStyle w:val="CommentReference"/>
        </w:rPr>
        <w:commentReference w:id="118"/>
      </w:r>
      <w:r>
        <w:rPr>
          <w:b/>
        </w:rPr>
        <w:t xml:space="preserve">; such that (c) claims of jurisdictional immunity made by an IGO in respect of a particular jurisdiction will fall to be determined by the applicable laws of that jurisdiction. Where an </w:t>
      </w:r>
      <w:r>
        <w:rPr>
          <w:b/>
        </w:rPr>
        <w:lastRenderedPageBreak/>
        <w:t>IGO succeeds in asserting its claim of jurisdictional immunity in</w:t>
      </w:r>
      <w:del w:id="121" w:author="Steve Chan" w:date="2016-09-20T15:57:00Z">
        <w:r w:rsidDel="006A4680">
          <w:rPr>
            <w:b/>
          </w:rPr>
          <w:delText xml:space="preserve"> </w:delText>
        </w:r>
      </w:del>
      <w:r>
        <w:rPr>
          <w:b/>
        </w:rPr>
        <w:t xml:space="preserve"> a court of mutual jurisdiction, </w:t>
      </w:r>
      <w:ins w:id="122" w:author="Mary Wong" w:date="2016-09-28T11:47:00Z">
        <w:r w:rsidR="000C7791">
          <w:rPr>
            <w:b/>
          </w:rPr>
          <w:t xml:space="preserve">the Working Group recommends that in that </w:t>
        </w:r>
      </w:ins>
      <w:del w:id="123" w:author="Mary Wong" w:date="2016-09-28T11:48:00Z">
        <w:r w:rsidDel="000C7791">
          <w:rPr>
            <w:b/>
          </w:rPr>
          <w:delText xml:space="preserve">then </w:delText>
        </w:r>
      </w:del>
      <w:ins w:id="124" w:author="Mary Wong" w:date="2016-09-28T11:48:00Z">
        <w:r w:rsidR="000C7791">
          <w:rPr>
            <w:b/>
          </w:rPr>
          <w:t xml:space="preserve">case: </w:t>
        </w:r>
      </w:ins>
    </w:p>
    <w:p w14:paraId="43E36832" w14:textId="77777777" w:rsidR="005C418F" w:rsidRDefault="005C418F">
      <w:pPr>
        <w:rPr>
          <w:ins w:id="125" w:author="Steve Chan" w:date="2016-09-27T17:51:00Z"/>
          <w:b/>
        </w:rPr>
      </w:pPr>
    </w:p>
    <w:p w14:paraId="13E722FF" w14:textId="54D13FBE" w:rsidR="00623885" w:rsidRPr="00FD1E2E" w:rsidRDefault="00442AE9">
      <w:pPr>
        <w:rPr>
          <w:ins w:id="126" w:author="Steve Chan" w:date="2016-09-27T17:52:00Z"/>
          <w:b/>
          <w:i/>
          <w:rPrChange w:id="127" w:author="Steve Chan" w:date="2016-09-27T18:58:00Z">
            <w:rPr>
              <w:ins w:id="128" w:author="Steve Chan" w:date="2016-09-27T17:52:00Z"/>
              <w:b/>
            </w:rPr>
          </w:rPrChange>
        </w:rPr>
      </w:pPr>
      <w:r w:rsidRPr="00FD1E2E">
        <w:rPr>
          <w:b/>
          <w:i/>
          <w:rPrChange w:id="129" w:author="Steve Chan" w:date="2016-09-27T18:58:00Z">
            <w:rPr>
              <w:b/>
            </w:rPr>
          </w:rPrChange>
        </w:rPr>
        <w:t>[Option 1</w:t>
      </w:r>
      <w:ins w:id="130" w:author="Steve Chan" w:date="2016-09-20T15:57:00Z">
        <w:r w:rsidR="006A4680" w:rsidRPr="00FD1E2E">
          <w:rPr>
            <w:b/>
            <w:i/>
            <w:rPrChange w:id="131" w:author="Steve Chan" w:date="2016-09-27T18:58:00Z">
              <w:rPr>
                <w:b/>
              </w:rPr>
            </w:rPrChange>
          </w:rPr>
          <w:t xml:space="preserve"> - </w:t>
        </w:r>
      </w:ins>
      <w:del w:id="132" w:author="Steve Chan" w:date="2016-09-20T15:57:00Z">
        <w:r w:rsidRPr="00FD1E2E" w:rsidDel="006A4680">
          <w:rPr>
            <w:b/>
            <w:i/>
            <w:rPrChange w:id="133" w:author="Steve Chan" w:date="2016-09-27T18:58:00Z">
              <w:rPr>
                <w:b/>
              </w:rPr>
            </w:rPrChange>
          </w:rPr>
          <w:delText>/</w:delText>
        </w:r>
      </w:del>
      <w:r w:rsidRPr="00FD1E2E">
        <w:rPr>
          <w:b/>
          <w:i/>
          <w:rPrChange w:id="134" w:author="Steve Chan" w:date="2016-09-27T18:58:00Z">
            <w:rPr>
              <w:b/>
            </w:rPr>
          </w:rPrChange>
        </w:rPr>
        <w:t xml:space="preserve">the decision rendered against the registrant in the predecessor UDRP (URS?) shall be vitiated] </w:t>
      </w:r>
      <w:ins w:id="135" w:author="Steve Chan" w:date="2016-09-27T17:52:00Z">
        <w:r w:rsidR="00623885" w:rsidRPr="00FD1E2E">
          <w:rPr>
            <w:b/>
            <w:i/>
            <w:rPrChange w:id="136" w:author="Steve Chan" w:date="2016-09-27T18:58:00Z">
              <w:rPr>
                <w:b/>
              </w:rPr>
            </w:rPrChange>
          </w:rPr>
          <w:t>or</w:t>
        </w:r>
      </w:ins>
    </w:p>
    <w:p w14:paraId="2F330EF3" w14:textId="77777777" w:rsidR="00623885" w:rsidRPr="00FD1E2E" w:rsidRDefault="00623885">
      <w:pPr>
        <w:rPr>
          <w:ins w:id="137" w:author="Steve Chan" w:date="2016-09-27T17:52:00Z"/>
          <w:b/>
          <w:i/>
          <w:rPrChange w:id="138" w:author="Steve Chan" w:date="2016-09-27T18:58:00Z">
            <w:rPr>
              <w:ins w:id="139" w:author="Steve Chan" w:date="2016-09-27T17:52:00Z"/>
              <w:b/>
            </w:rPr>
          </w:rPrChange>
        </w:rPr>
      </w:pPr>
    </w:p>
    <w:p w14:paraId="7A873017" w14:textId="00AE2A85" w:rsidR="00623885" w:rsidRPr="00FD1E2E" w:rsidRDefault="00442AE9">
      <w:pPr>
        <w:rPr>
          <w:ins w:id="140" w:author="Steve Chan" w:date="2016-09-27T17:52:00Z"/>
          <w:b/>
          <w:i/>
          <w:rPrChange w:id="141" w:author="Steve Chan" w:date="2016-09-27T18:58:00Z">
            <w:rPr>
              <w:ins w:id="142" w:author="Steve Chan" w:date="2016-09-27T17:52:00Z"/>
              <w:b/>
            </w:rPr>
          </w:rPrChange>
        </w:rPr>
      </w:pPr>
      <w:r w:rsidRPr="00FD1E2E">
        <w:rPr>
          <w:b/>
          <w:i/>
          <w:rPrChange w:id="143" w:author="Steve Chan" w:date="2016-09-27T18:58:00Z">
            <w:rPr>
              <w:b/>
            </w:rPr>
          </w:rPrChange>
        </w:rPr>
        <w:t xml:space="preserve">[Option 2 – the decision rendered against the registrant in the predecessor UDRP may be brought before the [name of arbitration entity] for de novo review and </w:t>
      </w:r>
      <w:del w:id="144" w:author="Mary Wong" w:date="2016-09-28T11:48:00Z">
        <w:r w:rsidRPr="00FD1E2E" w:rsidDel="000C7791">
          <w:rPr>
            <w:b/>
            <w:i/>
            <w:rPrChange w:id="145" w:author="Steve Chan" w:date="2016-09-27T18:58:00Z">
              <w:rPr>
                <w:b/>
              </w:rPr>
            </w:rPrChange>
          </w:rPr>
          <w:delText>judgment</w:delText>
        </w:r>
      </w:del>
      <w:ins w:id="146" w:author="Mary Wong" w:date="2016-09-28T11:48:00Z">
        <w:r w:rsidR="000C7791">
          <w:rPr>
            <w:b/>
            <w:i/>
          </w:rPr>
          <w:t>determination</w:t>
        </w:r>
      </w:ins>
      <w:ins w:id="147" w:author="Steve Chan" w:date="2016-09-27T17:52:00Z">
        <w:r w:rsidR="00623885" w:rsidRPr="00FD1E2E">
          <w:rPr>
            <w:b/>
            <w:i/>
            <w:rPrChange w:id="148" w:author="Steve Chan" w:date="2016-09-27T18:58:00Z">
              <w:rPr>
                <w:b/>
              </w:rPr>
            </w:rPrChange>
          </w:rPr>
          <w:t>.</w:t>
        </w:r>
      </w:ins>
      <w:del w:id="149" w:author="Steve Chan" w:date="2016-09-27T17:52:00Z">
        <w:r w:rsidRPr="00FD1E2E" w:rsidDel="00623885">
          <w:rPr>
            <w:i/>
            <w:sz w:val="18"/>
            <w:szCs w:val="18"/>
            <w:rPrChange w:id="150" w:author="Steve Chan" w:date="2016-09-27T18:58:00Z">
              <w:rPr>
                <w:sz w:val="18"/>
                <w:szCs w:val="18"/>
              </w:rPr>
            </w:rPrChange>
          </w:rPr>
          <w:delText>[PC5]</w:delText>
        </w:r>
      </w:del>
      <w:ins w:id="151" w:author="Steve Chan" w:date="2016-09-21T17:41:00Z">
        <w:r w:rsidR="00B8502E" w:rsidRPr="00FD1E2E">
          <w:rPr>
            <w:b/>
            <w:i/>
            <w:rPrChange w:id="152" w:author="Steve Chan" w:date="2016-09-27T18:58:00Z">
              <w:rPr>
                <w:b/>
              </w:rPr>
            </w:rPrChange>
          </w:rPr>
          <w:t>]</w:t>
        </w:r>
      </w:ins>
      <w:del w:id="153" w:author="Steve Chan" w:date="2016-09-27T17:52:00Z">
        <w:r w:rsidRPr="00FD1E2E" w:rsidDel="00623885">
          <w:rPr>
            <w:i/>
            <w:sz w:val="18"/>
            <w:szCs w:val="18"/>
            <w:rPrChange w:id="154" w:author="Steve Chan" w:date="2016-09-27T18:58:00Z">
              <w:rPr>
                <w:sz w:val="18"/>
                <w:szCs w:val="18"/>
              </w:rPr>
            </w:rPrChange>
          </w:rPr>
          <w:delText xml:space="preserve"> </w:delText>
        </w:r>
        <w:r w:rsidRPr="00FD1E2E" w:rsidDel="00623885">
          <w:rPr>
            <w:b/>
            <w:i/>
            <w:rPrChange w:id="155" w:author="Steve Chan" w:date="2016-09-27T18:58:00Z">
              <w:rPr>
                <w:b/>
              </w:rPr>
            </w:rPrChange>
          </w:rPr>
          <w:delText>.</w:delText>
        </w:r>
      </w:del>
    </w:p>
    <w:p w14:paraId="327726E3" w14:textId="77777777" w:rsidR="00623885" w:rsidRDefault="00623885">
      <w:pPr>
        <w:rPr>
          <w:ins w:id="156" w:author="Steve Chan" w:date="2016-09-27T17:52:00Z"/>
          <w:b/>
        </w:rPr>
      </w:pPr>
    </w:p>
    <w:p w14:paraId="5263906A" w14:textId="0944A04A" w:rsidR="001B6C38" w:rsidRDefault="00442AE9">
      <w:del w:id="157" w:author="Steve Chan" w:date="2016-09-27T17:52:00Z">
        <w:r w:rsidDel="00623885">
          <w:rPr>
            <w:b/>
          </w:rPr>
          <w:delText xml:space="preserve">  </w:delText>
        </w:r>
      </w:del>
      <w:r>
        <w:rPr>
          <w:b/>
        </w:rPr>
        <w:t>The Working Group recommends, further, that a Policy Guidance document be prepared</w:t>
      </w:r>
      <w:ins w:id="158" w:author="Mary Wong" w:date="2016-09-28T11:49:00Z">
        <w:r w:rsidR="000C7791">
          <w:rPr>
            <w:b/>
          </w:rPr>
          <w:t>, published</w:t>
        </w:r>
      </w:ins>
      <w:r>
        <w:rPr>
          <w:b/>
        </w:rPr>
        <w:t xml:space="preserve"> and circulated to the Governmental Advisory Committee (GAC)</w:t>
      </w:r>
      <w:del w:id="159" w:author="Mary Wong" w:date="2016-09-28T11:49:00Z">
        <w:r w:rsidDel="000C7791">
          <w:rPr>
            <w:b/>
          </w:rPr>
          <w:delText xml:space="preserve"> and the IGO representatives who have been active on this issue at ICANN</w:delText>
        </w:r>
      </w:del>
      <w:r>
        <w:rPr>
          <w:b/>
        </w:rPr>
        <w:t xml:space="preserve">, that outlines the specific </w:t>
      </w:r>
      <w:ins w:id="160" w:author="Mary Wong" w:date="2016-09-28T11:49:00Z">
        <w:r w:rsidR="000C7791">
          <w:rPr>
            <w:b/>
          </w:rPr>
          <w:t xml:space="preserve">procedural </w:t>
        </w:r>
      </w:ins>
      <w:r>
        <w:rPr>
          <w:b/>
        </w:rPr>
        <w:t>options available to IGOs who seek to suspend, cancel or transfer a registrant’s domain name</w:t>
      </w:r>
      <w:ins w:id="161" w:author="Mary Wong" w:date="2016-09-28T11:49:00Z">
        <w:r w:rsidR="000C7791">
          <w:rPr>
            <w:b/>
          </w:rPr>
          <w:t xml:space="preserve"> (e.g. filing a complaint under the UDRP (and URS?) through an assignee, agent or licensee)</w:t>
        </w:r>
      </w:ins>
      <w:r>
        <w:rPr>
          <w:b/>
        </w:rPr>
        <w:t>.</w:t>
      </w:r>
    </w:p>
    <w:p w14:paraId="42BDC108" w14:textId="77777777" w:rsidR="006A4680" w:rsidRDefault="006A4680">
      <w:pPr>
        <w:rPr>
          <w:ins w:id="162" w:author="Steve Chan" w:date="2016-09-20T15:56:00Z"/>
          <w:b/>
        </w:rPr>
      </w:pPr>
    </w:p>
    <w:p w14:paraId="04A3325E" w14:textId="4FF81289" w:rsidR="006A4680" w:rsidRDefault="006A4680">
      <w:pPr>
        <w:rPr>
          <w:ins w:id="163" w:author="Steve Chan" w:date="2016-09-20T15:59:00Z"/>
        </w:rPr>
      </w:pPr>
      <w:ins w:id="164" w:author="Steve Chan" w:date="2016-09-20T15:56:00Z">
        <w:r>
          <w:t>[</w:t>
        </w:r>
      </w:ins>
      <w:ins w:id="165" w:author="Steve Chan" w:date="2016-09-21T16:41:00Z">
        <w:r w:rsidR="00AA3D4D">
          <w:t xml:space="preserve">In presenting Options 1 and 2 above, </w:t>
        </w:r>
      </w:ins>
      <w:ins w:id="166" w:author="Steve Chan" w:date="2016-09-20T15:56:00Z">
        <w:r>
          <w:t>the W</w:t>
        </w:r>
      </w:ins>
      <w:ins w:id="167" w:author="Mary Wong" w:date="2016-09-28T11:56:00Z">
        <w:r w:rsidR="007667C4">
          <w:t xml:space="preserve">orking </w:t>
        </w:r>
      </w:ins>
      <w:ins w:id="168" w:author="Steve Chan" w:date="2016-09-20T15:56:00Z">
        <w:r>
          <w:t>G</w:t>
        </w:r>
      </w:ins>
      <w:ins w:id="169" w:author="Mary Wong" w:date="2016-09-28T11:56:00Z">
        <w:r w:rsidR="007667C4">
          <w:t>roup</w:t>
        </w:r>
      </w:ins>
      <w:ins w:id="170" w:author="Steve Chan" w:date="2016-09-20T15:56:00Z">
        <w:r>
          <w:t xml:space="preserve"> acknowledges that it has </w:t>
        </w:r>
      </w:ins>
      <w:ins w:id="171" w:author="Steve Chan" w:date="2016-09-21T16:41:00Z">
        <w:r w:rsidR="00AA3D4D">
          <w:t>yet to</w:t>
        </w:r>
      </w:ins>
      <w:ins w:id="172" w:author="Steve Chan" w:date="2016-09-20T15:56:00Z">
        <w:r>
          <w:t xml:space="preserve"> </w:t>
        </w:r>
        <w:del w:id="173" w:author="Mary Wong" w:date="2016-09-28T11:56:00Z">
          <w:r w:rsidDel="007667C4">
            <w:delText xml:space="preserve">uncover </w:delText>
          </w:r>
        </w:del>
      </w:ins>
      <w:ins w:id="174" w:author="Steve Chan" w:date="2016-09-21T16:40:00Z">
        <w:del w:id="175" w:author="Mary Wong" w:date="2016-09-28T11:56:00Z">
          <w:r w:rsidR="00AA3D4D" w:rsidDel="007667C4">
            <w:delText>a</w:delText>
          </w:r>
        </w:del>
      </w:ins>
      <w:ins w:id="176" w:author="Steve Chan" w:date="2016-09-20T15:56:00Z">
        <w:del w:id="177" w:author="Mary Wong" w:date="2016-09-28T11:56:00Z">
          <w:r w:rsidDel="007667C4">
            <w:delText xml:space="preserve"> perfect</w:delText>
          </w:r>
        </w:del>
      </w:ins>
      <w:ins w:id="178" w:author="Mary Wong" w:date="2016-09-28T11:56:00Z">
        <w:r w:rsidR="007667C4">
          <w:t>come to consensus as to which is the optimal</w:t>
        </w:r>
      </w:ins>
      <w:ins w:id="179" w:author="Steve Chan" w:date="2016-09-20T15:56:00Z">
        <w:r>
          <w:t xml:space="preserve"> </w:t>
        </w:r>
        <w:del w:id="180" w:author="Mary Wong" w:date="2016-09-28T11:57:00Z">
          <w:r w:rsidDel="007667C4">
            <w:delText>solution</w:delText>
          </w:r>
        </w:del>
      </w:ins>
      <w:ins w:id="181" w:author="Mary Wong" w:date="2016-09-28T11:57:00Z">
        <w:r w:rsidR="007667C4">
          <w:t>approach, or if a third alternative is preferable</w:t>
        </w:r>
      </w:ins>
      <w:ins w:id="182" w:author="Steve Chan" w:date="2016-09-20T15:56:00Z">
        <w:r>
          <w:t>. As such, the W</w:t>
        </w:r>
      </w:ins>
      <w:ins w:id="183" w:author="Mary Wong" w:date="2016-09-28T11:57:00Z">
        <w:r w:rsidR="007667C4">
          <w:t xml:space="preserve">orking </w:t>
        </w:r>
      </w:ins>
      <w:ins w:id="184" w:author="Steve Chan" w:date="2016-09-20T15:56:00Z">
        <w:r>
          <w:t>G</w:t>
        </w:r>
      </w:ins>
      <w:ins w:id="185" w:author="Mary Wong" w:date="2016-09-28T11:57:00Z">
        <w:r w:rsidR="007667C4">
          <w:t>roup</w:t>
        </w:r>
      </w:ins>
      <w:ins w:id="186" w:author="Steve Chan" w:date="2016-09-20T15:56:00Z">
        <w:r>
          <w:t xml:space="preserve"> </w:t>
        </w:r>
      </w:ins>
      <w:ins w:id="187" w:author="Steve Chan" w:date="2016-09-20T16:02:00Z">
        <w:r>
          <w:t>has</w:t>
        </w:r>
      </w:ins>
      <w:ins w:id="188" w:author="Steve Chan" w:date="2016-09-20T15:59:00Z">
        <w:r>
          <w:t xml:space="preserve"> identified </w:t>
        </w:r>
      </w:ins>
      <w:ins w:id="189" w:author="Steve Chan" w:date="2016-09-21T16:42:00Z">
        <w:r w:rsidR="00AA3D4D">
          <w:t>a number of different factors</w:t>
        </w:r>
      </w:ins>
      <w:ins w:id="190" w:author="Mary Wong" w:date="2016-09-28T13:08:00Z">
        <w:r w:rsidR="00A14C29">
          <w:t>, including possible policy benefits and problems,</w:t>
        </w:r>
      </w:ins>
      <w:ins w:id="191" w:author="Steve Chan" w:date="2016-09-21T16:42:00Z">
        <w:r w:rsidR="00AA3D4D">
          <w:t xml:space="preserve"> to consider when examining the </w:t>
        </w:r>
        <w:del w:id="192" w:author="Mary Wong" w:date="2016-09-28T11:57:00Z">
          <w:r w:rsidR="00AA3D4D" w:rsidDel="007667C4">
            <w:delText>two</w:delText>
          </w:r>
        </w:del>
      </w:ins>
      <w:ins w:id="193" w:author="Mary Wong" w:date="2016-09-28T11:57:00Z">
        <w:r w:rsidR="007667C4">
          <w:t>various</w:t>
        </w:r>
      </w:ins>
      <w:ins w:id="194" w:author="Steve Chan" w:date="2016-09-21T16:42:00Z">
        <w:r w:rsidR="00AA3D4D">
          <w:t xml:space="preserve"> options</w:t>
        </w:r>
      </w:ins>
      <w:ins w:id="195" w:author="Steve Chan" w:date="2016-09-20T16:02:00Z">
        <w:r>
          <w:t>. Accordingly, the W</w:t>
        </w:r>
      </w:ins>
      <w:ins w:id="196" w:author="Mary Wong" w:date="2016-09-28T11:57:00Z">
        <w:r w:rsidR="007667C4">
          <w:t xml:space="preserve">orking </w:t>
        </w:r>
      </w:ins>
      <w:ins w:id="197" w:author="Steve Chan" w:date="2016-09-20T16:02:00Z">
        <w:r>
          <w:t>G</w:t>
        </w:r>
      </w:ins>
      <w:ins w:id="198" w:author="Mary Wong" w:date="2016-09-28T11:57:00Z">
        <w:r w:rsidR="007667C4">
          <w:t>roup</w:t>
        </w:r>
      </w:ins>
      <w:ins w:id="199" w:author="Steve Chan" w:date="2016-09-20T16:02:00Z">
        <w:r>
          <w:t xml:space="preserve"> </w:t>
        </w:r>
        <w:del w:id="200" w:author="Mary Wong" w:date="2016-09-28T11:57:00Z">
          <w:r w:rsidDel="007667C4">
            <w:delText xml:space="preserve">would like to </w:delText>
          </w:r>
        </w:del>
      </w:ins>
      <w:ins w:id="201" w:author="Steve Chan" w:date="2016-09-20T15:59:00Z">
        <w:del w:id="202" w:author="Mary Wong" w:date="2016-09-28T11:57:00Z">
          <w:r w:rsidDel="007667C4">
            <w:delText>solicit</w:delText>
          </w:r>
        </w:del>
      </w:ins>
      <w:ins w:id="203" w:author="Mary Wong" w:date="2016-09-28T11:57:00Z">
        <w:r w:rsidR="007667C4">
          <w:t>welcomes specific</w:t>
        </w:r>
      </w:ins>
      <w:ins w:id="204" w:author="Steve Chan" w:date="2016-09-20T15:59:00Z">
        <w:r>
          <w:t xml:space="preserve"> input from the community </w:t>
        </w:r>
      </w:ins>
      <w:ins w:id="205" w:author="Mary Wong" w:date="2016-09-28T11:57:00Z">
        <w:r w:rsidR="007667C4">
          <w:t xml:space="preserve">on this question, </w:t>
        </w:r>
      </w:ins>
      <w:ins w:id="206" w:author="Steve Chan" w:date="2016-09-20T15:59:00Z">
        <w:r>
          <w:t>to aid</w:t>
        </w:r>
      </w:ins>
      <w:ins w:id="207" w:author="Mary Wong" w:date="2016-09-28T11:58:00Z">
        <w:r w:rsidR="007667C4">
          <w:t xml:space="preserve"> it</w:t>
        </w:r>
      </w:ins>
      <w:ins w:id="208" w:author="Steve Chan" w:date="2016-09-20T15:59:00Z">
        <w:r>
          <w:t xml:space="preserve"> in developing its final recommendations.</w:t>
        </w:r>
      </w:ins>
    </w:p>
    <w:p w14:paraId="30152549" w14:textId="77777777" w:rsidR="006A4680" w:rsidRDefault="006A4680">
      <w:pPr>
        <w:rPr>
          <w:ins w:id="209" w:author="Steve Chan" w:date="2016-09-20T16:03:00Z"/>
        </w:rPr>
      </w:pPr>
    </w:p>
    <w:p w14:paraId="0A185224" w14:textId="13748E6D" w:rsidR="006A4680" w:rsidRDefault="006A4680">
      <w:pPr>
        <w:rPr>
          <w:ins w:id="210" w:author="Steve Chan" w:date="2016-09-20T16:03:00Z"/>
        </w:rPr>
      </w:pPr>
      <w:ins w:id="211" w:author="Steve Chan" w:date="2016-09-20T16:03:00Z">
        <w:r>
          <w:t xml:space="preserve">For context, the WG anticipates that the circumstances under which this scenario would occur </w:t>
        </w:r>
      </w:ins>
      <w:ins w:id="212" w:author="Steve Chan" w:date="2016-09-20T16:04:00Z">
        <w:r>
          <w:t>–</w:t>
        </w:r>
      </w:ins>
      <w:ins w:id="213" w:author="Steve Chan" w:date="2016-09-20T16:03:00Z">
        <w:r>
          <w:t xml:space="preserve"> </w:t>
        </w:r>
      </w:ins>
      <w:ins w:id="214" w:author="Mary Wong" w:date="2016-09-28T11:59:00Z">
        <w:r w:rsidR="00781089">
          <w:t xml:space="preserve">viz., </w:t>
        </w:r>
      </w:ins>
      <w:ins w:id="215" w:author="Steve Chan" w:date="2016-09-20T16:03:00Z">
        <w:r>
          <w:t>where an IGO files a complaint under the UDRP</w:t>
        </w:r>
      </w:ins>
      <w:ins w:id="216" w:author="Steve Chan" w:date="2016-09-21T17:19:00Z">
        <w:r w:rsidR="00CC6FD3">
          <w:t xml:space="preserve"> or URS</w:t>
        </w:r>
      </w:ins>
      <w:ins w:id="217" w:author="Steve Chan" w:date="2016-09-20T16:04:00Z">
        <w:r w:rsidR="00B90EBB">
          <w:t xml:space="preserve">, </w:t>
        </w:r>
      </w:ins>
      <w:ins w:id="218" w:author="Steve Chan" w:date="2016-09-20T16:05:00Z">
        <w:r w:rsidR="00B90EBB">
          <w:t xml:space="preserve">the IGO </w:t>
        </w:r>
      </w:ins>
      <w:ins w:id="219" w:author="Steve Chan" w:date="2016-09-20T16:04:00Z">
        <w:r w:rsidR="00B90EBB">
          <w:t xml:space="preserve">succeeds in the </w:t>
        </w:r>
      </w:ins>
      <w:ins w:id="220" w:author="Steve Chan" w:date="2016-09-21T17:19:00Z">
        <w:r w:rsidR="00CC6FD3">
          <w:t>dispute resolution process</w:t>
        </w:r>
      </w:ins>
      <w:ins w:id="221" w:author="Steve Chan" w:date="2016-09-20T16:04:00Z">
        <w:r w:rsidR="00B90EBB">
          <w:t xml:space="preserve">, and the losing respondent </w:t>
        </w:r>
      </w:ins>
      <w:ins w:id="222" w:author="Steve Chan" w:date="2016-09-20T16:05:00Z">
        <w:r w:rsidR="00B90EBB">
          <w:t xml:space="preserve">then </w:t>
        </w:r>
      </w:ins>
      <w:ins w:id="223" w:author="Steve Chan" w:date="2016-09-20T16:04:00Z">
        <w:r w:rsidR="00B90EBB">
          <w:t xml:space="preserve">seeks </w:t>
        </w:r>
      </w:ins>
      <w:ins w:id="224" w:author="Steve Chan" w:date="2016-09-20T16:05:00Z">
        <w:r w:rsidR="00B90EBB">
          <w:t xml:space="preserve">relief against the </w:t>
        </w:r>
      </w:ins>
      <w:ins w:id="225" w:author="Mary Wong" w:date="2016-09-28T11:59:00Z">
        <w:r w:rsidR="00781089">
          <w:t xml:space="preserve">IGO with respect to that </w:t>
        </w:r>
      </w:ins>
      <w:ins w:id="226" w:author="Steve Chan" w:date="2016-09-20T16:05:00Z">
        <w:r w:rsidR="00B90EBB">
          <w:t>UDRP</w:t>
        </w:r>
      </w:ins>
      <w:ins w:id="227" w:author="Steve Chan" w:date="2016-09-21T17:19:00Z">
        <w:r w:rsidR="00CC6FD3">
          <w:t xml:space="preserve"> or URS</w:t>
        </w:r>
      </w:ins>
      <w:ins w:id="228" w:author="Steve Chan" w:date="2016-09-20T16:05:00Z">
        <w:r w:rsidR="00B90EBB">
          <w:t xml:space="preserve"> decision </w:t>
        </w:r>
      </w:ins>
      <w:ins w:id="229" w:author="Mary Wong" w:date="2016-09-28T11:59:00Z">
        <w:r w:rsidR="00781089">
          <w:t xml:space="preserve">in a national court </w:t>
        </w:r>
      </w:ins>
      <w:ins w:id="230" w:author="Steve Chan" w:date="2016-09-20T16:05:00Z">
        <w:r w:rsidR="00B90EBB">
          <w:t xml:space="preserve">– will be </w:t>
        </w:r>
      </w:ins>
      <w:ins w:id="231" w:author="Steve Chan" w:date="2016-09-20T16:08:00Z">
        <w:r w:rsidR="00B90EBB">
          <w:t>rare</w:t>
        </w:r>
      </w:ins>
      <w:ins w:id="232" w:author="Steve Chan" w:date="2016-09-20T16:05:00Z">
        <w:r w:rsidR="00B90EBB">
          <w:t>.</w:t>
        </w:r>
      </w:ins>
      <w:ins w:id="233" w:author="Steve Chan" w:date="2016-09-21T17:32:00Z">
        <w:r w:rsidR="003F17FE">
          <w:t xml:space="preserve"> </w:t>
        </w:r>
      </w:ins>
    </w:p>
    <w:p w14:paraId="2E0DF9DF" w14:textId="77777777" w:rsidR="006A4680" w:rsidRDefault="006A4680">
      <w:pPr>
        <w:rPr>
          <w:ins w:id="234" w:author="Steve Chan" w:date="2016-09-20T16:00:00Z"/>
        </w:rPr>
      </w:pPr>
    </w:p>
    <w:p w14:paraId="5D3C82AE" w14:textId="212FC91E" w:rsidR="006A4680" w:rsidRDefault="006A4680">
      <w:pPr>
        <w:rPr>
          <w:ins w:id="235" w:author="Steve Chan" w:date="2016-09-27T17:52:00Z"/>
        </w:rPr>
      </w:pPr>
      <w:ins w:id="236" w:author="Steve Chan" w:date="2016-09-20T16:00:00Z">
        <w:r>
          <w:t>Option 1:</w:t>
        </w:r>
      </w:ins>
    </w:p>
    <w:p w14:paraId="17FEE64E" w14:textId="77777777" w:rsidR="00623885" w:rsidRPr="00BF385D" w:rsidRDefault="00623885" w:rsidP="00623885">
      <w:pPr>
        <w:rPr>
          <w:ins w:id="237" w:author="Steve Chan" w:date="2016-09-27T17:52:00Z"/>
        </w:rPr>
      </w:pPr>
      <w:ins w:id="238" w:author="Steve Chan" w:date="2016-09-27T17:52:00Z">
        <w:r w:rsidRPr="00BF385D">
          <w:t>“T</w:t>
        </w:r>
        <w:r w:rsidRPr="00351C50">
          <w:t xml:space="preserve">he decision rendered against the registrant in the predecessor UDRP </w:t>
        </w:r>
        <w:r w:rsidRPr="00BF385D">
          <w:t>or URS shall be vitiated”</w:t>
        </w:r>
      </w:ins>
    </w:p>
    <w:p w14:paraId="0DD74F03" w14:textId="77777777" w:rsidR="00623885" w:rsidRDefault="00623885">
      <w:pPr>
        <w:rPr>
          <w:ins w:id="239" w:author="Steve Chan" w:date="2016-09-20T16:00:00Z"/>
        </w:rPr>
      </w:pPr>
    </w:p>
    <w:p w14:paraId="38CBBCF7" w14:textId="6CC2F525" w:rsidR="00623885" w:rsidRPr="00BF385D" w:rsidDel="00A14C29" w:rsidRDefault="00623885" w:rsidP="00623885">
      <w:pPr>
        <w:pStyle w:val="ListParagraph"/>
        <w:numPr>
          <w:ilvl w:val="0"/>
          <w:numId w:val="3"/>
        </w:numPr>
        <w:spacing w:line="240" w:lineRule="auto"/>
        <w:rPr>
          <w:ins w:id="240" w:author="Steve Chan" w:date="2016-09-27T17:52:00Z"/>
          <w:del w:id="241" w:author="Mary Wong" w:date="2016-09-28T13:09:00Z"/>
        </w:rPr>
      </w:pPr>
      <w:ins w:id="242" w:author="Steve Chan" w:date="2016-09-27T17:52:00Z">
        <w:del w:id="243" w:author="Mary Wong" w:date="2016-09-28T13:08:00Z">
          <w:r w:rsidRPr="00BF385D" w:rsidDel="00A14C29">
            <w:rPr>
              <w:kern w:val="24"/>
            </w:rPr>
            <w:delText xml:space="preserve">It needs to be noted however, that </w:delText>
          </w:r>
        </w:del>
        <w:del w:id="244" w:author="Mary Wong" w:date="2016-09-28T13:09:00Z">
          <w:r w:rsidRPr="00BF385D" w:rsidDel="00A14C29">
            <w:rPr>
              <w:kern w:val="24"/>
            </w:rPr>
            <w:delText xml:space="preserve">IGO immunity is not assumed in circumstances where the relevant jurisdiction would not be inclined to afford it (e.g. its courts apply a functional or restrictive approach and regard the activity as beyond the scope of that IGO’s immunity) </w:delText>
          </w:r>
        </w:del>
      </w:ins>
    </w:p>
    <w:p w14:paraId="7B1D1E1A" w14:textId="173D5F8D" w:rsidR="00623885" w:rsidRPr="00351C50" w:rsidRDefault="00623885" w:rsidP="00623885">
      <w:pPr>
        <w:numPr>
          <w:ilvl w:val="0"/>
          <w:numId w:val="3"/>
        </w:numPr>
        <w:spacing w:line="240" w:lineRule="auto"/>
        <w:contextualSpacing/>
        <w:rPr>
          <w:ins w:id="245" w:author="Steve Chan" w:date="2016-09-27T17:52:00Z"/>
        </w:rPr>
      </w:pPr>
      <w:ins w:id="246" w:author="Steve Chan" w:date="2016-09-27T17:52:00Z">
        <w:r w:rsidRPr="00351C50">
          <w:t xml:space="preserve">By vitiating the decision against the registrant in a UDRP or URS in the circumstance where an IGO has successfully claimed jurisdictional immunity, </w:t>
        </w:r>
        <w:del w:id="247" w:author="Mary Wong" w:date="2016-09-28T13:10:00Z">
          <w:r w:rsidRPr="00351C50" w:rsidDel="00A14C29">
            <w:delText>would we avoid creating</w:delText>
          </w:r>
        </w:del>
      </w:ins>
      <w:ins w:id="248" w:author="Mary Wong" w:date="2016-09-28T13:10:00Z">
        <w:r w:rsidR="00A14C29">
          <w:t>this would put the parties in</w:t>
        </w:r>
      </w:ins>
      <w:ins w:id="249" w:author="Steve Chan" w:date="2016-09-27T17:52:00Z">
        <w:r w:rsidRPr="00351C50">
          <w:t xml:space="preserve"> a situation </w:t>
        </w:r>
        <w:del w:id="250" w:author="Mary Wong" w:date="2016-09-28T13:10:00Z">
          <w:r w:rsidRPr="00351C50" w:rsidDel="00A14C29">
            <w:delText>that would not otherwise arise in the absence of</w:delText>
          </w:r>
        </w:del>
      </w:ins>
      <w:ins w:id="251" w:author="Mary Wong" w:date="2016-09-28T13:10:00Z">
        <w:r w:rsidR="00A14C29">
          <w:t>as if</w:t>
        </w:r>
      </w:ins>
      <w:ins w:id="252" w:author="Steve Chan" w:date="2016-09-27T17:52:00Z">
        <w:r w:rsidRPr="00351C50">
          <w:t xml:space="preserve"> the UDRP</w:t>
        </w:r>
        <w:del w:id="253" w:author="Mary Wong" w:date="2016-09-28T13:10:00Z">
          <w:r w:rsidRPr="00351C50" w:rsidDel="00A14C29">
            <w:delText>?</w:delText>
          </w:r>
        </w:del>
      </w:ins>
      <w:ins w:id="254" w:author="Mary Wong" w:date="2016-09-28T13:10:00Z">
        <w:r w:rsidR="00A14C29">
          <w:t xml:space="preserve"> did not exist (or as if a UDRP complaint had never been filed). In other words, the court proceedings would be the sole mechanism to resolve the dispute.</w:t>
        </w:r>
      </w:ins>
      <w:ins w:id="255" w:author="Steve Chan" w:date="2016-09-27T17:52:00Z">
        <w:r w:rsidRPr="00351C50">
          <w:t xml:space="preserve">  </w:t>
        </w:r>
      </w:ins>
    </w:p>
    <w:p w14:paraId="2718CB80" w14:textId="46DBE5B2" w:rsidR="00623885" w:rsidRPr="00351C50" w:rsidRDefault="00A14C29" w:rsidP="00623885">
      <w:pPr>
        <w:numPr>
          <w:ilvl w:val="0"/>
          <w:numId w:val="3"/>
        </w:numPr>
        <w:spacing w:line="240" w:lineRule="auto"/>
        <w:contextualSpacing/>
        <w:rPr>
          <w:ins w:id="256" w:author="Steve Chan" w:date="2016-09-27T17:52:00Z"/>
        </w:rPr>
      </w:pPr>
      <w:ins w:id="257" w:author="Mary Wong" w:date="2016-09-28T13:13:00Z">
        <w:r>
          <w:t>H</w:t>
        </w:r>
      </w:ins>
      <w:ins w:id="258" w:author="Mary Wong" w:date="2016-09-28T13:12:00Z">
        <w:r>
          <w:t>owever,</w:t>
        </w:r>
      </w:ins>
      <w:ins w:id="259" w:author="Mary Wong" w:date="2016-09-28T13:13:00Z">
        <w:r>
          <w:t xml:space="preserve"> would the possibility that a</w:t>
        </w:r>
      </w:ins>
      <w:ins w:id="260" w:author="Steve Chan" w:date="2016-09-27T17:52:00Z">
        <w:del w:id="261" w:author="Mary Wong" w:date="2016-09-28T13:12:00Z">
          <w:r w:rsidR="00623885" w:rsidRPr="00351C50" w:rsidDel="00A14C29">
            <w:delText>B</w:delText>
          </w:r>
        </w:del>
        <w:del w:id="262" w:author="Mary Wong" w:date="2016-09-28T13:13:00Z">
          <w:r w:rsidR="00623885" w:rsidRPr="00351C50" w:rsidDel="00A14C29">
            <w:delText>y</w:delText>
          </w:r>
        </w:del>
        <w:r w:rsidR="00623885" w:rsidRPr="00351C50">
          <w:t xml:space="preserve"> </w:t>
        </w:r>
        <w:del w:id="263" w:author="Mary Wong" w:date="2016-09-28T13:13:00Z">
          <w:r w:rsidR="00623885" w:rsidRPr="00351C50" w:rsidDel="00A14C29">
            <w:delText xml:space="preserve">vitiating the </w:delText>
          </w:r>
        </w:del>
        <w:r w:rsidR="00623885" w:rsidRPr="00351C50">
          <w:t xml:space="preserve">decision against the registrant in a UDRP or URS </w:t>
        </w:r>
      </w:ins>
      <w:ins w:id="264" w:author="Mary Wong" w:date="2016-09-28T13:13:00Z">
        <w:r>
          <w:t xml:space="preserve">may be vitiated, </w:t>
        </w:r>
      </w:ins>
      <w:ins w:id="265" w:author="Steve Chan" w:date="2016-09-27T17:52:00Z">
        <w:r w:rsidR="00623885" w:rsidRPr="00351C50">
          <w:t xml:space="preserve">in the circumstance where an IGO has successfully claimed jurisdictional immunity, </w:t>
        </w:r>
        <w:del w:id="266" w:author="Mary Wong" w:date="2016-09-28T13:14:00Z">
          <w:r w:rsidR="00623885" w:rsidRPr="00351C50" w:rsidDel="00A14C29">
            <w:delText>would we</w:delText>
          </w:r>
        </w:del>
      </w:ins>
      <w:ins w:id="267" w:author="Mary Wong" w:date="2016-09-28T13:14:00Z">
        <w:r>
          <w:t>create a greater incentive for</w:t>
        </w:r>
      </w:ins>
      <w:ins w:id="268" w:author="Steve Chan" w:date="2016-09-27T17:52:00Z">
        <w:del w:id="269" w:author="Mary Wong" w:date="2016-09-28T13:14:00Z">
          <w:r w:rsidR="00623885" w:rsidRPr="00351C50" w:rsidDel="00A14C29">
            <w:delText xml:space="preserve"> encourage</w:delText>
          </w:r>
        </w:del>
        <w:r w:rsidR="00623885" w:rsidRPr="00351C50">
          <w:t xml:space="preserve"> </w:t>
        </w:r>
        <w:del w:id="270" w:author="Mary Wong" w:date="2016-09-28T13:14:00Z">
          <w:r w:rsidR="00623885" w:rsidRPr="00351C50" w:rsidDel="00A14C29">
            <w:delText>the</w:delText>
          </w:r>
        </w:del>
      </w:ins>
      <w:ins w:id="271" w:author="Mary Wong" w:date="2016-09-28T13:14:00Z">
        <w:r>
          <w:t>a</w:t>
        </w:r>
      </w:ins>
      <w:ins w:id="272" w:author="Steve Chan" w:date="2016-09-27T17:52:00Z">
        <w:r w:rsidR="00623885" w:rsidRPr="00351C50">
          <w:t xml:space="preserve"> losing registrant to seek relief in the courts </w:t>
        </w:r>
      </w:ins>
      <w:ins w:id="273" w:author="Mary Wong" w:date="2016-09-28T13:14:00Z">
        <w:r>
          <w:t xml:space="preserve">while at the same time </w:t>
        </w:r>
      </w:ins>
      <w:ins w:id="274" w:author="Steve Chan" w:date="2016-09-27T17:52:00Z">
        <w:del w:id="275" w:author="Mary Wong" w:date="2016-09-28T13:14:00Z">
          <w:r w:rsidR="00623885" w:rsidRPr="00351C50" w:rsidDel="00A14C29">
            <w:delText>(</w:delText>
          </w:r>
        </w:del>
        <w:r w:rsidR="00623885" w:rsidRPr="00351C50">
          <w:t xml:space="preserve">leaving the IGO with minimal choices </w:t>
        </w:r>
        <w:del w:id="276" w:author="Mary Wong" w:date="2016-09-28T13:14:00Z">
          <w:r w:rsidR="00623885" w:rsidRPr="00351C50" w:rsidDel="00A14C29">
            <w:delText xml:space="preserve">– </w:delText>
          </w:r>
        </w:del>
      </w:ins>
      <w:ins w:id="277" w:author="Mary Wong" w:date="2016-09-28T13:14:00Z">
        <w:r>
          <w:t xml:space="preserve">(i.e. </w:t>
        </w:r>
      </w:ins>
      <w:ins w:id="278" w:author="Steve Chan" w:date="2016-09-27T17:52:00Z">
        <w:r w:rsidR="00623885" w:rsidRPr="00351C50">
          <w:t>either waive jurisdictional immunity or seek jurisdictional immunity and thereby have the decision vitiated)?</w:t>
        </w:r>
      </w:ins>
    </w:p>
    <w:p w14:paraId="7D43B14F" w14:textId="2AB33193" w:rsidR="00623885" w:rsidRDefault="00623885" w:rsidP="00623885">
      <w:pPr>
        <w:numPr>
          <w:ilvl w:val="0"/>
          <w:numId w:val="3"/>
        </w:numPr>
        <w:spacing w:line="240" w:lineRule="auto"/>
        <w:contextualSpacing/>
        <w:rPr>
          <w:ins w:id="279" w:author="Mary Wong" w:date="2016-09-28T13:15:00Z"/>
        </w:rPr>
      </w:pPr>
      <w:ins w:id="280" w:author="Steve Chan" w:date="2016-09-27T17:52:00Z">
        <w:del w:id="281" w:author="Mary Wong" w:date="2016-09-28T13:15:00Z">
          <w:r w:rsidRPr="00351C50" w:rsidDel="00A14C29">
            <w:delText>Is the registrant provided</w:delText>
          </w:r>
        </w:del>
      </w:ins>
      <w:ins w:id="282" w:author="Mary Wong" w:date="2016-09-28T13:15:00Z">
        <w:r w:rsidR="00A14C29">
          <w:t>On the other hand, would introducing this possibility ensure that a registrant has</w:t>
        </w:r>
      </w:ins>
      <w:ins w:id="283" w:author="Steve Chan" w:date="2016-09-27T17:52:00Z">
        <w:r w:rsidRPr="00351C50">
          <w:t xml:space="preserve"> adequate paths for recourse?</w:t>
        </w:r>
      </w:ins>
    </w:p>
    <w:p w14:paraId="378193DE" w14:textId="4FA20045" w:rsidR="00A14C29" w:rsidRPr="00351C50" w:rsidRDefault="00A14C29" w:rsidP="00623885">
      <w:pPr>
        <w:numPr>
          <w:ilvl w:val="0"/>
          <w:numId w:val="3"/>
        </w:numPr>
        <w:spacing w:line="240" w:lineRule="auto"/>
        <w:contextualSpacing/>
        <w:rPr>
          <w:ins w:id="284" w:author="Steve Chan" w:date="2016-09-27T17:52:00Z"/>
        </w:rPr>
      </w:pPr>
      <w:ins w:id="285" w:author="Mary Wong" w:date="2016-09-28T13:15:00Z">
        <w:r>
          <w:lastRenderedPageBreak/>
          <w:t xml:space="preserve">In addition, </w:t>
        </w:r>
      </w:ins>
      <w:ins w:id="286" w:author="Mary Wong" w:date="2016-09-28T13:16:00Z">
        <w:r>
          <w:t xml:space="preserve">consideration may need to be given to the legal implications of setting aside a panel determination </w:t>
        </w:r>
        <w:r w:rsidR="00B81B35">
          <w:t>on the basis of a result</w:t>
        </w:r>
        <w:r>
          <w:t xml:space="preserve"> </w:t>
        </w:r>
        <w:r w:rsidR="00B81B35">
          <w:t>in</w:t>
        </w:r>
        <w:r>
          <w:t xml:space="preserve"> an unrelated proceeding</w:t>
        </w:r>
        <w:r w:rsidR="00B81B35">
          <w:t xml:space="preserve"> (i.e. the successful claiming of jurisdictional immunity by an IGO).</w:t>
        </w:r>
      </w:ins>
    </w:p>
    <w:p w14:paraId="6DEDC44B" w14:textId="77777777" w:rsidR="00B90EBB" w:rsidRDefault="00B90EBB">
      <w:pPr>
        <w:rPr>
          <w:ins w:id="287" w:author="Steve Chan" w:date="2016-09-20T16:08:00Z"/>
        </w:rPr>
        <w:pPrChange w:id="288" w:author="Steve Chan" w:date="2016-09-20T16:08:00Z">
          <w:pPr>
            <w:pStyle w:val="ListParagraph"/>
            <w:numPr>
              <w:numId w:val="3"/>
            </w:numPr>
            <w:ind w:hanging="360"/>
          </w:pPr>
        </w:pPrChange>
      </w:pPr>
    </w:p>
    <w:p w14:paraId="5590708C" w14:textId="77777777" w:rsidR="00B90EBB" w:rsidRDefault="00B90EBB">
      <w:pPr>
        <w:rPr>
          <w:ins w:id="289" w:author="Steve Chan" w:date="2016-09-27T17:53:00Z"/>
        </w:rPr>
        <w:pPrChange w:id="290" w:author="Steve Chan" w:date="2016-09-20T16:08:00Z">
          <w:pPr>
            <w:pStyle w:val="ListParagraph"/>
            <w:numPr>
              <w:numId w:val="3"/>
            </w:numPr>
            <w:ind w:hanging="360"/>
          </w:pPr>
        </w:pPrChange>
      </w:pPr>
      <w:ins w:id="291" w:author="Steve Chan" w:date="2016-09-20T16:08:00Z">
        <w:r>
          <w:t>Option 2:</w:t>
        </w:r>
      </w:ins>
    </w:p>
    <w:p w14:paraId="2DC17B1C" w14:textId="77777777" w:rsidR="00623885" w:rsidRPr="00BF385D" w:rsidRDefault="00623885" w:rsidP="00623885">
      <w:pPr>
        <w:rPr>
          <w:ins w:id="292" w:author="Steve Chan" w:date="2016-09-27T17:53:00Z"/>
        </w:rPr>
      </w:pPr>
      <w:ins w:id="293" w:author="Steve Chan" w:date="2016-09-27T17:53:00Z">
        <w:r w:rsidRPr="00BF385D">
          <w:t>“T</w:t>
        </w:r>
        <w:r w:rsidRPr="00351C50">
          <w:t>he decision rendered against the registrant in the predecessor UDRP may be brought before the [name of arbitration entity] for de novo review and judgment</w:t>
        </w:r>
        <w:r w:rsidRPr="00BF385D">
          <w:t>.”</w:t>
        </w:r>
      </w:ins>
    </w:p>
    <w:p w14:paraId="1D883412" w14:textId="77777777" w:rsidR="00623885" w:rsidRDefault="00623885">
      <w:pPr>
        <w:rPr>
          <w:ins w:id="294" w:author="Steve Chan" w:date="2016-09-20T16:08:00Z"/>
        </w:rPr>
        <w:pPrChange w:id="295" w:author="Steve Chan" w:date="2016-09-20T16:08:00Z">
          <w:pPr>
            <w:pStyle w:val="ListParagraph"/>
            <w:numPr>
              <w:numId w:val="3"/>
            </w:numPr>
            <w:ind w:hanging="360"/>
          </w:pPr>
        </w:pPrChange>
      </w:pPr>
    </w:p>
    <w:p w14:paraId="731CD6C6" w14:textId="77B3C8B3" w:rsidR="00B81B35" w:rsidRPr="00B81B35" w:rsidRDefault="00623885" w:rsidP="00B81B35">
      <w:pPr>
        <w:pStyle w:val="NormalWeb"/>
        <w:numPr>
          <w:ilvl w:val="0"/>
          <w:numId w:val="3"/>
        </w:numPr>
        <w:spacing w:before="0" w:beforeAutospacing="0" w:after="0" w:afterAutospacing="0"/>
        <w:rPr>
          <w:ins w:id="296" w:author="Steve Chan" w:date="2016-09-27T17:53:00Z"/>
          <w:rFonts w:ascii="Arial" w:hAnsi="Arial" w:cs="Arial"/>
          <w:sz w:val="22"/>
          <w:szCs w:val="22"/>
          <w:lang w:val="en-US"/>
        </w:rPr>
      </w:pPr>
      <w:ins w:id="297" w:author="Steve Chan" w:date="2016-09-27T17:53:00Z">
        <w:del w:id="298" w:author="Mary Wong" w:date="2016-09-28T13:17:00Z">
          <w:r w:rsidRPr="00BF385D" w:rsidDel="00B81B35">
            <w:rPr>
              <w:rFonts w:ascii="Arial" w:eastAsia="Arial" w:hAnsi="Arial" w:cs="Arial"/>
              <w:bCs/>
              <w:kern w:val="24"/>
              <w:sz w:val="22"/>
              <w:szCs w:val="22"/>
              <w:lang w:val="en-US"/>
            </w:rPr>
            <w:delText>T</w:delText>
          </w:r>
        </w:del>
      </w:ins>
      <w:ins w:id="299" w:author="Mary Wong" w:date="2016-09-28T13:17:00Z">
        <w:r w:rsidR="00B81B35">
          <w:rPr>
            <w:rFonts w:ascii="Arial" w:eastAsia="Arial" w:hAnsi="Arial" w:cs="Arial"/>
            <w:bCs/>
            <w:kern w:val="24"/>
            <w:sz w:val="22"/>
            <w:szCs w:val="22"/>
            <w:lang w:val="en-US"/>
          </w:rPr>
          <w:t>One advantage of t</w:t>
        </w:r>
      </w:ins>
      <w:ins w:id="300" w:author="Steve Chan" w:date="2016-09-27T17:53:00Z">
        <w:r w:rsidRPr="00BF385D">
          <w:rPr>
            <w:rFonts w:ascii="Arial" w:eastAsia="Arial" w:hAnsi="Arial" w:cs="Arial"/>
            <w:bCs/>
            <w:kern w:val="24"/>
            <w:sz w:val="22"/>
            <w:szCs w:val="22"/>
            <w:lang w:val="en-US"/>
          </w:rPr>
          <w:t xml:space="preserve">he option to allow use of an arbitral or </w:t>
        </w:r>
      </w:ins>
      <w:ins w:id="301" w:author="Mary Wong" w:date="2016-09-28T13:17:00Z">
        <w:r w:rsidR="00B81B35">
          <w:rPr>
            <w:rFonts w:ascii="Arial" w:eastAsia="Arial" w:hAnsi="Arial" w:cs="Arial"/>
            <w:bCs/>
            <w:kern w:val="24"/>
            <w:sz w:val="22"/>
            <w:szCs w:val="22"/>
            <w:lang w:val="en-US"/>
          </w:rPr>
          <w:t xml:space="preserve">other </w:t>
        </w:r>
      </w:ins>
      <w:ins w:id="302" w:author="Steve Chan" w:date="2016-09-27T17:53:00Z">
        <w:r w:rsidRPr="00BF385D">
          <w:rPr>
            <w:rFonts w:ascii="Arial" w:eastAsia="Arial" w:hAnsi="Arial" w:cs="Arial"/>
            <w:bCs/>
            <w:kern w:val="24"/>
            <w:sz w:val="22"/>
            <w:szCs w:val="22"/>
            <w:lang w:val="en-US"/>
          </w:rPr>
          <w:t>third party non-judicial process</w:t>
        </w:r>
        <w:del w:id="303" w:author="Mary Wong" w:date="2016-09-28T13:17:00Z">
          <w:r w:rsidRPr="00BF385D" w:rsidDel="00B81B35">
            <w:rPr>
              <w:rFonts w:ascii="Arial" w:eastAsia="Arial" w:hAnsi="Arial" w:cs="Arial"/>
              <w:bCs/>
              <w:kern w:val="24"/>
              <w:sz w:val="22"/>
              <w:szCs w:val="22"/>
              <w:lang w:val="en-US"/>
            </w:rPr>
            <w:delText>,</w:delText>
          </w:r>
        </w:del>
      </w:ins>
      <w:ins w:id="304" w:author="Mary Wong" w:date="2016-09-28T13:17:00Z">
        <w:r w:rsidR="00B81B35">
          <w:rPr>
            <w:rFonts w:ascii="Arial" w:eastAsia="Arial" w:hAnsi="Arial" w:cs="Arial"/>
            <w:bCs/>
            <w:kern w:val="24"/>
            <w:sz w:val="22"/>
            <w:szCs w:val="22"/>
            <w:lang w:val="en-US"/>
          </w:rPr>
          <w:t xml:space="preserve"> is that this mechanism is</w:t>
        </w:r>
      </w:ins>
      <w:ins w:id="305" w:author="Steve Chan" w:date="2016-09-27T17:53:00Z">
        <w:r w:rsidRPr="00BF385D">
          <w:rPr>
            <w:rFonts w:ascii="Arial" w:eastAsia="Arial" w:hAnsi="Arial" w:cs="Arial"/>
            <w:bCs/>
            <w:kern w:val="24"/>
            <w:sz w:val="22"/>
            <w:szCs w:val="22"/>
            <w:lang w:val="en-US"/>
          </w:rPr>
          <w:t xml:space="preserve"> </w:t>
        </w:r>
        <w:r w:rsidRPr="00BF385D">
          <w:rPr>
            <w:rFonts w:ascii="Arial" w:hAnsi="Arial" w:cs="Arial"/>
            <w:sz w:val="22"/>
            <w:szCs w:val="22"/>
            <w:lang w:val="en-US"/>
          </w:rPr>
          <w:t>f</w:t>
        </w:r>
        <w:r w:rsidRPr="00BF385D">
          <w:rPr>
            <w:rFonts w:ascii="Arial" w:eastAsia="Arial" w:hAnsi="Arial" w:cs="Arial"/>
            <w:kern w:val="24"/>
            <w:sz w:val="22"/>
            <w:szCs w:val="22"/>
            <w:lang w:val="en-US"/>
          </w:rPr>
          <w:t>amiliar to IGOs</w:t>
        </w:r>
      </w:ins>
      <w:ins w:id="306" w:author="Mary Wong" w:date="2016-09-28T13:17:00Z">
        <w:r w:rsidR="00B81B35">
          <w:rPr>
            <w:rFonts w:ascii="Arial" w:eastAsia="Arial" w:hAnsi="Arial" w:cs="Arial"/>
            <w:kern w:val="24"/>
            <w:sz w:val="22"/>
            <w:szCs w:val="22"/>
            <w:lang w:val="en-US"/>
          </w:rPr>
          <w:t>, e.g.</w:t>
        </w:r>
      </w:ins>
      <w:ins w:id="307" w:author="Mary Wong" w:date="2016-09-28T13:18:00Z">
        <w:r w:rsidR="00B81B35">
          <w:rPr>
            <w:rFonts w:ascii="Arial" w:eastAsia="Arial" w:hAnsi="Arial" w:cs="Arial"/>
            <w:kern w:val="24"/>
            <w:sz w:val="22"/>
            <w:szCs w:val="22"/>
            <w:lang w:val="en-US"/>
          </w:rPr>
          <w:t xml:space="preserve"> the use of arbitration</w:t>
        </w:r>
      </w:ins>
      <w:ins w:id="308" w:author="Steve Chan" w:date="2016-09-27T17:53:00Z">
        <w:r w:rsidRPr="00BF385D">
          <w:rPr>
            <w:rFonts w:ascii="Arial" w:eastAsia="Arial" w:hAnsi="Arial" w:cs="Arial"/>
            <w:kern w:val="24"/>
            <w:sz w:val="22"/>
            <w:szCs w:val="22"/>
            <w:lang w:val="en-US"/>
          </w:rPr>
          <w:t xml:space="preserve"> in contractual disputes or </w:t>
        </w:r>
      </w:ins>
      <w:ins w:id="309" w:author="Mary Wong" w:date="2016-09-28T13:18:00Z">
        <w:r w:rsidR="00B81B35">
          <w:rPr>
            <w:rFonts w:ascii="Arial" w:eastAsia="Arial" w:hAnsi="Arial" w:cs="Arial"/>
            <w:kern w:val="24"/>
            <w:sz w:val="22"/>
            <w:szCs w:val="22"/>
            <w:lang w:val="en-US"/>
          </w:rPr>
          <w:t xml:space="preserve">proceedings </w:t>
        </w:r>
      </w:ins>
      <w:ins w:id="310" w:author="Steve Chan" w:date="2016-09-27T17:53:00Z">
        <w:r w:rsidRPr="00BF385D">
          <w:rPr>
            <w:rFonts w:ascii="Arial" w:eastAsia="Arial" w:hAnsi="Arial" w:cs="Arial"/>
            <w:kern w:val="24"/>
            <w:sz w:val="22"/>
            <w:szCs w:val="22"/>
            <w:lang w:val="en-US"/>
          </w:rPr>
          <w:t xml:space="preserve">under the </w:t>
        </w:r>
        <w:commentRangeStart w:id="311"/>
        <w:r w:rsidRPr="00BF385D">
          <w:rPr>
            <w:rFonts w:ascii="Arial" w:eastAsia="Arial" w:hAnsi="Arial" w:cs="Arial"/>
            <w:kern w:val="24"/>
            <w:sz w:val="22"/>
            <w:szCs w:val="22"/>
            <w:lang w:val="en-US"/>
          </w:rPr>
          <w:t>United Nations Commission on International Trade Law (UNCITRAL) Rules</w:t>
        </w:r>
        <w:del w:id="312" w:author="Mary Wong" w:date="2016-09-28T13:18:00Z">
          <w:r w:rsidRPr="00BF385D" w:rsidDel="00B81B35">
            <w:rPr>
              <w:rFonts w:ascii="Arial" w:eastAsia="Arial" w:hAnsi="Arial" w:cs="Arial"/>
              <w:bCs/>
              <w:kern w:val="24"/>
              <w:sz w:val="22"/>
              <w:szCs w:val="22"/>
              <w:lang w:val="en-US"/>
            </w:rPr>
            <w:delText xml:space="preserve"> is indicated by GAC representatives as an acceptable solution</w:delText>
          </w:r>
        </w:del>
        <w:r w:rsidRPr="00BF385D">
          <w:rPr>
            <w:rFonts w:ascii="Arial" w:eastAsia="Arial" w:hAnsi="Arial" w:cs="Arial"/>
            <w:bCs/>
            <w:kern w:val="24"/>
            <w:sz w:val="22"/>
            <w:szCs w:val="22"/>
            <w:lang w:val="en-US"/>
          </w:rPr>
          <w:t>.</w:t>
        </w:r>
      </w:ins>
      <w:commentRangeEnd w:id="311"/>
      <w:r w:rsidR="007829EF">
        <w:rPr>
          <w:rStyle w:val="CommentReference"/>
          <w:rFonts w:ascii="Arial" w:eastAsia="Arial" w:hAnsi="Arial" w:cs="Arial"/>
          <w:color w:val="000000"/>
          <w:lang w:val="en-US" w:eastAsia="en-US"/>
        </w:rPr>
        <w:commentReference w:id="311"/>
      </w:r>
    </w:p>
    <w:p w14:paraId="61A0315E" w14:textId="77777777" w:rsidR="00B81B35" w:rsidRPr="00B81B35" w:rsidRDefault="00623885" w:rsidP="00623885">
      <w:pPr>
        <w:pStyle w:val="NormalWeb"/>
        <w:numPr>
          <w:ilvl w:val="0"/>
          <w:numId w:val="3"/>
        </w:numPr>
        <w:spacing w:before="0" w:beforeAutospacing="0" w:after="0" w:afterAutospacing="0"/>
        <w:rPr>
          <w:ins w:id="313" w:author="Mary Wong" w:date="2016-09-28T13:26:00Z"/>
          <w:rFonts w:ascii="Arial" w:hAnsi="Arial" w:cs="Arial"/>
          <w:sz w:val="22"/>
          <w:szCs w:val="22"/>
          <w:lang w:val="en-US"/>
          <w:rPrChange w:id="314" w:author="Mary Wong" w:date="2016-09-28T13:26:00Z">
            <w:rPr>
              <w:ins w:id="315" w:author="Mary Wong" w:date="2016-09-28T13:26:00Z"/>
              <w:rFonts w:ascii="Arial" w:eastAsia="Arial" w:hAnsi="Arial" w:cs="Arial"/>
              <w:kern w:val="24"/>
              <w:sz w:val="22"/>
              <w:szCs w:val="22"/>
              <w:lang w:val="en-US"/>
            </w:rPr>
          </w:rPrChange>
        </w:rPr>
      </w:pPr>
      <w:ins w:id="316" w:author="Steve Chan" w:date="2016-09-27T17:53:00Z">
        <w:del w:id="317" w:author="Mary Wong" w:date="2016-09-28T13:18:00Z">
          <w:r w:rsidRPr="00BF385D" w:rsidDel="00B81B35">
            <w:rPr>
              <w:rFonts w:ascii="Arial" w:eastAsia="Arial" w:hAnsi="Arial" w:cs="Arial"/>
              <w:kern w:val="24"/>
              <w:sz w:val="22"/>
              <w:szCs w:val="22"/>
              <w:lang w:val="en-US"/>
            </w:rPr>
            <w:delText>But</w:delText>
          </w:r>
        </w:del>
      </w:ins>
      <w:ins w:id="318" w:author="Mary Wong" w:date="2016-09-28T13:18:00Z">
        <w:r w:rsidR="00B81B35">
          <w:rPr>
            <w:rFonts w:ascii="Arial" w:eastAsia="Arial" w:hAnsi="Arial" w:cs="Arial"/>
            <w:kern w:val="24"/>
            <w:sz w:val="22"/>
            <w:szCs w:val="22"/>
            <w:lang w:val="en-US"/>
          </w:rPr>
          <w:t>However,</w:t>
        </w:r>
      </w:ins>
      <w:ins w:id="319" w:author="Steve Chan" w:date="2016-09-27T17:53:00Z">
        <w:r w:rsidRPr="00BF385D">
          <w:rPr>
            <w:rFonts w:ascii="Arial" w:eastAsia="Arial" w:hAnsi="Arial" w:cs="Arial"/>
            <w:kern w:val="24"/>
            <w:sz w:val="22"/>
            <w:szCs w:val="22"/>
            <w:lang w:val="en-US"/>
          </w:rPr>
          <w:t xml:space="preserve"> domain name disputes are not contractual arrangements – requiring registrants to agree to such an appeal process could lessen a legitimate registrant’s </w:t>
        </w:r>
      </w:ins>
      <w:ins w:id="320" w:author="Mary Wong" w:date="2016-09-28T13:19:00Z">
        <w:r w:rsidR="00B81B35">
          <w:rPr>
            <w:rFonts w:ascii="Arial" w:eastAsia="Arial" w:hAnsi="Arial" w:cs="Arial"/>
            <w:kern w:val="24"/>
            <w:sz w:val="22"/>
            <w:szCs w:val="22"/>
            <w:lang w:val="en-US"/>
          </w:rPr>
          <w:t>right to seek relief in a court. The registrant</w:t>
        </w:r>
      </w:ins>
      <w:ins w:id="321" w:author="Mary Wong" w:date="2016-09-28T13:20:00Z">
        <w:r w:rsidR="00B81B35">
          <w:rPr>
            <w:rFonts w:ascii="Arial" w:eastAsia="Arial" w:hAnsi="Arial" w:cs="Arial"/>
            <w:kern w:val="24"/>
            <w:sz w:val="22"/>
            <w:szCs w:val="22"/>
            <w:lang w:val="en-US"/>
          </w:rPr>
          <w:t xml:space="preserve">’s agreement to such an appeal mechanism would presumably take the form of a new provision in the domain name registration agreement – this would necessitate a </w:t>
        </w:r>
      </w:ins>
      <w:ins w:id="322" w:author="Mary Wong" w:date="2016-09-28T13:21:00Z">
        <w:r w:rsidR="00B81B35">
          <w:rPr>
            <w:rFonts w:ascii="Arial" w:eastAsia="Arial" w:hAnsi="Arial" w:cs="Arial"/>
            <w:kern w:val="24"/>
            <w:sz w:val="22"/>
            <w:szCs w:val="22"/>
            <w:lang w:val="en-US"/>
          </w:rPr>
          <w:t xml:space="preserve">consensus </w:t>
        </w:r>
      </w:ins>
      <w:ins w:id="323" w:author="Mary Wong" w:date="2016-09-28T13:20:00Z">
        <w:r w:rsidR="00B81B35">
          <w:rPr>
            <w:rFonts w:ascii="Arial" w:eastAsia="Arial" w:hAnsi="Arial" w:cs="Arial"/>
            <w:kern w:val="24"/>
            <w:sz w:val="22"/>
            <w:szCs w:val="22"/>
            <w:lang w:val="en-US"/>
          </w:rPr>
          <w:t xml:space="preserve">policy decision which </w:t>
        </w:r>
      </w:ins>
      <w:ins w:id="324" w:author="Mary Wong" w:date="2016-09-28T13:21:00Z">
        <w:r w:rsidR="00B81B35">
          <w:rPr>
            <w:rFonts w:ascii="Arial" w:eastAsia="Arial" w:hAnsi="Arial" w:cs="Arial"/>
            <w:kern w:val="24"/>
            <w:sz w:val="22"/>
            <w:szCs w:val="22"/>
            <w:lang w:val="en-US"/>
          </w:rPr>
          <w:t xml:space="preserve">would obligate </w:t>
        </w:r>
      </w:ins>
      <w:ins w:id="325" w:author="Mary Wong" w:date="2016-09-28T13:20:00Z">
        <w:r w:rsidR="00B81B35">
          <w:rPr>
            <w:rFonts w:ascii="Arial" w:eastAsia="Arial" w:hAnsi="Arial" w:cs="Arial"/>
            <w:kern w:val="24"/>
            <w:sz w:val="22"/>
            <w:szCs w:val="22"/>
            <w:lang w:val="en-US"/>
          </w:rPr>
          <w:t xml:space="preserve">all ICANN-accredited registrars </w:t>
        </w:r>
      </w:ins>
      <w:ins w:id="326" w:author="Mary Wong" w:date="2016-09-28T13:21:00Z">
        <w:r w:rsidR="00B81B35">
          <w:rPr>
            <w:rFonts w:ascii="Arial" w:eastAsia="Arial" w:hAnsi="Arial" w:cs="Arial"/>
            <w:kern w:val="24"/>
            <w:sz w:val="22"/>
            <w:szCs w:val="22"/>
            <w:lang w:val="en-US"/>
          </w:rPr>
          <w:t>to amend their registration agreements accordingly.</w:t>
        </w:r>
      </w:ins>
    </w:p>
    <w:p w14:paraId="6CEF2576" w14:textId="702947E5" w:rsidR="00623885" w:rsidRPr="00BF385D" w:rsidRDefault="00B81B35" w:rsidP="00623885">
      <w:pPr>
        <w:pStyle w:val="NormalWeb"/>
        <w:numPr>
          <w:ilvl w:val="0"/>
          <w:numId w:val="3"/>
        </w:numPr>
        <w:spacing w:before="0" w:beforeAutospacing="0" w:after="0" w:afterAutospacing="0"/>
        <w:rPr>
          <w:ins w:id="327" w:author="Steve Chan" w:date="2016-09-27T17:53:00Z"/>
          <w:rFonts w:ascii="Arial" w:hAnsi="Arial" w:cs="Arial"/>
          <w:sz w:val="22"/>
          <w:szCs w:val="22"/>
          <w:lang w:val="en-US"/>
        </w:rPr>
      </w:pPr>
      <w:ins w:id="328" w:author="Mary Wong" w:date="2016-09-28T13:26:00Z">
        <w:r w:rsidRPr="00B81B35">
          <w:rPr>
            <w:rFonts w:ascii="Arial" w:eastAsia="Arial" w:hAnsi="Arial" w:cs="Arial"/>
            <w:kern w:val="24"/>
            <w:sz w:val="22"/>
            <w:szCs w:val="22"/>
            <w:lang w:val="en-US"/>
          </w:rPr>
          <w:t xml:space="preserve">A critical question in this reqard is whether the provision of a de novo review in the form or an arbitral or other third party non-judicial mechanism is similar or equivalent in terms of access, fairness and the scope of relief it would offer a registrant compared to seeking relief via the courts. </w:t>
        </w:r>
      </w:ins>
      <w:ins w:id="329" w:author="Steve Chan" w:date="2016-09-27T17:53:00Z">
        <w:del w:id="330" w:author="Mary Wong" w:date="2016-09-28T13:19:00Z">
          <w:r w:rsidR="00623885" w:rsidRPr="00BF385D" w:rsidDel="00B81B35">
            <w:rPr>
              <w:rFonts w:ascii="Arial" w:eastAsia="Arial" w:hAnsi="Arial" w:cs="Arial"/>
              <w:kern w:val="24"/>
              <w:sz w:val="22"/>
              <w:szCs w:val="22"/>
              <w:lang w:val="en-US"/>
            </w:rPr>
            <w:delText>fr</w:delText>
          </w:r>
        </w:del>
        <w:del w:id="331" w:author="Mary Wong" w:date="2016-09-28T13:18:00Z">
          <w:r w:rsidR="00623885" w:rsidRPr="00BF385D" w:rsidDel="00B81B35">
            <w:rPr>
              <w:rFonts w:ascii="Arial" w:eastAsia="Arial" w:hAnsi="Arial" w:cs="Arial"/>
              <w:kern w:val="24"/>
              <w:sz w:val="22"/>
              <w:szCs w:val="22"/>
              <w:lang w:val="en-US"/>
            </w:rPr>
            <w:delText>eedom</w:delText>
          </w:r>
        </w:del>
      </w:ins>
    </w:p>
    <w:p w14:paraId="2D7D022D" w14:textId="649C4813" w:rsidR="00623885" w:rsidRPr="00B81B35" w:rsidRDefault="00623885" w:rsidP="00623885">
      <w:pPr>
        <w:pStyle w:val="NormalWeb"/>
        <w:numPr>
          <w:ilvl w:val="0"/>
          <w:numId w:val="3"/>
        </w:numPr>
        <w:spacing w:before="0" w:beforeAutospacing="0" w:after="0" w:afterAutospacing="0"/>
        <w:rPr>
          <w:ins w:id="332" w:author="Mary Wong" w:date="2016-09-28T13:25:00Z"/>
          <w:rFonts w:ascii="Arial" w:hAnsi="Arial" w:cs="Arial"/>
          <w:sz w:val="22"/>
          <w:szCs w:val="22"/>
          <w:lang w:val="en-US"/>
          <w:rPrChange w:id="333" w:author="Mary Wong" w:date="2016-09-28T13:25:00Z">
            <w:rPr>
              <w:ins w:id="334" w:author="Mary Wong" w:date="2016-09-28T13:25:00Z"/>
              <w:rFonts w:ascii="Arial" w:eastAsia="Arial" w:hAnsi="Arial" w:cs="Arial"/>
              <w:kern w:val="24"/>
              <w:sz w:val="22"/>
              <w:szCs w:val="22"/>
              <w:lang w:val="en-US"/>
            </w:rPr>
          </w:rPrChange>
        </w:rPr>
      </w:pPr>
      <w:ins w:id="335" w:author="Steve Chan" w:date="2016-09-27T17:53:00Z">
        <w:del w:id="336" w:author="Mary Wong" w:date="2016-09-28T13:21:00Z">
          <w:r w:rsidRPr="00BF385D" w:rsidDel="00B81B35">
            <w:rPr>
              <w:rFonts w:ascii="Arial" w:eastAsia="Arial" w:hAnsi="Arial" w:cs="Arial"/>
              <w:kern w:val="24"/>
              <w:sz w:val="22"/>
              <w:szCs w:val="22"/>
              <w:lang w:val="en-US"/>
            </w:rPr>
            <w:delText>There is also a</w:delText>
          </w:r>
        </w:del>
      </w:ins>
      <w:ins w:id="337" w:author="Mary Wong" w:date="2016-09-28T13:21:00Z">
        <w:r w:rsidR="00B81B35">
          <w:rPr>
            <w:rFonts w:ascii="Arial" w:eastAsia="Arial" w:hAnsi="Arial" w:cs="Arial"/>
            <w:kern w:val="24"/>
            <w:sz w:val="22"/>
            <w:szCs w:val="22"/>
            <w:lang w:val="en-US"/>
          </w:rPr>
          <w:t>Consideration will also need to be given to the possible</w:t>
        </w:r>
      </w:ins>
      <w:ins w:id="338" w:author="Steve Chan" w:date="2016-09-27T17:53:00Z">
        <w:r w:rsidRPr="00BF385D">
          <w:rPr>
            <w:rFonts w:ascii="Arial" w:eastAsia="Arial" w:hAnsi="Arial" w:cs="Arial"/>
            <w:kern w:val="24"/>
            <w:sz w:val="22"/>
            <w:szCs w:val="22"/>
            <w:lang w:val="en-US"/>
          </w:rPr>
          <w:t xml:space="preserve"> risk that </w:t>
        </w:r>
        <w:del w:id="339" w:author="Mary Wong" w:date="2016-09-28T13:22:00Z">
          <w:r w:rsidRPr="00BF385D" w:rsidDel="00B81B35">
            <w:rPr>
              <w:rFonts w:ascii="Arial" w:eastAsia="Arial" w:hAnsi="Arial" w:cs="Arial"/>
              <w:kern w:val="24"/>
              <w:sz w:val="22"/>
              <w:szCs w:val="22"/>
              <w:lang w:val="en-US"/>
            </w:rPr>
            <w:delText>such system</w:delText>
          </w:r>
        </w:del>
      </w:ins>
      <w:ins w:id="340" w:author="Mary Wong" w:date="2016-09-28T13:22:00Z">
        <w:r w:rsidR="00B81B35">
          <w:rPr>
            <w:rFonts w:ascii="Arial" w:eastAsia="Arial" w:hAnsi="Arial" w:cs="Arial"/>
            <w:kern w:val="24"/>
            <w:sz w:val="22"/>
            <w:szCs w:val="22"/>
            <w:lang w:val="en-US"/>
          </w:rPr>
          <w:t>limiting appeals to non-judicial avenues</w:t>
        </w:r>
      </w:ins>
      <w:ins w:id="341" w:author="Steve Chan" w:date="2016-09-27T17:53:00Z">
        <w:r w:rsidRPr="00BF385D">
          <w:rPr>
            <w:rFonts w:ascii="Arial" w:eastAsia="Arial" w:hAnsi="Arial" w:cs="Arial"/>
            <w:kern w:val="24"/>
            <w:sz w:val="22"/>
            <w:szCs w:val="22"/>
            <w:lang w:val="en-US"/>
          </w:rPr>
          <w:t xml:space="preserve"> could be challenged in some courts as creating a further exception to IGO immunity</w:t>
        </w:r>
      </w:ins>
      <w:ins w:id="342" w:author="Mary Wong" w:date="2016-09-28T13:22:00Z">
        <w:r w:rsidR="00B81B35">
          <w:rPr>
            <w:rFonts w:ascii="Arial" w:eastAsia="Arial" w:hAnsi="Arial" w:cs="Arial"/>
            <w:kern w:val="24"/>
            <w:sz w:val="22"/>
            <w:szCs w:val="22"/>
            <w:lang w:val="en-US"/>
          </w:rPr>
          <w:t>.</w:t>
        </w:r>
      </w:ins>
    </w:p>
    <w:p w14:paraId="47277BC1" w14:textId="41A691D5" w:rsidR="00B81B35" w:rsidRPr="00BF385D" w:rsidRDefault="00B81B35" w:rsidP="00623885">
      <w:pPr>
        <w:pStyle w:val="NormalWeb"/>
        <w:numPr>
          <w:ilvl w:val="0"/>
          <w:numId w:val="3"/>
        </w:numPr>
        <w:spacing w:before="0" w:beforeAutospacing="0" w:after="0" w:afterAutospacing="0"/>
        <w:rPr>
          <w:ins w:id="343" w:author="Steve Chan" w:date="2016-09-27T17:53:00Z"/>
          <w:rFonts w:ascii="Arial" w:hAnsi="Arial" w:cs="Arial"/>
          <w:sz w:val="22"/>
          <w:szCs w:val="22"/>
          <w:lang w:val="en-US"/>
        </w:rPr>
      </w:pPr>
      <w:ins w:id="344" w:author="Mary Wong" w:date="2016-09-28T13:25:00Z">
        <w:r>
          <w:rPr>
            <w:rFonts w:ascii="Arial" w:eastAsia="Arial" w:hAnsi="Arial" w:cs="Arial"/>
            <w:kern w:val="24"/>
            <w:sz w:val="22"/>
            <w:szCs w:val="22"/>
            <w:lang w:val="en-US"/>
          </w:rPr>
          <w:t xml:space="preserve">Nevertheless, the UNCITRAL Rules and the use of arbitration as a means to resolve commercial disputes are well-established. </w:t>
        </w:r>
      </w:ins>
    </w:p>
    <w:p w14:paraId="2FC937D0" w14:textId="09B0A23D" w:rsidR="00623885" w:rsidRDefault="00623885" w:rsidP="00623885">
      <w:pPr>
        <w:pStyle w:val="NormalWeb"/>
        <w:numPr>
          <w:ilvl w:val="0"/>
          <w:numId w:val="3"/>
        </w:numPr>
        <w:spacing w:before="0" w:beforeAutospacing="0" w:after="0" w:afterAutospacing="0"/>
        <w:rPr>
          <w:ins w:id="345" w:author="Steve Chan" w:date="2016-09-27T17:53:00Z"/>
          <w:rFonts w:ascii="Arial" w:hAnsi="Arial" w:cs="Arial"/>
          <w:sz w:val="22"/>
          <w:szCs w:val="22"/>
          <w:lang w:val="en-US"/>
        </w:rPr>
      </w:pPr>
      <w:ins w:id="346" w:author="Steve Chan" w:date="2016-09-27T17:53:00Z">
        <w:del w:id="347" w:author="Mary Wong" w:date="2016-09-28T13:22:00Z">
          <w:r w:rsidRPr="00BF385D" w:rsidDel="00B81B35">
            <w:rPr>
              <w:rFonts w:ascii="Arial" w:hAnsi="Arial" w:cs="Arial"/>
              <w:sz w:val="22"/>
              <w:szCs w:val="22"/>
              <w:lang w:val="en-US" w:eastAsia="en-US"/>
            </w:rPr>
            <w:delText xml:space="preserve">Would </w:delText>
          </w:r>
        </w:del>
      </w:ins>
      <w:ins w:id="348" w:author="Mary Wong" w:date="2016-09-28T13:22:00Z">
        <w:r w:rsidR="00B81B35">
          <w:rPr>
            <w:rFonts w:ascii="Arial" w:hAnsi="Arial" w:cs="Arial"/>
            <w:sz w:val="22"/>
            <w:szCs w:val="22"/>
            <w:lang w:val="en-US" w:eastAsia="en-US"/>
          </w:rPr>
          <w:t xml:space="preserve">Because </w:t>
        </w:r>
      </w:ins>
      <w:ins w:id="349" w:author="Steve Chan" w:date="2016-09-27T17:53:00Z">
        <w:r w:rsidRPr="00BF385D">
          <w:rPr>
            <w:rFonts w:ascii="Arial" w:hAnsi="Arial" w:cs="Arial"/>
            <w:sz w:val="22"/>
            <w:szCs w:val="22"/>
            <w:lang w:val="en-US" w:eastAsia="en-US"/>
          </w:rPr>
          <w:t xml:space="preserve">an IGO </w:t>
        </w:r>
        <w:del w:id="350" w:author="Mary Wong" w:date="2016-09-28T13:22:00Z">
          <w:r w:rsidRPr="00BF385D" w:rsidDel="00B81B35">
            <w:rPr>
              <w:rFonts w:ascii="Arial" w:hAnsi="Arial" w:cs="Arial"/>
              <w:sz w:val="22"/>
              <w:szCs w:val="22"/>
              <w:lang w:val="en-US" w:eastAsia="en-US"/>
            </w:rPr>
            <w:delText>be</w:delText>
          </w:r>
        </w:del>
      </w:ins>
      <w:ins w:id="351" w:author="Mary Wong" w:date="2016-09-28T13:22:00Z">
        <w:r w:rsidR="00B81B35">
          <w:rPr>
            <w:rFonts w:ascii="Arial" w:hAnsi="Arial" w:cs="Arial"/>
            <w:sz w:val="22"/>
            <w:szCs w:val="22"/>
            <w:lang w:val="en-US" w:eastAsia="en-US"/>
          </w:rPr>
          <w:t>may be</w:t>
        </w:r>
      </w:ins>
      <w:ins w:id="352" w:author="Steve Chan" w:date="2016-09-27T17:53:00Z">
        <w:r w:rsidRPr="00BF385D">
          <w:rPr>
            <w:rFonts w:ascii="Arial" w:hAnsi="Arial" w:cs="Arial"/>
            <w:sz w:val="22"/>
            <w:szCs w:val="22"/>
            <w:lang w:val="en-US" w:eastAsia="en-US"/>
          </w:rPr>
          <w:t xml:space="preserve"> deemed to have already waived</w:t>
        </w:r>
      </w:ins>
      <w:ins w:id="353" w:author="Mary Wong" w:date="2016-09-28T13:22:00Z">
        <w:r w:rsidR="00B81B35">
          <w:rPr>
            <w:rFonts w:ascii="Arial" w:hAnsi="Arial" w:cs="Arial"/>
            <w:sz w:val="22"/>
            <w:szCs w:val="22"/>
            <w:lang w:val="en-US" w:eastAsia="en-US"/>
          </w:rPr>
          <w:t xml:space="preserve"> its</w:t>
        </w:r>
      </w:ins>
      <w:ins w:id="354" w:author="Steve Chan" w:date="2016-09-27T17:53:00Z">
        <w:r w:rsidRPr="00BF385D">
          <w:rPr>
            <w:rFonts w:ascii="Arial" w:hAnsi="Arial" w:cs="Arial"/>
            <w:sz w:val="22"/>
            <w:szCs w:val="22"/>
            <w:lang w:val="en-US" w:eastAsia="en-US"/>
          </w:rPr>
          <w:t xml:space="preserve"> immunity by utilizing the UDRP or URS and accordingly, submitting to the Mutual Jurisdiction clause</w:t>
        </w:r>
        <w:del w:id="355" w:author="Mary Wong" w:date="2016-09-28T13:22:00Z">
          <w:r w:rsidRPr="00BF385D" w:rsidDel="00B81B35">
            <w:rPr>
              <w:rFonts w:ascii="Arial" w:hAnsi="Arial" w:cs="Arial"/>
              <w:sz w:val="22"/>
              <w:szCs w:val="22"/>
              <w:lang w:val="en-US" w:eastAsia="en-US"/>
            </w:rPr>
            <w:delText>?</w:delText>
          </w:r>
        </w:del>
      </w:ins>
      <w:ins w:id="356" w:author="Mary Wong" w:date="2016-09-28T13:22:00Z">
        <w:r w:rsidR="00B81B35">
          <w:rPr>
            <w:rFonts w:ascii="Arial" w:hAnsi="Arial" w:cs="Arial"/>
            <w:sz w:val="22"/>
            <w:szCs w:val="22"/>
            <w:lang w:val="en-US" w:eastAsia="en-US"/>
          </w:rPr>
          <w:t xml:space="preserve">, consideration will also have to be given to amending the UDRP and URS to allow for this new </w:t>
        </w:r>
      </w:ins>
      <w:ins w:id="357" w:author="Mary Wong" w:date="2016-09-28T13:23:00Z">
        <w:r w:rsidR="00B81B35">
          <w:rPr>
            <w:rFonts w:ascii="Arial" w:hAnsi="Arial" w:cs="Arial"/>
            <w:sz w:val="22"/>
            <w:szCs w:val="22"/>
            <w:lang w:val="en-US" w:eastAsia="en-US"/>
          </w:rPr>
          <w:t xml:space="preserve">appeal </w:t>
        </w:r>
      </w:ins>
      <w:ins w:id="358" w:author="Mary Wong" w:date="2016-09-28T13:22:00Z">
        <w:r w:rsidR="00B81B35">
          <w:rPr>
            <w:rFonts w:ascii="Arial" w:hAnsi="Arial" w:cs="Arial"/>
            <w:sz w:val="22"/>
            <w:szCs w:val="22"/>
            <w:lang w:val="en-US" w:eastAsia="en-US"/>
          </w:rPr>
          <w:t>mechanism.</w:t>
        </w:r>
      </w:ins>
    </w:p>
    <w:p w14:paraId="556EFAA2" w14:textId="103879AA" w:rsidR="00623885" w:rsidRPr="00BF385D" w:rsidRDefault="00623885" w:rsidP="00623885">
      <w:pPr>
        <w:pStyle w:val="NormalWeb"/>
        <w:numPr>
          <w:ilvl w:val="0"/>
          <w:numId w:val="3"/>
        </w:numPr>
        <w:spacing w:before="0" w:beforeAutospacing="0" w:after="0" w:afterAutospacing="0"/>
        <w:rPr>
          <w:ins w:id="359" w:author="Steve Chan" w:date="2016-09-27T17:53:00Z"/>
          <w:rFonts w:ascii="Arial" w:hAnsi="Arial" w:cs="Arial"/>
          <w:sz w:val="22"/>
          <w:szCs w:val="22"/>
          <w:lang w:val="en-US"/>
        </w:rPr>
      </w:pPr>
      <w:ins w:id="360" w:author="Steve Chan" w:date="2016-09-27T17:53:00Z">
        <w:del w:id="361" w:author="Mary Wong" w:date="2016-09-28T13:23:00Z">
          <w:r w:rsidRPr="00BF385D" w:rsidDel="00B81B35">
            <w:rPr>
              <w:rFonts w:ascii="Arial" w:hAnsi="Arial" w:cs="Arial"/>
              <w:sz w:val="22"/>
              <w:szCs w:val="22"/>
              <w:lang w:val="en-US" w:eastAsia="en-US"/>
            </w:rPr>
            <w:delText>Is</w:delText>
          </w:r>
        </w:del>
        <w:del w:id="362" w:author="Mary Wong" w:date="2016-09-28T13:26:00Z">
          <w:r w:rsidRPr="00BF385D" w:rsidDel="00B81B35">
            <w:rPr>
              <w:rFonts w:ascii="Arial" w:hAnsi="Arial" w:cs="Arial"/>
              <w:sz w:val="22"/>
              <w:szCs w:val="22"/>
              <w:lang w:val="en-US" w:eastAsia="en-US"/>
            </w:rPr>
            <w:delText xml:space="preserve"> the provision of a de novo review similar or equivalent in the scope of relief it would offer a registrant </w:delText>
          </w:r>
        </w:del>
        <w:del w:id="363" w:author="Mary Wong" w:date="2016-09-28T13:24:00Z">
          <w:r w:rsidRPr="00BF385D" w:rsidDel="00B81B35">
            <w:rPr>
              <w:rFonts w:ascii="Arial" w:hAnsi="Arial" w:cs="Arial"/>
              <w:sz w:val="22"/>
              <w:szCs w:val="22"/>
              <w:lang w:val="en-US" w:eastAsia="en-US"/>
            </w:rPr>
            <w:delText xml:space="preserve">that sought </w:delText>
          </w:r>
        </w:del>
        <w:del w:id="364" w:author="Mary Wong" w:date="2016-09-28T13:26:00Z">
          <w:r w:rsidRPr="00BF385D" w:rsidDel="00B81B35">
            <w:rPr>
              <w:rFonts w:ascii="Arial" w:hAnsi="Arial" w:cs="Arial"/>
              <w:sz w:val="22"/>
              <w:szCs w:val="22"/>
              <w:lang w:val="en-US" w:eastAsia="en-US"/>
            </w:rPr>
            <w:delText>relief via the courts</w:delText>
          </w:r>
        </w:del>
        <w:del w:id="365" w:author="Mary Wong" w:date="2016-09-28T13:24:00Z">
          <w:r w:rsidRPr="00BF385D" w:rsidDel="00B81B35">
            <w:rPr>
              <w:rFonts w:ascii="Arial" w:hAnsi="Arial" w:cs="Arial"/>
              <w:sz w:val="22"/>
              <w:szCs w:val="22"/>
              <w:lang w:val="en-US" w:eastAsia="en-US"/>
            </w:rPr>
            <w:delText>?</w:delText>
          </w:r>
        </w:del>
      </w:ins>
    </w:p>
    <w:p w14:paraId="7E149FEB" w14:textId="77777777" w:rsidR="00B90EBB" w:rsidRDefault="00B90EBB">
      <w:pPr>
        <w:rPr>
          <w:ins w:id="366" w:author="Steve Chan" w:date="2016-09-20T16:09:00Z"/>
        </w:rPr>
        <w:pPrChange w:id="367" w:author="Steve Chan" w:date="2016-09-20T16:09:00Z">
          <w:pPr>
            <w:pStyle w:val="ListParagraph"/>
            <w:numPr>
              <w:numId w:val="3"/>
            </w:numPr>
            <w:ind w:hanging="360"/>
          </w:pPr>
        </w:pPrChange>
      </w:pPr>
    </w:p>
    <w:p w14:paraId="1741DB86" w14:textId="1BB8F8D1" w:rsidR="00623885" w:rsidRDefault="00623885" w:rsidP="00623885">
      <w:pPr>
        <w:rPr>
          <w:ins w:id="368" w:author="Mary Wong" w:date="2016-09-28T13:42:00Z"/>
        </w:rPr>
      </w:pPr>
      <w:ins w:id="369" w:author="Steve Chan" w:date="2016-09-27T17:53:00Z">
        <w:del w:id="370" w:author="Mary Wong" w:date="2016-09-28T13:27:00Z">
          <w:r w:rsidRPr="00351C50" w:rsidDel="007829EF">
            <w:delText>In considering the benefits and drawbacks of each option, t</w:delText>
          </w:r>
        </w:del>
      </w:ins>
      <w:ins w:id="371" w:author="Mary Wong" w:date="2016-09-28T13:27:00Z">
        <w:r w:rsidR="007829EF">
          <w:t>T</w:t>
        </w:r>
      </w:ins>
      <w:ins w:id="372" w:author="Steve Chan" w:date="2016-09-27T17:53:00Z">
        <w:r w:rsidRPr="00351C50">
          <w:t>he W</w:t>
        </w:r>
      </w:ins>
      <w:ins w:id="373" w:author="Mary Wong" w:date="2016-09-28T13:30:00Z">
        <w:r w:rsidR="007829EF">
          <w:t xml:space="preserve">orking </w:t>
        </w:r>
      </w:ins>
      <w:ins w:id="374" w:author="Steve Chan" w:date="2016-09-27T17:53:00Z">
        <w:r w:rsidRPr="00351C50">
          <w:t>G</w:t>
        </w:r>
      </w:ins>
      <w:ins w:id="375" w:author="Mary Wong" w:date="2016-09-28T13:30:00Z">
        <w:r w:rsidR="007829EF">
          <w:t>roup</w:t>
        </w:r>
      </w:ins>
      <w:ins w:id="376" w:author="Steve Chan" w:date="2016-09-27T17:53:00Z">
        <w:r w:rsidRPr="00351C50">
          <w:t xml:space="preserve"> </w:t>
        </w:r>
      </w:ins>
      <w:ins w:id="377" w:author="Mary Wong" w:date="2016-09-28T13:27:00Z">
        <w:r w:rsidR="007829EF">
          <w:t xml:space="preserve">has discussed both options extensively, but </w:t>
        </w:r>
      </w:ins>
      <w:ins w:id="378" w:author="Steve Chan" w:date="2016-09-27T17:53:00Z">
        <w:r w:rsidRPr="00351C50">
          <w:t xml:space="preserve">has not achieved full </w:t>
        </w:r>
      </w:ins>
      <w:ins w:id="379" w:author="Mary Wong" w:date="2016-09-28T13:27:00Z">
        <w:r w:rsidR="007829EF">
          <w:t>consensus on</w:t>
        </w:r>
      </w:ins>
      <w:ins w:id="380" w:author="Steve Chan" w:date="2016-09-27T17:53:00Z">
        <w:del w:id="381" w:author="Mary Wong" w:date="2016-09-28T13:27:00Z">
          <w:r w:rsidRPr="00BF385D" w:rsidDel="007829EF">
            <w:delText xml:space="preserve">conclusion </w:delText>
          </w:r>
          <w:r w:rsidRPr="00351C50" w:rsidDel="007829EF">
            <w:delText>for</w:delText>
          </w:r>
        </w:del>
        <w:r w:rsidRPr="00351C50">
          <w:t xml:space="preserve"> either option</w:t>
        </w:r>
        <w:del w:id="382" w:author="Mary Wong" w:date="2016-09-28T13:27:00Z">
          <w:r w:rsidRPr="00351C50" w:rsidDel="007829EF">
            <w:delText>, though it has reached</w:delText>
          </w:r>
        </w:del>
      </w:ins>
      <w:ins w:id="383" w:author="Mary Wong" w:date="2016-09-28T13:27:00Z">
        <w:r w:rsidR="007829EF">
          <w:t>. However, at the time of publication of this Initial Report, there is</w:t>
        </w:r>
      </w:ins>
      <w:ins w:id="384" w:author="Steve Chan" w:date="2016-09-27T17:53:00Z">
        <w:r w:rsidRPr="00351C50">
          <w:t xml:space="preserve"> </w:t>
        </w:r>
        <w:commentRangeStart w:id="385"/>
        <w:r w:rsidRPr="00351C50">
          <w:t>rough c</w:t>
        </w:r>
        <w:r w:rsidRPr="00BF385D">
          <w:t>onsensus</w:t>
        </w:r>
      </w:ins>
      <w:commentRangeEnd w:id="385"/>
      <w:r w:rsidR="007829EF">
        <w:rPr>
          <w:rStyle w:val="CommentReference"/>
        </w:rPr>
        <w:commentReference w:id="385"/>
      </w:r>
      <w:ins w:id="386" w:author="Steve Chan" w:date="2016-09-27T17:53:00Z">
        <w:r w:rsidRPr="00BF385D">
          <w:t xml:space="preserve"> in support of Option 1.</w:t>
        </w:r>
        <w:del w:id="387" w:author="Mary Wong" w:date="2016-09-28T13:29:00Z">
          <w:r w:rsidDel="007829EF">
            <w:delText>]</w:delText>
          </w:r>
        </w:del>
      </w:ins>
      <w:ins w:id="388" w:author="Mary Wong" w:date="2016-09-28T13:29:00Z">
        <w:r w:rsidR="007829EF">
          <w:t xml:space="preserve"> Following community feedback on this point, the Working Group will conduct a consensus call to try to determine the level of consensus on a particular approach.</w:t>
        </w:r>
      </w:ins>
    </w:p>
    <w:p w14:paraId="51B87A0D" w14:textId="77777777" w:rsidR="004E6777" w:rsidRDefault="004E6777" w:rsidP="00623885">
      <w:pPr>
        <w:rPr>
          <w:ins w:id="389" w:author="Mary Wong" w:date="2016-09-28T13:42:00Z"/>
        </w:rPr>
      </w:pPr>
    </w:p>
    <w:p w14:paraId="0463A419" w14:textId="77777777" w:rsidR="004E6777" w:rsidRPr="004E6777" w:rsidRDefault="004E6777" w:rsidP="004E6777">
      <w:pPr>
        <w:rPr>
          <w:ins w:id="390" w:author="Mary Wong" w:date="2016-09-28T13:43:00Z"/>
        </w:rPr>
      </w:pPr>
      <w:ins w:id="391" w:author="Mary Wong" w:date="2016-09-28T13:43:00Z">
        <w:r w:rsidRPr="004E6777">
          <w:t>In considering options, such as recommending that the only method for appeal of a UDRP or URS decision is to be arbitration, the Working Group recognizes that it lacks the authority to compel a national court to accept such a policy – the court could ignore ICANN’s policy and allow for the consideration of the appeal.</w:t>
        </w:r>
      </w:ins>
    </w:p>
    <w:p w14:paraId="2D2F2322" w14:textId="77777777" w:rsidR="004E6777" w:rsidRPr="00351C50" w:rsidDel="004E6777" w:rsidRDefault="004E6777" w:rsidP="00623885">
      <w:pPr>
        <w:rPr>
          <w:ins w:id="392" w:author="Steve Chan" w:date="2016-09-27T17:53:00Z"/>
          <w:del w:id="393" w:author="Mary Wong" w:date="2016-09-28T13:43:00Z"/>
        </w:rPr>
      </w:pPr>
    </w:p>
    <w:p w14:paraId="50A82333" w14:textId="77777777" w:rsidR="001B6C38" w:rsidRDefault="00442AE9">
      <w:r>
        <w:rPr>
          <w:b/>
        </w:rPr>
        <w:t xml:space="preserve"> </w:t>
      </w:r>
    </w:p>
    <w:p w14:paraId="5D5B3C8F" w14:textId="33AEC7BA" w:rsidR="001B6C38" w:rsidDel="007829EF" w:rsidRDefault="00442AE9">
      <w:pPr>
        <w:rPr>
          <w:del w:id="394" w:author="Mary Wong" w:date="2016-09-28T13:28:00Z"/>
        </w:rPr>
      </w:pPr>
      <w:del w:id="395" w:author="Mary Wong" w:date="2016-09-28T13:28:00Z">
        <w:r w:rsidDel="007829EF">
          <w:delText>For the purposes of understanding the scope and limitations of public international law in relation to the issue of IGO jurisdictional immunity, the Working Group requested that ICANN engage an external legal expert to advise the Working Group of the current state of the law on this topic. Professor Edward Swaine of George Washington University in the USA was engaged following a detailed evaluation by the Working Group of the qualifications of other interested candidates</w:delText>
        </w:r>
      </w:del>
      <w:ins w:id="396" w:author="Steve Chan" w:date="2016-09-20T16:27:00Z">
        <w:del w:id="397" w:author="Mary Wong" w:date="2016-09-28T13:28:00Z">
          <w:r w:rsidR="0051745F" w:rsidDel="007829EF">
            <w:rPr>
              <w:rStyle w:val="FootnoteReference"/>
            </w:rPr>
            <w:footnoteReference w:id="8"/>
          </w:r>
        </w:del>
      </w:ins>
      <w:del w:id="401" w:author="Mary Wong" w:date="2016-09-28T13:28:00Z">
        <w:r w:rsidDel="007829EF">
          <w:rPr>
            <w:rFonts w:ascii="Calibri" w:eastAsia="Calibri" w:hAnsi="Calibri" w:cs="Calibri"/>
            <w:sz w:val="24"/>
            <w:szCs w:val="24"/>
          </w:rPr>
          <w:delText>[7]</w:delText>
        </w:r>
        <w:r w:rsidDel="007829EF">
          <w:delText>.</w:delText>
        </w:r>
      </w:del>
    </w:p>
    <w:p w14:paraId="102F1C69" w14:textId="5330F233" w:rsidR="001B6C38" w:rsidRDefault="00442AE9">
      <w:del w:id="402" w:author="Mary Wong" w:date="2016-09-28T13:28:00Z">
        <w:r w:rsidDel="007829EF">
          <w:delText xml:space="preserve"> </w:delText>
        </w:r>
      </w:del>
    </w:p>
    <w:p w14:paraId="7A618F2E" w14:textId="77777777" w:rsidR="001B6C38" w:rsidRDefault="00442AE9">
      <w:r>
        <w:rPr>
          <w:b/>
        </w:rPr>
        <w:t>Notes on the Working Group’s consultation with an external legal expert on the issue of IGO jurisdictional immunity</w:t>
      </w:r>
    </w:p>
    <w:p w14:paraId="0BBEC9E8" w14:textId="77777777" w:rsidR="001B6C38" w:rsidRDefault="00442AE9">
      <w:r>
        <w:lastRenderedPageBreak/>
        <w:t xml:space="preserve"> </w:t>
      </w:r>
    </w:p>
    <w:p w14:paraId="17C8813F" w14:textId="0B417B71" w:rsidR="007829EF" w:rsidRDefault="007829EF">
      <w:pPr>
        <w:rPr>
          <w:ins w:id="403" w:author="Mary Wong" w:date="2016-09-28T13:28:00Z"/>
        </w:rPr>
      </w:pPr>
      <w:ins w:id="404" w:author="Mary Wong" w:date="2016-09-28T13:28:00Z">
        <w:r w:rsidRPr="007829EF">
          <w:t>For the purposes of understanding the scope and limitations of public international law in relation to the issue of IGO jurisdictional immunity, the Working Group requested that ICANN engage an external legal expert to advise the Working Group of the current state of the law on this topic. Professor Edward Swaine of George Washington University in the USA was engaged following a detailed evaluation by the Working Group of the qualifications of other interested candidates</w:t>
        </w:r>
        <w:r w:rsidRPr="007829EF">
          <w:rPr>
            <w:vertAlign w:val="superscript"/>
          </w:rPr>
          <w:footnoteReference w:id="9"/>
        </w:r>
        <w:r w:rsidRPr="007829EF">
          <w:t>.</w:t>
        </w:r>
      </w:ins>
    </w:p>
    <w:p w14:paraId="021304E3" w14:textId="77777777" w:rsidR="007829EF" w:rsidRDefault="007829EF">
      <w:pPr>
        <w:rPr>
          <w:ins w:id="405" w:author="Mary Wong" w:date="2016-09-28T13:28:00Z"/>
        </w:rPr>
      </w:pPr>
    </w:p>
    <w:p w14:paraId="315475DD" w14:textId="44704865" w:rsidR="001B6C38" w:rsidRDefault="00442AE9">
      <w:r>
        <w:t>Professor Swaine’s final expert opinion was delivered to the Working Group in June 2016</w:t>
      </w:r>
      <w:ins w:id="406" w:author="Steve Chan" w:date="2016-09-20T16:28:00Z">
        <w:r w:rsidR="0051745F">
          <w:rPr>
            <w:rStyle w:val="FootnoteReference"/>
          </w:rPr>
          <w:footnoteReference w:id="10"/>
        </w:r>
      </w:ins>
      <w:del w:id="407" w:author="Steve Chan" w:date="2016-09-20T16:28:00Z">
        <w:r w:rsidDel="0051745F">
          <w:rPr>
            <w:rFonts w:ascii="Calibri" w:eastAsia="Calibri" w:hAnsi="Calibri" w:cs="Calibri"/>
            <w:sz w:val="24"/>
            <w:szCs w:val="24"/>
          </w:rPr>
          <w:delText>[8]</w:delText>
        </w:r>
      </w:del>
      <w:r>
        <w:t>. In sum, Professor Swaine’s opinion was that:</w:t>
      </w:r>
    </w:p>
    <w:p w14:paraId="103A7C0D" w14:textId="77777777" w:rsidR="001B6C38" w:rsidRDefault="00442AE9">
      <w:r>
        <w:t xml:space="preserve"> </w:t>
      </w:r>
    </w:p>
    <w:p w14:paraId="2EB5AD41" w14:textId="77777777" w:rsidR="001B6C38" w:rsidRDefault="00442AE9">
      <w:r>
        <w:rPr>
          <w:i/>
        </w:rPr>
        <w:t>There is no single universal rule that is applicable to IGOs’ jurisdictional immunity globally. Rather, such immunity is essentially contextual - IGOs generally enjoy immunity under international law, but different jurisdictions apply the law differently, and even within the same jurisdiction different IGOs may be treated differently:</w:t>
      </w:r>
    </w:p>
    <w:p w14:paraId="0AC468BD"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Immunity obligations vary by state and by IGO concerned;</w:t>
      </w:r>
    </w:p>
    <w:p w14:paraId="2BF2D122"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Immunity decisions are often based on organization-specific treaties to which not all states are party;</w:t>
      </w:r>
    </w:p>
    <w:p w14:paraId="1D4DE137"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States subject to the same international obligations may implement them in varying ways; and</w:t>
      </w:r>
    </w:p>
    <w:p w14:paraId="4FC5C8FB"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Every jurisdiction resolves immunity questions according to its own law (the “law of the forum”, as informed by international law)</w:t>
      </w:r>
    </w:p>
    <w:p w14:paraId="71BC2264" w14:textId="77777777" w:rsidR="001B6C38" w:rsidRDefault="00442AE9">
      <w:r>
        <w:rPr>
          <w:i/>
        </w:rPr>
        <w:t xml:space="preserve"> </w:t>
      </w:r>
    </w:p>
    <w:p w14:paraId="59805508" w14:textId="77777777" w:rsidR="001B6C38" w:rsidRDefault="00442AE9">
      <w:r>
        <w:rPr>
          <w:i/>
        </w:rPr>
        <w:t>On the other hand, under the UDRP and URS, a complainant is compelled to consent to a Mutual Jurisdiction</w:t>
      </w:r>
      <w:r>
        <w:rPr>
          <w:b/>
          <w:i/>
        </w:rPr>
        <w:t xml:space="preserve"> </w:t>
      </w:r>
      <w:r>
        <w:rPr>
          <w:i/>
        </w:rPr>
        <w:t>(defined as either the domain name registrar or registrant) for purposes of an appeal from a panel’s initial determination of a complaint. Thus, an IGO that files a complaint will therefore have agreed to the possibility of a judicial process, regardless of any immunity it might otherwise enjoy under international law.</w:t>
      </w:r>
    </w:p>
    <w:p w14:paraId="2B4AF3BE" w14:textId="77777777" w:rsidR="001B6C38" w:rsidRDefault="00442AE9">
      <w:r>
        <w:t xml:space="preserve"> </w:t>
      </w:r>
    </w:p>
    <w:p w14:paraId="75757FB6" w14:textId="17B1C2E2" w:rsidR="001B6C38" w:rsidRDefault="00442AE9">
      <w:pPr>
        <w:rPr>
          <w:ins w:id="408" w:author="Steve Chan" w:date="2016-09-27T18:31:00Z"/>
        </w:rPr>
      </w:pPr>
      <w:r>
        <w:t xml:space="preserve">According to Professor Swaine, under current international law principles as understood generally, there are three types of jurisdictional immunity which an IGO might claim – absolute, restrictive and functional. An IGO that is entitled to absolute immunity would be entitled to comprehensive immunity from judicial process, irrespective of the nature of the IGO’s activity, in the absence of an express (and strictly construed) waiver (for example, the United Nations and other IGOs protected in certain States by specific treaties binding those States, or bilateral arrangements between States). Under a restrictive immunity approach, however, an exception from absolute immunity is made for litigation concerning commercial activities like those undertaken by private parties – however, with the notable exception of the United States, relatively few states have adopted this approach. </w:t>
      </w:r>
      <w:ins w:id="409" w:author="Steve Chan" w:date="2016-09-27T18:05:00Z">
        <w:r w:rsidR="004A15C7">
          <w:t xml:space="preserve">The Working Group notes </w:t>
        </w:r>
      </w:ins>
      <w:ins w:id="410" w:author="Mary Wong" w:date="2016-09-28T13:30:00Z">
        <w:r w:rsidR="007829EF">
          <w:t xml:space="preserve">in this regard </w:t>
        </w:r>
      </w:ins>
      <w:ins w:id="411" w:author="Steve Chan" w:date="2016-09-27T18:05:00Z">
        <w:r w:rsidR="004A15C7">
          <w:t xml:space="preserve">that </w:t>
        </w:r>
        <w:r w:rsidR="00397BD8">
          <w:t xml:space="preserve">the UDRP and URS </w:t>
        </w:r>
      </w:ins>
      <w:ins w:id="412" w:author="Mary Wong" w:date="2016-09-28T13:32:00Z">
        <w:r w:rsidR="007829EF">
          <w:t xml:space="preserve">were designed to </w:t>
        </w:r>
      </w:ins>
      <w:ins w:id="413" w:author="Steve Chan" w:date="2016-09-27T18:05:00Z">
        <w:del w:id="414" w:author="Mary Wong" w:date="2016-09-28T13:31:00Z">
          <w:r w:rsidR="00397BD8" w:rsidDel="007829EF">
            <w:delText xml:space="preserve">are </w:delText>
          </w:r>
        </w:del>
      </w:ins>
      <w:ins w:id="415" w:author="Steve Chan" w:date="2016-09-27T18:06:00Z">
        <w:del w:id="416" w:author="Mary Wong" w:date="2016-09-28T13:31:00Z">
          <w:r w:rsidR="00397BD8" w:rsidDel="007829EF">
            <w:delText>in regards to</w:delText>
          </w:r>
        </w:del>
      </w:ins>
      <w:ins w:id="417" w:author="Mary Wong" w:date="2016-09-28T13:31:00Z">
        <w:r w:rsidR="007829EF">
          <w:t>apply to</w:t>
        </w:r>
      </w:ins>
      <w:ins w:id="418" w:author="Steve Chan" w:date="2016-09-27T18:05:00Z">
        <w:r w:rsidR="00397BD8">
          <w:t xml:space="preserve"> trademark </w:t>
        </w:r>
      </w:ins>
      <w:ins w:id="419" w:author="Steve Chan" w:date="2016-09-27T18:06:00Z">
        <w:r w:rsidR="00397BD8">
          <w:t>related disputes</w:t>
        </w:r>
      </w:ins>
      <w:ins w:id="420" w:author="Mary Wong" w:date="2016-09-28T13:31:00Z">
        <w:r w:rsidR="007829EF">
          <w:t xml:space="preserve">, which </w:t>
        </w:r>
      </w:ins>
      <w:ins w:id="421" w:author="Steve Chan" w:date="2016-09-27T18:06:00Z">
        <w:del w:id="422" w:author="Mary Wong" w:date="2016-09-28T13:31:00Z">
          <w:r w:rsidR="00397BD8" w:rsidDel="007829EF">
            <w:delText xml:space="preserve"> and that trademark disputes </w:delText>
          </w:r>
        </w:del>
        <w:r w:rsidR="00397BD8">
          <w:t xml:space="preserve">are generally </w:t>
        </w:r>
        <w:r w:rsidR="00397BD8">
          <w:lastRenderedPageBreak/>
          <w:t xml:space="preserve">viewed as commercial </w:t>
        </w:r>
      </w:ins>
      <w:ins w:id="423" w:author="Steve Chan" w:date="2016-09-27T18:20:00Z">
        <w:r w:rsidR="006E1CE7">
          <w:t>in nature</w:t>
        </w:r>
      </w:ins>
      <w:commentRangeStart w:id="424"/>
      <w:commentRangeStart w:id="425"/>
      <w:ins w:id="426" w:author="Steve Chan" w:date="2016-09-27T18:06:00Z">
        <w:r w:rsidR="00E0444A">
          <w:t>.</w:t>
        </w:r>
      </w:ins>
      <w:commentRangeEnd w:id="424"/>
      <w:ins w:id="427" w:author="Steve Chan" w:date="2016-09-27T18:21:00Z">
        <w:r w:rsidR="00E0444A">
          <w:rPr>
            <w:rStyle w:val="CommentReference"/>
          </w:rPr>
          <w:commentReference w:id="424"/>
        </w:r>
      </w:ins>
      <w:commentRangeEnd w:id="425"/>
      <w:r w:rsidR="007829EF">
        <w:rPr>
          <w:rStyle w:val="CommentReference"/>
        </w:rPr>
        <w:commentReference w:id="425"/>
      </w:r>
      <w:ins w:id="428" w:author="Steve Chan" w:date="2016-09-27T18:06:00Z">
        <w:r w:rsidR="00E0444A">
          <w:t xml:space="preserve"> </w:t>
        </w:r>
      </w:ins>
      <w:r>
        <w:t>Finally, under a functional immunity approach, an IGO’s immunity with respect to a particular jurisdiction is limited to the functions of the IGO in question. For example, certain jurisdictions may have legislative language which limit the extent of IGO jurisdictional immunity to the “privileges and immunities as are reasonably necessary for the fulfilment of their functions”. While a functional immunity approach can overlap with a restrictive immunity approach, the distinction may be critical – for instance, a non-infringing use of its domain may be necessary for</w:t>
      </w:r>
      <w:ins w:id="429" w:author="Steve Chan" w:date="2016-09-27T18:18:00Z">
        <w:r w:rsidR="00731D70">
          <w:t xml:space="preserve"> an</w:t>
        </w:r>
      </w:ins>
      <w:r>
        <w:t xml:space="preserve"> IGO to carry out its mission regardless of whether the activities are commercial or not in nature.</w:t>
      </w:r>
      <w:ins w:id="430" w:author="Steve Chan" w:date="2016-09-27T18:23:00Z">
        <w:r w:rsidR="00E0444A">
          <w:t xml:space="preserve"> However, </w:t>
        </w:r>
        <w:r w:rsidR="00423FE4">
          <w:t>without discounting the importance of loss of monies,</w:t>
        </w:r>
      </w:ins>
      <w:ins w:id="431" w:author="Steve Chan" w:date="2016-09-27T18:24:00Z">
        <w:r w:rsidR="00423FE4">
          <w:t xml:space="preserve"> impact to reputation,</w:t>
        </w:r>
      </w:ins>
      <w:ins w:id="432" w:author="Steve Chan" w:date="2016-09-27T18:23:00Z">
        <w:r w:rsidR="00423FE4">
          <w:t xml:space="preserve"> or other </w:t>
        </w:r>
        <w:del w:id="433" w:author="Mary Wong" w:date="2016-09-28T13:34:00Z">
          <w:r w:rsidR="00423FE4" w:rsidDel="007829EF">
            <w:delText xml:space="preserve">harmful </w:delText>
          </w:r>
        </w:del>
      </w:ins>
      <w:ins w:id="434" w:author="Steve Chan" w:date="2016-09-27T18:24:00Z">
        <w:del w:id="435" w:author="Mary Wong" w:date="2016-09-28T13:34:00Z">
          <w:r w:rsidR="004374BB" w:rsidDel="007829EF">
            <w:delText>things</w:delText>
          </w:r>
        </w:del>
      </w:ins>
      <w:ins w:id="436" w:author="Mary Wong" w:date="2016-09-28T13:34:00Z">
        <w:r w:rsidR="007829EF">
          <w:t>harms</w:t>
        </w:r>
      </w:ins>
      <w:ins w:id="437" w:author="Steve Chan" w:date="2016-09-27T18:24:00Z">
        <w:r w:rsidR="004374BB">
          <w:t xml:space="preserve"> that may result from an</w:t>
        </w:r>
        <w:r w:rsidR="00423FE4">
          <w:t xml:space="preserve"> infringed domain, </w:t>
        </w:r>
      </w:ins>
      <w:ins w:id="438" w:author="Steve Chan" w:date="2016-09-27T18:26:00Z">
        <w:r w:rsidR="004374BB">
          <w:t xml:space="preserve">the Working Group </w:t>
        </w:r>
        <w:del w:id="439" w:author="Mary Wong" w:date="2016-09-28T13:36:00Z">
          <w:r w:rsidR="004374BB" w:rsidDel="007829EF">
            <w:delText xml:space="preserve">questions whether an IGO </w:delText>
          </w:r>
        </w:del>
      </w:ins>
      <w:ins w:id="440" w:author="Mary Wong" w:date="2016-09-28T13:36:00Z">
        <w:r w:rsidR="007829EF">
          <w:t xml:space="preserve">is not able to say for certain that a third party’s infringing registration of a domain name </w:t>
        </w:r>
      </w:ins>
      <w:ins w:id="441" w:author="Steve Chan" w:date="2016-09-27T18:26:00Z">
        <w:r w:rsidR="004374BB">
          <w:t xml:space="preserve">would necessarily </w:t>
        </w:r>
        <w:del w:id="442" w:author="Mary Wong" w:date="2016-09-28T13:36:00Z">
          <w:r w:rsidR="004374BB" w:rsidDel="007829EF">
            <w:delText xml:space="preserve">be </w:delText>
          </w:r>
        </w:del>
        <w:r w:rsidR="004374BB">
          <w:t>impede</w:t>
        </w:r>
      </w:ins>
      <w:ins w:id="443" w:author="Mary Wong" w:date="2016-09-28T13:36:00Z">
        <w:r w:rsidR="007829EF">
          <w:t xml:space="preserve"> an IGO</w:t>
        </w:r>
      </w:ins>
      <w:ins w:id="444" w:author="Steve Chan" w:date="2016-09-27T18:26:00Z">
        <w:del w:id="445" w:author="Mary Wong" w:date="2016-09-28T13:36:00Z">
          <w:r w:rsidR="004374BB" w:rsidDel="007829EF">
            <w:delText>d</w:delText>
          </w:r>
        </w:del>
        <w:r w:rsidR="004374BB">
          <w:t xml:space="preserve"> in carrying out its core mission</w:t>
        </w:r>
      </w:ins>
      <w:ins w:id="446" w:author="Mary Wong" w:date="2016-09-28T13:36:00Z">
        <w:r w:rsidR="007829EF">
          <w:t xml:space="preserve"> within the scope of a functional immunity inquiry</w:t>
        </w:r>
      </w:ins>
      <w:ins w:id="447" w:author="Steve Chan" w:date="2016-09-27T18:26:00Z">
        <w:r w:rsidR="004374BB">
          <w:t>.</w:t>
        </w:r>
      </w:ins>
    </w:p>
    <w:p w14:paraId="469BAB46" w14:textId="77777777" w:rsidR="008D7C16" w:rsidRDefault="008D7C16">
      <w:pPr>
        <w:rPr>
          <w:ins w:id="448" w:author="Steve Chan" w:date="2016-09-27T18:31:00Z"/>
        </w:rPr>
      </w:pPr>
    </w:p>
    <w:p w14:paraId="120F0D37" w14:textId="5D5B4CC1" w:rsidR="008D7C16" w:rsidRPr="008D7C16" w:rsidRDefault="00EC3236">
      <w:ins w:id="449" w:author="Steve Chan" w:date="2016-09-27T18:31:00Z">
        <w:r>
          <w:t>T</w:t>
        </w:r>
        <w:r w:rsidR="008D7C16">
          <w:t>he Working Group agreed with Professor Swaine’s assessment and concluded that “</w:t>
        </w:r>
        <w:r w:rsidR="008D7C16">
          <w:rPr>
            <w:i/>
          </w:rPr>
          <w:t xml:space="preserve">there is no single universal rule that is applicable to IGOs’ jurisdictional immunity globally.” </w:t>
        </w:r>
        <w:r w:rsidR="008D7C16">
          <w:t xml:space="preserve">This lack of a universal rule </w:t>
        </w:r>
      </w:ins>
      <w:ins w:id="450" w:author="Steve Chan" w:date="2016-09-27T18:38:00Z">
        <w:r>
          <w:t xml:space="preserve">made it </w:t>
        </w:r>
      </w:ins>
      <w:ins w:id="451" w:author="Steve Chan" w:date="2016-09-27T18:35:00Z">
        <w:r w:rsidR="008D7C16">
          <w:t>challeng</w:t>
        </w:r>
      </w:ins>
      <w:ins w:id="452" w:author="Steve Chan" w:date="2016-09-27T18:38:00Z">
        <w:r>
          <w:t xml:space="preserve">ing to justify declaring the mutual jurisdiction provisions in the UDRP and URS inapplicable </w:t>
        </w:r>
      </w:ins>
      <w:ins w:id="453" w:author="Steve Chan" w:date="2016-09-27T18:39:00Z">
        <w:r>
          <w:t xml:space="preserve">to IGOs, as </w:t>
        </w:r>
      </w:ins>
      <w:ins w:id="454" w:author="Steve Chan" w:date="2016-09-27T18:32:00Z">
        <w:r w:rsidR="008D7C16">
          <w:t>an IGO</w:t>
        </w:r>
      </w:ins>
      <w:ins w:id="455" w:author="Steve Chan" w:date="2016-09-27T18:33:00Z">
        <w:r w:rsidR="008D7C16">
          <w:t xml:space="preserve">’s immunity is highly dependent upon </w:t>
        </w:r>
      </w:ins>
      <w:ins w:id="456" w:author="Steve Chan" w:date="2016-09-27T18:34:00Z">
        <w:r w:rsidR="008D7C16">
          <w:t>the particular jurisdiction</w:t>
        </w:r>
        <w:del w:id="457" w:author="Mary Wong" w:date="2016-09-28T13:37:00Z">
          <w:r w:rsidR="008D7C16" w:rsidDel="00DF7DD0">
            <w:delText>,</w:delText>
          </w:r>
        </w:del>
      </w:ins>
      <w:ins w:id="458" w:author="Mary Wong" w:date="2016-09-28T13:37:00Z">
        <w:r w:rsidR="00DF7DD0">
          <w:t xml:space="preserve"> and</w:t>
        </w:r>
      </w:ins>
      <w:ins w:id="459" w:author="Steve Chan" w:date="2016-09-27T18:34:00Z">
        <w:r w:rsidR="008D7C16">
          <w:t xml:space="preserve"> the nature of the specific IGO, amongst</w:t>
        </w:r>
        <w:del w:id="460" w:author="Mary Wong" w:date="2016-09-28T13:37:00Z">
          <w:r w:rsidR="008D7C16" w:rsidDel="00DF7DD0">
            <w:delText xml:space="preserve"> perhaps</w:delText>
          </w:r>
        </w:del>
        <w:r w:rsidR="008D7C16">
          <w:t xml:space="preserve"> other factors.</w:t>
        </w:r>
      </w:ins>
      <w:ins w:id="461" w:author="Steve Chan" w:date="2016-09-27T18:35:00Z">
        <w:r w:rsidR="008D7C16">
          <w:t xml:space="preserve"> </w:t>
        </w:r>
      </w:ins>
      <w:ins w:id="462" w:author="Steve Chan" w:date="2016-09-27T18:40:00Z">
        <w:r>
          <w:t xml:space="preserve">Accordingly, the Working Group </w:t>
        </w:r>
        <w:commentRangeStart w:id="463"/>
        <w:r>
          <w:t>did not feel it was appropriate to create a separate, narrowly</w:t>
        </w:r>
      </w:ins>
      <w:ins w:id="464" w:author="Steve Chan" w:date="2016-09-27T18:42:00Z">
        <w:r w:rsidR="00066362">
          <w:t>-tailored dispute resolution procedure</w:t>
        </w:r>
      </w:ins>
      <w:commentRangeEnd w:id="463"/>
      <w:r w:rsidR="00DF7DD0">
        <w:rPr>
          <w:rStyle w:val="CommentReference"/>
        </w:rPr>
        <w:commentReference w:id="463"/>
      </w:r>
      <w:ins w:id="465" w:author="Steve Chan" w:date="2016-09-27T18:42:00Z">
        <w:r w:rsidR="00066362">
          <w:t>.</w:t>
        </w:r>
      </w:ins>
    </w:p>
    <w:p w14:paraId="37B15218" w14:textId="77777777" w:rsidR="001B6C38" w:rsidDel="004374BB" w:rsidRDefault="00442AE9">
      <w:pPr>
        <w:rPr>
          <w:del w:id="466" w:author="Steve Chan" w:date="2016-09-27T18:29:00Z"/>
        </w:rPr>
      </w:pPr>
      <w:r>
        <w:t xml:space="preserve"> </w:t>
      </w:r>
    </w:p>
    <w:p w14:paraId="7EB53412" w14:textId="77777777" w:rsidR="004374BB" w:rsidRDefault="004374BB">
      <w:pPr>
        <w:rPr>
          <w:ins w:id="467" w:author="Steve Chan" w:date="2016-09-27T18:27:00Z"/>
        </w:rPr>
      </w:pPr>
    </w:p>
    <w:p w14:paraId="28A728A1" w14:textId="072F08CD" w:rsidR="001B6C38" w:rsidRDefault="00442AE9">
      <w:r>
        <w:t xml:space="preserve">Professor Swaine also analyzed how, outside the domain name arena, IGOs are generally able to waive their jurisdictional immunity, and he noted that there seems to be two main ways to accomplish this: (1) through the IGO’s governing instrument (though </w:t>
      </w:r>
      <w:ins w:id="468" w:author="Mary Wong" w:date="2016-09-28T13:38:00Z">
        <w:r w:rsidR="004E6777">
          <w:t xml:space="preserve">Professor Swaine noted that </w:t>
        </w:r>
      </w:ins>
      <w:r>
        <w:t>the exact scope of this can be unclear); or (2) by way of agreement or pleading (for which option the case law is not well developed</w:t>
      </w:r>
      <w:ins w:id="469" w:author="Steve Chan" w:date="2016-09-27T18:43:00Z">
        <w:r w:rsidR="005A004F">
          <w:t>)</w:t>
        </w:r>
      </w:ins>
      <w:r>
        <w:t xml:space="preserve">, but Professor Swaine expressed the thought that an IGO’s agreeing to a Mutual Jurisdiction under the UDRP or URS could be interpreted as a </w:t>
      </w:r>
      <w:commentRangeStart w:id="470"/>
      <w:r>
        <w:t>waiver</w:t>
      </w:r>
      <w:commentRangeEnd w:id="470"/>
      <w:r w:rsidR="00150834">
        <w:rPr>
          <w:rStyle w:val="CommentReference"/>
        </w:rPr>
        <w:commentReference w:id="470"/>
      </w:r>
      <w:r>
        <w:t>.</w:t>
      </w:r>
      <w:ins w:id="471" w:author="Steve Chan" w:date="2016-09-27T18:45:00Z">
        <w:r w:rsidR="00593CFD">
          <w:t xml:space="preserve"> </w:t>
        </w:r>
      </w:ins>
    </w:p>
    <w:p w14:paraId="2FCE6E06" w14:textId="77777777" w:rsidR="001B6C38" w:rsidRDefault="00442AE9">
      <w:r>
        <w:t xml:space="preserve"> </w:t>
      </w:r>
    </w:p>
    <w:p w14:paraId="1D5FA53D" w14:textId="7BD43A0D" w:rsidR="001B6C38" w:rsidRPr="003949D1" w:rsidRDefault="00442AE9">
      <w:r>
        <w:t xml:space="preserve">In essence, Professor Swaine’s legal conclusion in relation to an IGO’s jurisdictional immunity for purposes of a domain name dispute under the UDRP or URS was that </w:t>
      </w:r>
      <w:r>
        <w:rPr>
          <w:i/>
        </w:rPr>
        <w:t>“[a]llowing an IGO that prevailed in the UDRP process to avoid its waiver and rest on the UDRP result by invoking immunity, while allowing it to waive that immunity by initiating judicial proceedings if it loses to a domain-name registrant, will likely seem asymmetrical and unfair.”</w:t>
      </w:r>
      <w:ins w:id="472" w:author="Steve Chan" w:date="2016-09-27T19:02:00Z">
        <w:r w:rsidR="003949D1">
          <w:rPr>
            <w:i/>
          </w:rPr>
          <w:t xml:space="preserve"> </w:t>
        </w:r>
        <w:del w:id="473" w:author="Mary Wong" w:date="2016-09-28T13:38:00Z">
          <w:r w:rsidR="003949D1" w:rsidDel="004E6777">
            <w:delText>T</w:delText>
          </w:r>
        </w:del>
      </w:ins>
      <w:ins w:id="474" w:author="Mary Wong" w:date="2016-09-28T13:38:00Z">
        <w:r w:rsidR="004E6777">
          <w:t>Based on Professor Swaine’s expert opinion, t</w:t>
        </w:r>
      </w:ins>
      <w:ins w:id="475" w:author="Steve Chan" w:date="2016-09-27T19:02:00Z">
        <w:r w:rsidR="003949D1">
          <w:t>he Working Grou</w:t>
        </w:r>
        <w:r w:rsidR="002A3D03">
          <w:t xml:space="preserve">p </w:t>
        </w:r>
        <w:del w:id="476" w:author="Mary Wong" w:date="2016-09-28T13:39:00Z">
          <w:r w:rsidR="002A3D03" w:rsidDel="004E6777">
            <w:delText>was</w:delText>
          </w:r>
        </w:del>
      </w:ins>
      <w:ins w:id="477" w:author="Mary Wong" w:date="2016-09-28T13:40:00Z">
        <w:r w:rsidR="004E6777">
          <w:t>came to the conclusion</w:t>
        </w:r>
      </w:ins>
      <w:ins w:id="478" w:author="Mary Wong" w:date="2016-09-28T13:39:00Z">
        <w:r w:rsidR="004E6777">
          <w:t xml:space="preserve"> that </w:t>
        </w:r>
      </w:ins>
      <w:ins w:id="479" w:author="Mary Wong" w:date="2016-09-28T13:40:00Z">
        <w:r w:rsidR="004E6777">
          <w:t xml:space="preserve">it would not be possible to recommend </w:t>
        </w:r>
      </w:ins>
      <w:ins w:id="480" w:author="Steve Chan" w:date="2016-09-27T19:02:00Z">
        <w:del w:id="481" w:author="Mary Wong" w:date="2016-09-28T13:39:00Z">
          <w:r w:rsidR="002A3D03" w:rsidDel="004E6777">
            <w:delText xml:space="preserve"> unable to discover a perfect</w:delText>
          </w:r>
        </w:del>
      </w:ins>
      <w:ins w:id="482" w:author="Mary Wong" w:date="2016-09-28T13:39:00Z">
        <w:r w:rsidR="004E6777">
          <w:t>a single</w:t>
        </w:r>
      </w:ins>
      <w:ins w:id="483" w:author="Steve Chan" w:date="2016-09-27T19:02:00Z">
        <w:r w:rsidR="002A3D03">
          <w:t xml:space="preserve"> solution</w:t>
        </w:r>
      </w:ins>
      <w:ins w:id="484" w:author="Steve Chan" w:date="2016-09-27T19:06:00Z">
        <w:del w:id="485" w:author="Mary Wong" w:date="2016-09-28T13:39:00Z">
          <w:r w:rsidR="002A3D03" w:rsidDel="004E6777">
            <w:delText>,</w:delText>
          </w:r>
        </w:del>
      </w:ins>
      <w:ins w:id="486" w:author="Mary Wong" w:date="2016-09-28T13:39:00Z">
        <w:r w:rsidR="004E6777">
          <w:t xml:space="preserve"> that takes into account all the varying types of IGOs, their activities and the different approaches of multiple national courts</w:t>
        </w:r>
      </w:ins>
      <w:ins w:id="487" w:author="Mary Wong" w:date="2016-09-28T13:40:00Z">
        <w:r w:rsidR="004E6777">
          <w:t>.</w:t>
        </w:r>
      </w:ins>
      <w:ins w:id="488" w:author="Steve Chan" w:date="2016-09-27T19:02:00Z">
        <w:r w:rsidR="002A3D03">
          <w:t xml:space="preserve"> </w:t>
        </w:r>
      </w:ins>
      <w:ins w:id="489" w:author="Steve Chan" w:date="2016-09-27T19:06:00Z">
        <w:del w:id="490" w:author="Mary Wong" w:date="2016-09-28T13:40:00Z">
          <w:r w:rsidR="002A3D03" w:rsidDel="004E6777">
            <w:delText>yet</w:delText>
          </w:r>
        </w:del>
      </w:ins>
      <w:ins w:id="491" w:author="Mary Wong" w:date="2016-09-28T13:40:00Z">
        <w:r w:rsidR="004E6777">
          <w:t>Nevertheless, the Working Group has strived</w:t>
        </w:r>
      </w:ins>
      <w:ins w:id="492" w:author="Steve Chan" w:date="2016-09-27T19:02:00Z">
        <w:r w:rsidR="002A3D03">
          <w:t xml:space="preserve"> </w:t>
        </w:r>
        <w:del w:id="493" w:author="Mary Wong" w:date="2016-09-28T13:40:00Z">
          <w:r w:rsidR="002A3D03" w:rsidDel="004E6777">
            <w:delText xml:space="preserve">strove </w:delText>
          </w:r>
        </w:del>
        <w:r w:rsidR="002A3D03">
          <w:t>to find an outcome that respect</w:t>
        </w:r>
      </w:ins>
      <w:ins w:id="494" w:author="Mary Wong" w:date="2016-09-28T13:40:00Z">
        <w:r w:rsidR="004E6777">
          <w:t>s and preserves</w:t>
        </w:r>
      </w:ins>
      <w:ins w:id="495" w:author="Steve Chan" w:date="2016-09-27T19:02:00Z">
        <w:del w:id="496" w:author="Mary Wong" w:date="2016-09-28T13:40:00Z">
          <w:r w:rsidR="002A3D03" w:rsidDel="004E6777">
            <w:delText>ed</w:delText>
          </w:r>
        </w:del>
        <w:r w:rsidR="002A3D03">
          <w:t xml:space="preserve"> an IGO</w:t>
        </w:r>
      </w:ins>
      <w:ins w:id="497" w:author="Steve Chan" w:date="2016-09-27T19:06:00Z">
        <w:r w:rsidR="002A3D03">
          <w:t xml:space="preserve">’s assertion </w:t>
        </w:r>
        <w:del w:id="498" w:author="Mary Wong" w:date="2016-09-28T13:41:00Z">
          <w:r w:rsidR="002A3D03" w:rsidDel="004E6777">
            <w:delText>to</w:delText>
          </w:r>
        </w:del>
      </w:ins>
      <w:ins w:id="499" w:author="Mary Wong" w:date="2016-09-28T13:41:00Z">
        <w:r w:rsidR="004E6777">
          <w:t>of jurisdictional</w:t>
        </w:r>
      </w:ins>
      <w:ins w:id="500" w:author="Steve Chan" w:date="2016-09-27T19:06:00Z">
        <w:r w:rsidR="002A3D03">
          <w:t xml:space="preserve"> immunity </w:t>
        </w:r>
        <w:del w:id="501" w:author="Mary Wong" w:date="2016-09-28T13:41:00Z">
          <w:r w:rsidR="002A3D03" w:rsidDel="004E6777">
            <w:delText>and</w:delText>
          </w:r>
        </w:del>
      </w:ins>
      <w:ins w:id="502" w:author="Mary Wong" w:date="2016-09-28T13:41:00Z">
        <w:r w:rsidR="004E6777">
          <w:t>as well as</w:t>
        </w:r>
      </w:ins>
      <w:ins w:id="503" w:author="Steve Chan" w:date="2016-09-27T19:06:00Z">
        <w:r w:rsidR="002A3D03">
          <w:t xml:space="preserve"> a registrant’s right to </w:t>
        </w:r>
        <w:del w:id="504" w:author="Mary Wong" w:date="2016-09-28T13:41:00Z">
          <w:r w:rsidR="002A3D03" w:rsidDel="004E6777">
            <w:delText>appeal</w:delText>
          </w:r>
        </w:del>
      </w:ins>
      <w:ins w:id="505" w:author="Mary Wong" w:date="2016-09-28T13:41:00Z">
        <w:r w:rsidR="004E6777">
          <w:t>appropriate legal recourse</w:t>
        </w:r>
      </w:ins>
      <w:ins w:id="506" w:author="Steve Chan" w:date="2016-09-27T19:06:00Z">
        <w:r w:rsidR="002A3D03">
          <w:t>.</w:t>
        </w:r>
      </w:ins>
    </w:p>
    <w:p w14:paraId="7952CC74" w14:textId="77777777" w:rsidR="001B6C38" w:rsidRDefault="00442AE9">
      <w:r>
        <w:t xml:space="preserve"> </w:t>
      </w:r>
    </w:p>
    <w:p w14:paraId="787A804A" w14:textId="77777777" w:rsidR="001B6C38" w:rsidRDefault="00442AE9">
      <w:r>
        <w:t xml:space="preserve">Professor Swaine’s opinion was largely focused on the question of what might happen in the case where an IGO files a complaint under the UDRP or URS and wins at the administrative proceedings phase, in which event a losing respondent would then be able to file a </w:t>
      </w:r>
      <w:r>
        <w:rPr>
          <w:i/>
        </w:rPr>
        <w:t>de novo</w:t>
      </w:r>
      <w:r>
        <w:t xml:space="preserve"> appeal in a national court against that initial determination. In view of this focus, various policy </w:t>
      </w:r>
      <w:r>
        <w:lastRenderedPageBreak/>
        <w:t>options were identified for addressing the IGOs’ concern over losing the possibility of jurisdictional immunity for this type of proceeding. The Working Group discussed the following options:</w:t>
      </w:r>
    </w:p>
    <w:p w14:paraId="0E98845B" w14:textId="77777777" w:rsidR="001B6C38" w:rsidRDefault="00442AE9">
      <w:r>
        <w:t xml:space="preserve"> </w:t>
      </w:r>
    </w:p>
    <w:p w14:paraId="0C1A5913" w14:textId="77777777" w:rsidR="001B6C38" w:rsidRDefault="00442AE9">
      <w:r>
        <w:t>A.</w:t>
      </w:r>
      <w:r>
        <w:rPr>
          <w:rFonts w:ascii="Times New Roman" w:eastAsia="Times New Roman" w:hAnsi="Times New Roman" w:cs="Times New Roman"/>
          <w:sz w:val="14"/>
          <w:szCs w:val="14"/>
        </w:rPr>
        <w:t xml:space="preserve">    </w:t>
      </w:r>
      <w:r>
        <w:rPr>
          <w:b/>
        </w:rPr>
        <w:t>Make a distinction among different types of IGOs:</w:t>
      </w:r>
    </w:p>
    <w:p w14:paraId="69D7E25A"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This option would maintain the existing Mutual Jurisdiction terms in general, but permit particular IGOs to elect instead to submit to arbitration. An option for such arbitration would be the arbitration rules under the United Nations Commission for International Trade Law (UNCITRAL) or some similar, internationally recognized procedure.  </w:t>
      </w:r>
    </w:p>
    <w:p w14:paraId="1A13763B"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In line with Professor Swaine’s analysis, the most likely IGOs that would be able to elect an arbitration option would be the United Nations and its constituent bodies (e.g. WIPO, WTO, WHO).</w:t>
      </w:r>
    </w:p>
    <w:p w14:paraId="77AB7F9C" w14:textId="77777777" w:rsidR="001B6C38" w:rsidRDefault="00442AE9">
      <w:r>
        <w:rPr>
          <w:b/>
        </w:rPr>
        <w:t xml:space="preserve"> </w:t>
      </w:r>
    </w:p>
    <w:p w14:paraId="094B7D22" w14:textId="77777777" w:rsidR="001B6C38" w:rsidRDefault="00442AE9">
      <w:r>
        <w:t>B.</w:t>
      </w:r>
      <w:r>
        <w:rPr>
          <w:rFonts w:ascii="Times New Roman" w:eastAsia="Times New Roman" w:hAnsi="Times New Roman" w:cs="Times New Roman"/>
          <w:sz w:val="14"/>
          <w:szCs w:val="14"/>
        </w:rPr>
        <w:t xml:space="preserve">    </w:t>
      </w:r>
      <w:r>
        <w:rPr>
          <w:b/>
        </w:rPr>
        <w:t>Rewrite the Mutual Jurisdiction clause under the UDRP and URS, but without prejudging the outcome where an IGO pleads jurisdictional immunity:</w:t>
      </w:r>
    </w:p>
    <w:p w14:paraId="300C45C3"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Adopting this option would mean that IGO immunity is not to be assumed in circumstances where the relevant jurisdiction would not be inclined to afford it (e.g. its courts apply a functional or restrictive approach and regard the activity as beyond the scope of immunity). Essentially, this option would leave the determination of an IGO’s jurisdictional immunity from domain name disputes in any particular jurisdiction to the judgment of that particular national court.</w:t>
      </w:r>
    </w:p>
    <w:p w14:paraId="61DD1D75"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If this option were to be adopted by the Working Group, Professor Swaine suggested that additional language (in the form of an exception) could be added to the UDRP and URS as follows:</w:t>
      </w:r>
    </w:p>
    <w:p w14:paraId="7AC0069D" w14:textId="35A5B4AD" w:rsidR="001B6C38" w:rsidRDefault="00442AE9">
      <w:r>
        <w:rPr>
          <w:rFonts w:ascii="Courier New" w:eastAsia="Courier New" w:hAnsi="Courier New" w:cs="Courier New"/>
        </w:rPr>
        <w:t>o</w:t>
      </w:r>
      <w:r>
        <w:rPr>
          <w:rFonts w:ascii="Times New Roman" w:eastAsia="Times New Roman" w:hAnsi="Times New Roman" w:cs="Times New Roman"/>
          <w:sz w:val="14"/>
          <w:szCs w:val="14"/>
        </w:rPr>
        <w:t xml:space="preserve">   </w:t>
      </w:r>
      <w:r>
        <w:rPr>
          <w:i/>
        </w:rPr>
        <w:t>“I</w:t>
      </w:r>
      <w:del w:id="507" w:author="Steve Chan" w:date="2016-09-27T18:57:00Z">
        <w:r w:rsidDel="00150834">
          <w:rPr>
            <w:i/>
          </w:rPr>
          <w:delText>i</w:delText>
        </w:r>
      </w:del>
      <w:r>
        <w:rPr>
          <w:i/>
        </w:rPr>
        <w:t>n the event the action depends on the adjudication of the rights of an international intergovernmental organization that would, but for this provision, be entitled to immunity from such judicial process according to the law applicable in that jurisdiction, [as established by a decision of a court in that jurisdiction,] the challenge must be submitted instead for determination [by UNCITRAL in accordance with its rules”</w:t>
      </w:r>
      <w:ins w:id="508" w:author="Steve Chan" w:date="2016-09-27T19:08:00Z">
        <w:r w:rsidR="002A3D03">
          <w:rPr>
            <w:i/>
          </w:rPr>
          <w:t>]</w:t>
        </w:r>
      </w:ins>
      <w:r>
        <w:rPr>
          <w:i/>
        </w:rPr>
        <w:t>.</w:t>
      </w:r>
    </w:p>
    <w:p w14:paraId="33CAB191" w14:textId="77777777" w:rsidR="001B6C38" w:rsidRDefault="00442AE9">
      <w:r>
        <w:rPr>
          <w:i/>
        </w:rPr>
        <w:t xml:space="preserve"> </w:t>
      </w:r>
    </w:p>
    <w:p w14:paraId="020ADD53" w14:textId="77777777" w:rsidR="001B6C38" w:rsidRDefault="00442AE9">
      <w:r>
        <w:t>The Working Group also noted that Professor Swaine also highlighted the possibility that any hardship endured by a respondent as a result of submission to an arbitral process should be alleviated, e.g. by the IGO’s agreeing to bear a proportion of the costs incurred.</w:t>
      </w:r>
    </w:p>
    <w:p w14:paraId="75D95DDD" w14:textId="77777777" w:rsidR="001B6C38" w:rsidRDefault="00442AE9">
      <w:r>
        <w:t xml:space="preserve"> </w:t>
      </w:r>
    </w:p>
    <w:p w14:paraId="2EF2E7A4" w14:textId="77777777" w:rsidR="001B6C38" w:rsidRDefault="00442AE9">
      <w:r>
        <w:rPr>
          <w:b/>
        </w:rPr>
        <w:t>The Working Group’s consideration of Professor Swaine’s suggestions and the available policy options</w:t>
      </w:r>
    </w:p>
    <w:p w14:paraId="37AD4ED4" w14:textId="77777777" w:rsidR="001B6C38" w:rsidRDefault="00442AE9">
      <w:r>
        <w:t xml:space="preserve"> </w:t>
      </w:r>
    </w:p>
    <w:p w14:paraId="0EB5E31A" w14:textId="3111315B" w:rsidR="001B6C38" w:rsidRDefault="00442AE9">
      <w:r>
        <w:t>The Working Group spent considerable time reviewing Professor Swaine’s notes and final memo, including in open sessions at the ICANN Public Meetings in Marrakech (March 2016) and Helsinki (June 2016). It also considered the applicability and scope of the UNCITRAL Arbitral Rules</w:t>
      </w:r>
      <w:ins w:id="509" w:author="Steve Chan" w:date="2016-09-20T16:28:00Z">
        <w:r w:rsidR="0051745F">
          <w:rPr>
            <w:rStyle w:val="FootnoteReference"/>
          </w:rPr>
          <w:footnoteReference w:id="11"/>
        </w:r>
        <w:r w:rsidR="0051745F">
          <w:rPr>
            <w:rFonts w:ascii="Calibri" w:eastAsia="Calibri" w:hAnsi="Calibri" w:cs="Calibri"/>
            <w:sz w:val="24"/>
            <w:szCs w:val="24"/>
          </w:rPr>
          <w:t xml:space="preserve"> </w:t>
        </w:r>
      </w:ins>
      <w:del w:id="524" w:author="Steve Chan" w:date="2016-09-20T16:28:00Z">
        <w:r w:rsidDel="0051745F">
          <w:rPr>
            <w:rFonts w:ascii="Calibri" w:eastAsia="Calibri" w:hAnsi="Calibri" w:cs="Calibri"/>
            <w:sz w:val="24"/>
            <w:szCs w:val="24"/>
          </w:rPr>
          <w:delText>[9]</w:delText>
        </w:r>
        <w:r w:rsidDel="0051745F">
          <w:delText xml:space="preserve"> </w:delText>
        </w:r>
      </w:del>
      <w:r>
        <w:t xml:space="preserve">to domain name disputes between IGOs and registrants, and noted that the issue of immunity is likely to arise only in those limited cases where a losing respondent </w:t>
      </w:r>
      <w:r>
        <w:lastRenderedPageBreak/>
        <w:t xml:space="preserve">(against an IGO complainant, who would </w:t>
      </w:r>
      <w:del w:id="525" w:author="Steve Chan" w:date="2016-09-27T19:08:00Z">
        <w:r w:rsidDel="002A3D03">
          <w:delText xml:space="preserve">presumably </w:delText>
        </w:r>
      </w:del>
      <w:r>
        <w:t>have agreed to the Mutual Jurisdiction clause in order to file and proceed with its complaint) files an appeal against the UDRP or URS determination.</w:t>
      </w:r>
    </w:p>
    <w:p w14:paraId="72D605E1" w14:textId="77777777" w:rsidR="001B6C38" w:rsidRDefault="00442AE9">
      <w:r>
        <w:t xml:space="preserve"> </w:t>
      </w:r>
    </w:p>
    <w:p w14:paraId="17AC73BD" w14:textId="77777777" w:rsidR="001B6C38" w:rsidRDefault="00442AE9">
      <w:pPr>
        <w:rPr>
          <w:ins w:id="526" w:author="Steve Chan" w:date="2016-09-27T19:09:00Z"/>
        </w:rPr>
      </w:pPr>
      <w:r>
        <w:t>Ultimately, the Working Group concluded that, given: (1) the limited instances of a scenario where an IGO would assert immunity against a losing respondent in a national court, having already filed and won a UDRP or URS complaint; (2) the need to preserve a registrant’s right to appeal to a court of competent jurisdiction; and (3) the lack of a single, universally applicable rule in relation to IGO jurisdictional immunity, the most prudent and advisable approach would be to not recommend any changes to the UDRP or URS at this time.</w:t>
      </w:r>
    </w:p>
    <w:p w14:paraId="4E99E562" w14:textId="77777777" w:rsidR="00911EEE" w:rsidRDefault="00911EEE">
      <w:pPr>
        <w:rPr>
          <w:ins w:id="527" w:author="Steve Chan" w:date="2016-09-27T19:09:00Z"/>
        </w:rPr>
      </w:pPr>
    </w:p>
    <w:p w14:paraId="0101CD2D" w14:textId="52F1F208" w:rsidR="00911EEE" w:rsidDel="004E6777" w:rsidRDefault="00911EEE">
      <w:pPr>
        <w:rPr>
          <w:del w:id="528" w:author="Mary Wong" w:date="2016-09-28T13:42:00Z"/>
        </w:rPr>
      </w:pPr>
      <w:ins w:id="529" w:author="Steve Chan" w:date="2016-09-27T19:09:00Z">
        <w:del w:id="530" w:author="Mary Wong" w:date="2016-09-28T13:42:00Z">
          <w:r w:rsidDel="004E6777">
            <w:delText xml:space="preserve">In considering options, such as recommending that the only method for appeal </w:delText>
          </w:r>
        </w:del>
      </w:ins>
      <w:ins w:id="531" w:author="Steve Chan" w:date="2016-09-27T19:10:00Z">
        <w:del w:id="532" w:author="Mary Wong" w:date="2016-09-28T13:42:00Z">
          <w:r w:rsidDel="004E6777">
            <w:delText xml:space="preserve">of a UDRP or URS decision </w:delText>
          </w:r>
        </w:del>
      </w:ins>
      <w:ins w:id="533" w:author="Steve Chan" w:date="2016-09-27T19:09:00Z">
        <w:del w:id="534" w:author="Mary Wong" w:date="2016-09-28T13:42:00Z">
          <w:r w:rsidDel="004E6777">
            <w:delText xml:space="preserve">is arbitration, </w:delText>
          </w:r>
        </w:del>
      </w:ins>
      <w:ins w:id="535" w:author="Steve Chan" w:date="2016-09-27T19:10:00Z">
        <w:del w:id="536" w:author="Mary Wong" w:date="2016-09-28T13:42:00Z">
          <w:r w:rsidDel="004E6777">
            <w:delText xml:space="preserve">the Working Group recognizes that it lacks the authority to compel a national court to accept such a policy </w:delText>
          </w:r>
        </w:del>
      </w:ins>
      <w:ins w:id="537" w:author="Steve Chan" w:date="2016-09-27T19:12:00Z">
        <w:del w:id="538" w:author="Mary Wong" w:date="2016-09-28T13:42:00Z">
          <w:r w:rsidDel="004E6777">
            <w:delText>–</w:delText>
          </w:r>
        </w:del>
      </w:ins>
      <w:ins w:id="539" w:author="Steve Chan" w:date="2016-09-27T19:10:00Z">
        <w:del w:id="540" w:author="Mary Wong" w:date="2016-09-28T13:42:00Z">
          <w:r w:rsidDel="004E6777">
            <w:delText xml:space="preserve"> the </w:delText>
          </w:r>
        </w:del>
      </w:ins>
      <w:ins w:id="541" w:author="Steve Chan" w:date="2016-09-27T19:12:00Z">
        <w:del w:id="542" w:author="Mary Wong" w:date="2016-09-28T13:42:00Z">
          <w:r w:rsidDel="004E6777">
            <w:delText xml:space="preserve">court </w:delText>
          </w:r>
        </w:del>
      </w:ins>
      <w:ins w:id="543" w:author="Steve Chan" w:date="2016-09-27T19:13:00Z">
        <w:del w:id="544" w:author="Mary Wong" w:date="2016-09-28T13:42:00Z">
          <w:r w:rsidR="00295748" w:rsidDel="004E6777">
            <w:delText>could ignore ICANN’s policy and allow for the consideration of the appeal.</w:delText>
          </w:r>
        </w:del>
      </w:ins>
    </w:p>
    <w:p w14:paraId="4DE0DBD2" w14:textId="26DEF061" w:rsidR="001B6C38" w:rsidRDefault="00442AE9">
      <w:del w:id="545" w:author="Mary Wong" w:date="2016-09-28T13:42:00Z">
        <w:r w:rsidDel="004E6777">
          <w:delText xml:space="preserve"> </w:delText>
        </w:r>
      </w:del>
    </w:p>
    <w:p w14:paraId="465DF00A" w14:textId="77777777" w:rsidR="001B6C38" w:rsidRDefault="00442AE9">
      <w:r>
        <w:rPr>
          <w:b/>
        </w:rPr>
        <w:t>Other research and documentation taken into account by the Working Group on this issue</w:t>
      </w:r>
    </w:p>
    <w:p w14:paraId="1CCE86ED" w14:textId="77777777" w:rsidR="001B6C38" w:rsidRDefault="00442AE9">
      <w:r>
        <w:t xml:space="preserve"> </w:t>
      </w:r>
    </w:p>
    <w:p w14:paraId="3A1AFD07" w14:textId="63E7AAD8" w:rsidR="001B6C38" w:rsidRDefault="00442AE9">
      <w:r>
        <w:t>Besides Professor Swaine’s expert views, the Working Group also considered research and prior work done on this topic. This included the August 2003 report from the WIPO Secretariat on a possible arbitral appeal mechanism for domain name disputes involving country names, which could conceivably also apply to IGO names and acronyms</w:t>
      </w:r>
      <w:ins w:id="546" w:author="Steve Chan" w:date="2016-09-20T16:29:00Z">
        <w:r w:rsidR="0051745F">
          <w:rPr>
            <w:rStyle w:val="FootnoteReference"/>
          </w:rPr>
          <w:footnoteReference w:id="12"/>
        </w:r>
      </w:ins>
      <w:del w:id="555" w:author="Steve Chan" w:date="2016-09-20T16:29:00Z">
        <w:r w:rsidDel="0051745F">
          <w:rPr>
            <w:rFonts w:ascii="Calibri" w:eastAsia="Calibri" w:hAnsi="Calibri" w:cs="Calibri"/>
            <w:sz w:val="24"/>
            <w:szCs w:val="24"/>
          </w:rPr>
          <w:delText>[10]</w:delText>
        </w:r>
      </w:del>
      <w:r>
        <w:t xml:space="preserve">. The Working Group notes that, in this report, the WIPO Secretariat expressly stated that the following principles ought to apply if a </w:t>
      </w:r>
      <w:r>
        <w:rPr>
          <w:i/>
        </w:rPr>
        <w:t>de novo</w:t>
      </w:r>
      <w:r>
        <w:t xml:space="preserve"> arbitration process is to be created:</w:t>
      </w:r>
    </w:p>
    <w:p w14:paraId="3869C199" w14:textId="77777777" w:rsidR="001B6C38" w:rsidRDefault="00442AE9">
      <w:r>
        <w:t xml:space="preserve"> </w:t>
      </w:r>
    </w:p>
    <w:p w14:paraId="4C34CC12" w14:textId="77777777" w:rsidR="001B6C38" w:rsidRDefault="00442AE9">
      <w:r>
        <w:t>·</w:t>
      </w:r>
      <w:r>
        <w:rPr>
          <w:rFonts w:ascii="Times New Roman" w:eastAsia="Times New Roman" w:hAnsi="Times New Roman" w:cs="Times New Roman"/>
          <w:sz w:val="14"/>
          <w:szCs w:val="14"/>
        </w:rPr>
        <w:t xml:space="preserve">      </w:t>
      </w:r>
      <w:r>
        <w:t>The parties should be able to restate their case completely anew.  They should not be confined to claiming that the panel did not consider certain relevant facts or wrongly applied the procedure, but should also be able to submit new evidence and new factual or legal arguments;</w:t>
      </w:r>
    </w:p>
    <w:p w14:paraId="20859EF0" w14:textId="77777777" w:rsidR="001B6C38" w:rsidRDefault="00442AE9">
      <w:r>
        <w:t xml:space="preserve"> </w:t>
      </w:r>
    </w:p>
    <w:p w14:paraId="412F3335" w14:textId="77777777" w:rsidR="001B6C38" w:rsidRDefault="00442AE9">
      <w:r>
        <w:t>·</w:t>
      </w:r>
      <w:r>
        <w:rPr>
          <w:rFonts w:ascii="Times New Roman" w:eastAsia="Times New Roman" w:hAnsi="Times New Roman" w:cs="Times New Roman"/>
          <w:sz w:val="14"/>
          <w:szCs w:val="14"/>
        </w:rPr>
        <w:t xml:space="preserve">      </w:t>
      </w:r>
      <w:r>
        <w:t xml:space="preserve">In order to provide a meaningful “appeal,” conducting a </w:t>
      </w:r>
      <w:r>
        <w:rPr>
          <w:i/>
        </w:rPr>
        <w:t>de novo</w:t>
      </w:r>
      <w:r>
        <w:t xml:space="preserve"> arbitration should, as a general rule, not be more burdensome than conducting litigation in a court of mutual jurisdiction;</w:t>
      </w:r>
    </w:p>
    <w:p w14:paraId="4ACC3FCF" w14:textId="77777777" w:rsidR="001B6C38" w:rsidRDefault="00442AE9">
      <w:r>
        <w:t xml:space="preserve"> </w:t>
      </w:r>
    </w:p>
    <w:p w14:paraId="18B8D3F3" w14:textId="77777777" w:rsidR="001B6C38" w:rsidRDefault="00442AE9">
      <w:r>
        <w:t>·</w:t>
      </w:r>
      <w:r>
        <w:rPr>
          <w:rFonts w:ascii="Times New Roman" w:eastAsia="Times New Roman" w:hAnsi="Times New Roman" w:cs="Times New Roman"/>
          <w:sz w:val="14"/>
          <w:szCs w:val="14"/>
        </w:rPr>
        <w:t xml:space="preserve">      </w:t>
      </w:r>
      <w:r>
        <w:t>The arbitral tribunal should consist of one or more neutral and independent decision makers, who should not be identical or related to the panelists who rendered the initial decision; and</w:t>
      </w:r>
    </w:p>
    <w:p w14:paraId="05A7CC66" w14:textId="77777777" w:rsidR="001B6C38" w:rsidRDefault="00442AE9">
      <w:r>
        <w:t xml:space="preserve"> </w:t>
      </w:r>
    </w:p>
    <w:p w14:paraId="11592499" w14:textId="77777777" w:rsidR="001B6C38" w:rsidRDefault="00442AE9">
      <w:r>
        <w:t>·</w:t>
      </w:r>
      <w:r>
        <w:rPr>
          <w:rFonts w:ascii="Times New Roman" w:eastAsia="Times New Roman" w:hAnsi="Times New Roman" w:cs="Times New Roman"/>
          <w:sz w:val="14"/>
          <w:szCs w:val="14"/>
        </w:rPr>
        <w:t xml:space="preserve">      </w:t>
      </w:r>
      <w:r>
        <w:t>Either party should be able to present its case in a complete manner.  The arbitral tribunal should, for example, have the authority to allow for, or request, additional written submissions, and it should be possible to hold in‑person hearings</w:t>
      </w:r>
    </w:p>
    <w:p w14:paraId="23DDB642" w14:textId="77777777" w:rsidR="001B6C38" w:rsidRDefault="00442AE9">
      <w:r>
        <w:t xml:space="preserve"> </w:t>
      </w:r>
    </w:p>
    <w:p w14:paraId="0BA5D00E" w14:textId="6CB7F576" w:rsidR="001B6C38" w:rsidRDefault="00442AE9">
      <w:r>
        <w:t xml:space="preserve">From publicly available information reviewed by the Working Group, it appears that no further action was taken on the above-noted </w:t>
      </w:r>
      <w:r>
        <w:rPr>
          <w:i/>
        </w:rPr>
        <w:t>de novo</w:t>
      </w:r>
      <w:r>
        <w:t xml:space="preserve"> arbitral appeal mechanism. In light of the fact that </w:t>
      </w:r>
      <w:r>
        <w:lastRenderedPageBreak/>
        <w:t>it has been over a decade since that proposal was scoped, and given the fact that the Working Group’s recent research revealed that some IGOs do in fact waive their immunity and submit to the Mutual Jurisdiction clause in bringing a UDRP action</w:t>
      </w:r>
      <w:ins w:id="556" w:author="Steve Chan" w:date="2016-09-20T16:29:00Z">
        <w:r w:rsidR="0051745F">
          <w:rPr>
            <w:rStyle w:val="FootnoteReference"/>
          </w:rPr>
          <w:footnoteReference w:id="13"/>
        </w:r>
      </w:ins>
      <w:del w:id="557" w:author="Steve Chan" w:date="2016-09-20T16:29:00Z">
        <w:r w:rsidDel="0051745F">
          <w:rPr>
            <w:rFonts w:ascii="Calibri" w:eastAsia="Calibri" w:hAnsi="Calibri" w:cs="Calibri"/>
            <w:sz w:val="24"/>
            <w:szCs w:val="24"/>
          </w:rPr>
          <w:delText>[11]</w:delText>
        </w:r>
      </w:del>
      <w:r>
        <w:t>, the Working Group believes that the present circumstances do not adequately justify amending the UDRP and URS in order to provide IGOs with broad immunity protections.</w:t>
      </w:r>
    </w:p>
    <w:p w14:paraId="732B66E6" w14:textId="77777777" w:rsidR="001B6C38" w:rsidRDefault="00442AE9">
      <w:r>
        <w:t xml:space="preserve"> </w:t>
      </w:r>
    </w:p>
    <w:p w14:paraId="63178023" w14:textId="113F6459" w:rsidR="001B6C38" w:rsidRDefault="00442AE9">
      <w:r>
        <w:t>In this regard, the Working Group notes that GAC advice to the ICANN Board in relation to this issue was that the UDRP should not be amended</w:t>
      </w:r>
      <w:ins w:id="558" w:author="Steve Chan" w:date="2016-09-20T16:30:00Z">
        <w:r w:rsidR="0051745F">
          <w:rPr>
            <w:rStyle w:val="FootnoteReference"/>
          </w:rPr>
          <w:footnoteReference w:id="14"/>
        </w:r>
      </w:ins>
      <w:del w:id="564" w:author="Steve Chan" w:date="2016-09-20T16:30:00Z">
        <w:r w:rsidDel="0051745F">
          <w:rPr>
            <w:rFonts w:ascii="Calibri" w:eastAsia="Calibri" w:hAnsi="Calibri" w:cs="Calibri"/>
            <w:sz w:val="24"/>
            <w:szCs w:val="24"/>
          </w:rPr>
          <w:delText>[12]</w:delText>
        </w:r>
      </w:del>
      <w:r>
        <w:t>.</w:t>
      </w:r>
    </w:p>
    <w:p w14:paraId="179B9EDA" w14:textId="77777777" w:rsidR="001B6C38" w:rsidRDefault="00442AE9">
      <w:r>
        <w:t xml:space="preserve"> </w:t>
      </w:r>
    </w:p>
    <w:p w14:paraId="4829C665" w14:textId="77777777" w:rsidR="001B6C38" w:rsidRDefault="00442AE9">
      <w:r>
        <w:t>The Working Group recognizes that IGOs may not welcome the fact that adoption of this recommendation by ICANN will mean that IGOs will still have to submit to the Mutual Jurisdiction clause of the UDRP and URS when filing a complaint under either procedure. Nevertheless, in view of the concerns listed in the paragraph immediately above this one, and the other Policy Guidance principles that the Working Group is recommending be applied to IGO complaints (e.g. standing under Article 6ter of the Paris Convention), the Working Group believes that the totality of these recommendations will suffice to protect the rights of IGOs in their names and acronyms.</w:t>
      </w:r>
    </w:p>
    <w:p w14:paraId="05ACE930" w14:textId="77777777" w:rsidR="001B6C38" w:rsidRDefault="00442AE9">
      <w:r>
        <w:t xml:space="preserve"> </w:t>
      </w:r>
    </w:p>
    <w:p w14:paraId="557A7768" w14:textId="77777777" w:rsidR="001B6C38" w:rsidRDefault="00442AE9">
      <w:r>
        <w:rPr>
          <w:b/>
        </w:rPr>
        <w:t>Recommendation #5: In respect of the remainder of the GAC’s advice concerning access to curative rights processes for IGOs, the Working Group recommends that ICANN investigate the feasibility of providing IGOs and INGOs with access to the UDRP and URS (with the accompanying Policy Guidance as recommended in this report), at no or nominal cost, in accordance with GAC advice on the subject</w:t>
      </w:r>
      <w:r>
        <w:rPr>
          <w:sz w:val="18"/>
          <w:szCs w:val="18"/>
        </w:rPr>
        <w:t xml:space="preserve">[PC6] </w:t>
      </w:r>
      <w:r>
        <w:rPr>
          <w:b/>
        </w:rPr>
        <w:t>.</w:t>
      </w:r>
    </w:p>
    <w:p w14:paraId="5643A79F" w14:textId="77777777" w:rsidR="001B6C38" w:rsidRDefault="00442AE9">
      <w:r>
        <w:t xml:space="preserve"> </w:t>
      </w:r>
    </w:p>
    <w:p w14:paraId="275232A9" w14:textId="11421AD4" w:rsidR="00DC1483" w:rsidRDefault="004914DB">
      <w:pPr>
        <w:rPr>
          <w:ins w:id="565" w:author="Steve Chan" w:date="2016-09-21T17:47:00Z"/>
        </w:rPr>
      </w:pPr>
      <w:ins w:id="566" w:author="Steve Chan" w:date="2016-09-20T16:12:00Z">
        <w:r>
          <w:t>[insert text here providing context related</w:t>
        </w:r>
      </w:ins>
      <w:ins w:id="567" w:author="Steve Chan" w:date="2016-09-20T16:13:00Z">
        <w:r>
          <w:t xml:space="preserve"> GAC Advice on his subject</w:t>
        </w:r>
      </w:ins>
      <w:ins w:id="568" w:author="Steve Chan" w:date="2016-09-20T17:02:00Z">
        <w:r w:rsidR="004A6AD8">
          <w:t xml:space="preserve"> - </w:t>
        </w:r>
      </w:ins>
      <w:ins w:id="569" w:author="Steve Chan" w:date="2016-09-21T17:47:00Z">
        <w:r w:rsidR="00DC1483">
          <w:fldChar w:fldCharType="begin"/>
        </w:r>
        <w:r w:rsidR="00DC1483">
          <w:instrText xml:space="preserve"> HYPERLINK "</w:instrText>
        </w:r>
      </w:ins>
      <w:ins w:id="570" w:author="Steve Chan" w:date="2016-09-20T17:02:00Z">
        <w:r w:rsidR="00DC1483" w:rsidRPr="004A6AD8">
          <w:instrText>https://gacweb.icann.org/display/GACADV/IGO+and+INGO+Names</w:instrText>
        </w:r>
      </w:ins>
      <w:ins w:id="571" w:author="Steve Chan" w:date="2016-09-21T17:47:00Z">
        <w:r w:rsidR="00DC1483">
          <w:instrText xml:space="preserve">" </w:instrText>
        </w:r>
        <w:r w:rsidR="00DC1483">
          <w:fldChar w:fldCharType="separate"/>
        </w:r>
      </w:ins>
      <w:ins w:id="572" w:author="Steve Chan" w:date="2016-09-20T17:02:00Z">
        <w:r w:rsidR="00DC1483" w:rsidRPr="00B37DBD">
          <w:rPr>
            <w:rStyle w:val="Hyperlink"/>
          </w:rPr>
          <w:t>https://gacweb.icann.org/display/GACADV/IGO+and+INGO+Names</w:t>
        </w:r>
      </w:ins>
      <w:ins w:id="573" w:author="Steve Chan" w:date="2016-09-21T17:47:00Z">
        <w:r w:rsidR="00DC1483">
          <w:fldChar w:fldCharType="end"/>
        </w:r>
      </w:ins>
      <w:ins w:id="574" w:author="Steve Chan" w:date="2016-09-21T17:50:00Z">
        <w:r w:rsidR="00DC1483">
          <w:t>. The following two links are in regards to GAC Advice specific to curative rights:</w:t>
        </w:r>
      </w:ins>
    </w:p>
    <w:p w14:paraId="0324DB2E" w14:textId="59B8F83E" w:rsidR="00DC1483" w:rsidRDefault="00DC1483">
      <w:pPr>
        <w:pStyle w:val="ListParagraph"/>
        <w:numPr>
          <w:ilvl w:val="0"/>
          <w:numId w:val="5"/>
        </w:numPr>
        <w:rPr>
          <w:ins w:id="575" w:author="Steve Chan" w:date="2016-09-21T17:48:00Z"/>
        </w:rPr>
        <w:pPrChange w:id="576" w:author="Steve Chan" w:date="2016-09-21T17:47:00Z">
          <w:pPr/>
        </w:pPrChange>
      </w:pPr>
      <w:ins w:id="577" w:author="Steve Chan" w:date="2016-09-21T17:47:00Z">
        <w:r>
          <w:t xml:space="preserve">16 October 2014 </w:t>
        </w:r>
      </w:ins>
      <w:ins w:id="578" w:author="Steve Chan" w:date="2016-09-21T17:48:00Z">
        <w:r>
          <w:t>–</w:t>
        </w:r>
      </w:ins>
      <w:ins w:id="579" w:author="Steve Chan" w:date="2016-09-21T17:47:00Z">
        <w:r>
          <w:t xml:space="preserve"> Los </w:t>
        </w:r>
      </w:ins>
      <w:ins w:id="580" w:author="Steve Chan" w:date="2016-09-21T17:48:00Z">
        <w:r>
          <w:t xml:space="preserve">Angeles Communique - </w:t>
        </w:r>
        <w:r>
          <w:fldChar w:fldCharType="begin"/>
        </w:r>
        <w:r>
          <w:instrText xml:space="preserve"> HYPERLINK "</w:instrText>
        </w:r>
        <w:r w:rsidRPr="00DC1483">
          <w:instrText>https://gacweb.icann.org/display/GACADV/2014-10-16-Protection+of+Inter-Governmental+Organisation+%28IGO%29+Names+and+Acronyms</w:instrText>
        </w:r>
        <w:r>
          <w:instrText xml:space="preserve">" </w:instrText>
        </w:r>
        <w:r>
          <w:fldChar w:fldCharType="separate"/>
        </w:r>
        <w:r w:rsidRPr="00B37DBD">
          <w:rPr>
            <w:rStyle w:val="Hyperlink"/>
          </w:rPr>
          <w:t>https://gacweb.icann.org/display/GACADV/2014-10-16-Protection+of+Inter-Governmental+Organisation+%28IGO%29+Names+and+Acronyms</w:t>
        </w:r>
        <w:r>
          <w:fldChar w:fldCharType="end"/>
        </w:r>
      </w:ins>
    </w:p>
    <w:p w14:paraId="3533C7D2" w14:textId="5231932D" w:rsidR="00DC1483" w:rsidRDefault="00DC1483">
      <w:pPr>
        <w:pStyle w:val="ListParagraph"/>
        <w:numPr>
          <w:ilvl w:val="0"/>
          <w:numId w:val="5"/>
        </w:numPr>
        <w:rPr>
          <w:ins w:id="581" w:author="Steve Chan" w:date="2016-09-20T16:12:00Z"/>
        </w:rPr>
        <w:pPrChange w:id="582" w:author="Steve Chan" w:date="2016-09-21T17:50:00Z">
          <w:pPr/>
        </w:pPrChange>
      </w:pPr>
      <w:ins w:id="583" w:author="Steve Chan" w:date="2016-09-20T16:13:00Z">
        <w:r>
          <w:t xml:space="preserve">11 February 2015 </w:t>
        </w:r>
      </w:ins>
      <w:ins w:id="584" w:author="Steve Chan" w:date="2016-09-21T17:49:00Z">
        <w:r>
          <w:t>–</w:t>
        </w:r>
      </w:ins>
      <w:ins w:id="585" w:author="Steve Chan" w:date="2016-09-20T16:13:00Z">
        <w:r>
          <w:t xml:space="preserve"> Singapore </w:t>
        </w:r>
      </w:ins>
      <w:ins w:id="586" w:author="Steve Chan" w:date="2016-09-21T17:49:00Z">
        <w:r>
          <w:t xml:space="preserve">Communique - </w:t>
        </w:r>
        <w:r w:rsidRPr="00DC1483">
          <w:t>https://gacweb.icann.org/pages/viewpage.action?pageId=37617838</w:t>
        </w:r>
      </w:ins>
      <w:ins w:id="587" w:author="Steve Chan" w:date="2016-09-21T17:50:00Z">
        <w:r>
          <w:t>]</w:t>
        </w:r>
      </w:ins>
    </w:p>
    <w:p w14:paraId="328D5B17" w14:textId="64CCE9A0" w:rsidR="001B6C38" w:rsidRDefault="00442AE9">
      <w:r>
        <w:t>[insert text here about how this may be beyond the scope of the WG’s authority]</w:t>
      </w:r>
    </w:p>
    <w:p w14:paraId="73EC40AB" w14:textId="77777777" w:rsidR="001B6C38" w:rsidRDefault="00442AE9">
      <w:r>
        <w:rPr>
          <w:b/>
        </w:rPr>
        <w:t xml:space="preserve"> </w:t>
      </w:r>
    </w:p>
    <w:p w14:paraId="4979CC9E" w14:textId="77777777" w:rsidR="001B6C38" w:rsidRDefault="00442AE9">
      <w:r>
        <w:rPr>
          <w:b/>
        </w:rPr>
        <w:t xml:space="preserve"> </w:t>
      </w:r>
    </w:p>
    <w:p w14:paraId="60ABA3D6" w14:textId="77777777" w:rsidR="001B6C38" w:rsidRDefault="00442AE9">
      <w:r>
        <w:rPr>
          <w:b/>
        </w:rPr>
        <w:t>Recommendation #6: To the extent that the GNSO receives a concrete proposal from the Board-GAC-IGO “small group” prior to the issuance of this Working Group’s Final Report, the Working Group requests that the GNSO Council refers to the Working Group those aspects of the proposal that affect any curative rights protections for IGOs, so that the Working Group may review the proposed recommendations with a view toward discussing them in its Final Report</w:t>
      </w:r>
      <w:r>
        <w:rPr>
          <w:sz w:val="18"/>
          <w:szCs w:val="18"/>
        </w:rPr>
        <w:t xml:space="preserve">[PC7] </w:t>
      </w:r>
      <w:r>
        <w:rPr>
          <w:b/>
        </w:rPr>
        <w:t>.</w:t>
      </w:r>
    </w:p>
    <w:p w14:paraId="33B92BCC" w14:textId="77777777" w:rsidR="001B6C38" w:rsidRDefault="00442AE9">
      <w:r>
        <w:lastRenderedPageBreak/>
        <w:t xml:space="preserve"> </w:t>
      </w:r>
    </w:p>
    <w:p w14:paraId="61D20FE4" w14:textId="77777777" w:rsidR="001B6C38" w:rsidRDefault="00442AE9">
      <w:r>
        <w:t>[Insert text here about the known status of the IGO small group discussions]</w:t>
      </w:r>
    </w:p>
    <w:p w14:paraId="52B8956A" w14:textId="77777777" w:rsidR="001B6C38" w:rsidRDefault="00442AE9">
      <w:r>
        <w:t xml:space="preserve"> </w:t>
      </w:r>
    </w:p>
    <w:p w14:paraId="0E48D974" w14:textId="77777777" w:rsidR="001B6C38" w:rsidRDefault="00442AE9">
      <w:r>
        <w:t xml:space="preserve"> </w:t>
      </w:r>
    </w:p>
    <w:p w14:paraId="1BCAF7BB" w14:textId="77777777" w:rsidR="001B6C38" w:rsidRDefault="00442AE9">
      <w:r>
        <w:t xml:space="preserve">  </w:t>
      </w:r>
    </w:p>
    <w:p w14:paraId="548E8A70" w14:textId="77777777" w:rsidR="001B6C38" w:rsidRDefault="00442AE9">
      <w:r>
        <w:t xml:space="preserve"> </w:t>
      </w:r>
    </w:p>
    <w:p w14:paraId="7B61CBCB" w14:textId="77777777" w:rsidR="001B6C38" w:rsidRDefault="00442AE9">
      <w:r>
        <w:t xml:space="preserve"> </w:t>
      </w:r>
    </w:p>
    <w:p w14:paraId="71D4142B" w14:textId="77777777" w:rsidR="001B6C38" w:rsidRDefault="001B6C38"/>
    <w:p w14:paraId="3C9942EA" w14:textId="3CEECFD4" w:rsidR="001B6C38" w:rsidRDefault="001B6C38"/>
    <w:p w14:paraId="5EA8E1FF" w14:textId="77777777" w:rsidR="001B6C38" w:rsidRDefault="00F310E9">
      <w:r>
        <w:pict w14:anchorId="1306A866">
          <v:rect id="_x0000_i1025" style="width:0;height:1.5pt" o:hralign="center" o:hrstd="t" o:hr="t" fillcolor="#a0a0a0" stroked="f"/>
        </w:pict>
      </w:r>
    </w:p>
    <w:p w14:paraId="0FF2EF6C" w14:textId="28BE409A" w:rsidR="001B6C38" w:rsidRDefault="00442AE9">
      <w:r>
        <w:rPr>
          <w:sz w:val="18"/>
          <w:szCs w:val="18"/>
        </w:rPr>
        <w:t xml:space="preserve"> [MW1]</w:t>
      </w:r>
      <w:r w:rsidR="0051745F">
        <w:rPr>
          <w:sz w:val="18"/>
          <w:szCs w:val="18"/>
        </w:rPr>
        <w:t xml:space="preserve"> </w:t>
      </w:r>
      <w:r w:rsidR="0051745F" w:rsidRPr="0051745F">
        <w:t>The inclusion (or not) of this sentence and section will depend on whether the WG believes there are open questions for which community input should be specifically solicited.</w:t>
      </w:r>
    </w:p>
    <w:p w14:paraId="75D7B868" w14:textId="77777777" w:rsidR="001B6C38" w:rsidRDefault="00442AE9">
      <w:r>
        <w:rPr>
          <w:sz w:val="18"/>
          <w:szCs w:val="18"/>
        </w:rPr>
        <w:t xml:space="preserve"> [MW2]</w:t>
      </w:r>
      <w:r>
        <w:t>This may need to be moved up, or repeated a few times in the Initial Report.</w:t>
      </w:r>
    </w:p>
    <w:p w14:paraId="6FCA5421" w14:textId="77777777" w:rsidR="001B6C38" w:rsidRDefault="00442AE9">
      <w:r>
        <w:rPr>
          <w:sz w:val="18"/>
          <w:szCs w:val="18"/>
        </w:rPr>
        <w:t xml:space="preserve"> [MW3]</w:t>
      </w:r>
      <w:r>
        <w:t>Staff continues to have misgivings about this recommendation. We will be happy to elaborate further on this during the WG call.</w:t>
      </w:r>
    </w:p>
    <w:p w14:paraId="400A7AFC" w14:textId="77777777" w:rsidR="001B6C38" w:rsidRDefault="00442AE9">
      <w:r>
        <w:rPr>
          <w:sz w:val="18"/>
          <w:szCs w:val="18"/>
        </w:rPr>
        <w:t xml:space="preserve"> [PC4]</w:t>
      </w:r>
      <w:r>
        <w:t>Need to discuss this language to fully consider its import and to discuss whether the language should be modified. In any event, it will need to be described  at greater length in the explanatory text following.</w:t>
      </w:r>
    </w:p>
    <w:p w14:paraId="6D1CFF45" w14:textId="77777777" w:rsidR="001B6C38" w:rsidRDefault="00442AE9">
      <w:r>
        <w:rPr>
          <w:sz w:val="18"/>
          <w:szCs w:val="18"/>
        </w:rPr>
        <w:t xml:space="preserve"> [PC5]</w:t>
      </w:r>
      <w:r>
        <w:t>This is placeholder language to deal with the situation where registrant loses UDRP, registrant appeals, IGO successfully asserts sovereign immunity and registrant therefore without an appeals avenue.</w:t>
      </w:r>
    </w:p>
    <w:p w14:paraId="0C79DF39" w14:textId="77777777" w:rsidR="001B6C38" w:rsidRDefault="00442AE9">
      <w:r>
        <w:rPr>
          <w:sz w:val="18"/>
          <w:szCs w:val="18"/>
        </w:rPr>
        <w:t xml:space="preserve"> [PC6]</w:t>
      </w:r>
      <w:r>
        <w:t>Are we taking this suggested approach because the issue of costs is somehow beyond on Charter? In any event, we should make clear that we have no ability to authorize spending to provide low or no-cost filings.</w:t>
      </w:r>
    </w:p>
    <w:p w14:paraId="3A754993" w14:textId="77777777" w:rsidR="001B6C38" w:rsidRDefault="00442AE9">
      <w:r>
        <w:t>While I’m not personally opposed to ICANN investigating “feasibility”, I don’t recall our WG reaching a consensus one way or another on that GAC advice.</w:t>
      </w:r>
    </w:p>
    <w:p w14:paraId="40946B43" w14:textId="77777777" w:rsidR="001B6C38" w:rsidRDefault="00442AE9">
      <w:r>
        <w:rPr>
          <w:sz w:val="18"/>
          <w:szCs w:val="18"/>
        </w:rPr>
        <w:t xml:space="preserve"> [PC7]</w:t>
      </w:r>
      <w:r>
        <w:t>Do we really have leeway to incorporate [in the sense of recommending] them in a Final Report when they were not previously considered by the WG (if indeed it’s a new idea we never considered) and the community has had no opportunity to comment on them?</w:t>
      </w:r>
    </w:p>
    <w:p w14:paraId="18E3C188" w14:textId="77777777" w:rsidR="001B6C38" w:rsidRDefault="001B6C38"/>
    <w:sectPr w:rsidR="001B6C38">
      <w:footerReference w:type="even" r:id="rId10"/>
      <w:foot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nonymous" w:date="2016-09-13T16:34:00Z" w:initials="">
    <w:p w14:paraId="384E188B" w14:textId="77777777" w:rsidR="00F310E9" w:rsidRDefault="00F310E9">
      <w:pPr>
        <w:widowControl w:val="0"/>
        <w:spacing w:line="240" w:lineRule="auto"/>
      </w:pPr>
      <w:r>
        <w:t>PRK:  They are already allowed and permitted to use the UDRP/URS.  The issue is limited to their demand to retain immunity relative to post-UDRP/URS proceedings concerning the domain name(s) at issue.</w:t>
      </w:r>
    </w:p>
  </w:comment>
  <w:comment w:id="5" w:author="Paul Raynor Keating" w:date="2016-09-13T16:49:00Z" w:initials="">
    <w:p w14:paraId="37DA2974" w14:textId="77777777" w:rsidR="00F310E9" w:rsidRDefault="00F310E9">
      <w:pPr>
        <w:widowControl w:val="0"/>
        <w:spacing w:line="240" w:lineRule="auto"/>
      </w:pPr>
      <w:r>
        <w:t>PRK:  lacks clarity:  Similar to what (each other or to other complainants)?</w:t>
      </w:r>
    </w:p>
  </w:comment>
  <w:comment w:id="8" w:author="Paul Raynor Keating" w:date="2016-09-13T16:50:00Z" w:initials="">
    <w:p w14:paraId="477520FB" w14:textId="77777777" w:rsidR="00F310E9" w:rsidRDefault="00F310E9">
      <w:pPr>
        <w:widowControl w:val="0"/>
        <w:spacing w:line="240" w:lineRule="auto"/>
      </w:pPr>
      <w:r>
        <w:t>PRK:  what is the "either case" being referenced.</w:t>
      </w:r>
    </w:p>
  </w:comment>
  <w:comment w:id="12" w:author="Paul Raynor Keating" w:date="2016-09-13T16:52:00Z" w:initials="">
    <w:p w14:paraId="737F0EDA" w14:textId="77777777" w:rsidR="00F310E9" w:rsidRDefault="00F310E9">
      <w:pPr>
        <w:widowControl w:val="0"/>
        <w:spacing w:line="240" w:lineRule="auto"/>
      </w:pPr>
      <w:r>
        <w:t>PRK:  Delete "thus"</w:t>
      </w:r>
    </w:p>
  </w:comment>
  <w:comment w:id="15" w:author="Paul Raynor Keating" w:date="2016-09-13T16:52:00Z" w:initials="">
    <w:p w14:paraId="6C69C0F2" w14:textId="77777777" w:rsidR="00F310E9" w:rsidRDefault="00F310E9">
      <w:pPr>
        <w:widowControl w:val="0"/>
        <w:spacing w:line="240" w:lineRule="auto"/>
      </w:pPr>
      <w:r>
        <w:t>PRK:  Change to "the UDRP/URS"</w:t>
      </w:r>
    </w:p>
  </w:comment>
  <w:comment w:id="21" w:author="Paul Raynor Keating" w:date="2016-09-13T17:42:00Z" w:initials="">
    <w:p w14:paraId="301BF894" w14:textId="77777777" w:rsidR="00F310E9" w:rsidRDefault="00F310E9">
      <w:pPr>
        <w:widowControl w:val="0"/>
        <w:spacing w:line="240" w:lineRule="auto"/>
      </w:pPr>
      <w:r>
        <w:t>Suggested Addition:  "·           While issues pertaining to immunity may persist, the Working Group realizes that (a) the assertion of immunity is an election and not a judicial requirement, (b) there is a certain unfairness in permitting a claimant to claim trademark rights and seek enforcement while simultaneously precluding the domain registrant from seeking judicial recourse, and (c)  there appear to be  alternatives available to the IGO/INGO to permit them to effectively assert their relevant trademark rights (e.g.  utilizing a third party commercial organization to assert trademark related claims."</w:t>
      </w:r>
    </w:p>
  </w:comment>
  <w:comment w:id="22" w:author="Steve Chan" w:date="2016-09-20T15:08:00Z" w:initials="SC">
    <w:p w14:paraId="6CBD3117" w14:textId="1557F24F" w:rsidR="00F310E9" w:rsidRDefault="00F310E9">
      <w:pPr>
        <w:pStyle w:val="CommentText"/>
      </w:pPr>
      <w:r>
        <w:rPr>
          <w:rStyle w:val="CommentReference"/>
        </w:rPr>
        <w:annotationRef/>
      </w:r>
      <w:r>
        <w:t>Per WG discussions, immunity is not relevant to INGOs and the absence of immunity is a determining factor in reaching the conclusion that existing DRPs are adequate.</w:t>
      </w:r>
    </w:p>
  </w:comment>
  <w:comment w:id="24" w:author="Paul Raynor Keating" w:date="2016-09-13T16:57:00Z" w:initials="">
    <w:p w14:paraId="3C1C1890" w14:textId="77777777" w:rsidR="00F310E9" w:rsidRDefault="00F310E9">
      <w:pPr>
        <w:widowControl w:val="0"/>
        <w:spacing w:line="240" w:lineRule="auto"/>
      </w:pPr>
      <w:r>
        <w:t>PRK:  Change to: "have and enforce their trademark rights.  There is no perceivable....."</w:t>
      </w:r>
    </w:p>
  </w:comment>
  <w:comment w:id="30" w:author="Paul Raynor Keating" w:date="2016-09-13T17:11:00Z" w:initials="">
    <w:p w14:paraId="1CE71B24" w14:textId="77777777" w:rsidR="00F310E9" w:rsidRDefault="00F310E9">
      <w:pPr>
        <w:widowControl w:val="0"/>
        <w:spacing w:line="240" w:lineRule="auto"/>
      </w:pPr>
      <w:r>
        <w:t xml:space="preserve">PRK:  This does not seem to be logically connected.  </w:t>
      </w:r>
    </w:p>
    <w:p w14:paraId="6908EAD9" w14:textId="77777777" w:rsidR="00F310E9" w:rsidRDefault="00F310E9">
      <w:pPr>
        <w:widowControl w:val="0"/>
        <w:spacing w:line="240" w:lineRule="auto"/>
      </w:pPr>
    </w:p>
    <w:p w14:paraId="16267E92" w14:textId="77777777" w:rsidR="00F310E9" w:rsidRDefault="00F310E9">
      <w:pPr>
        <w:widowControl w:val="0"/>
        <w:spacing w:line="240" w:lineRule="auto"/>
      </w:pPr>
      <w:r>
        <w:t xml:space="preserve">  I agree that IGOs may assert immunity but it is optional - they may elect not to do so.</w:t>
      </w:r>
    </w:p>
    <w:p w14:paraId="5DD2648E" w14:textId="77777777" w:rsidR="00F310E9" w:rsidRDefault="00F310E9">
      <w:pPr>
        <w:widowControl w:val="0"/>
        <w:spacing w:line="240" w:lineRule="auto"/>
      </w:pPr>
    </w:p>
    <w:p w14:paraId="6B687A4B" w14:textId="77777777" w:rsidR="00F310E9" w:rsidRDefault="00F310E9">
      <w:pPr>
        <w:widowControl w:val="0"/>
        <w:spacing w:line="240" w:lineRule="auto"/>
      </w:pPr>
      <w:r>
        <w:t xml:space="preserve">   However, how is this "unlike" INGOs?</w:t>
      </w:r>
    </w:p>
    <w:p w14:paraId="22287FDE" w14:textId="77777777" w:rsidR="00F310E9" w:rsidRDefault="00F310E9">
      <w:pPr>
        <w:widowControl w:val="0"/>
        <w:spacing w:line="240" w:lineRule="auto"/>
      </w:pPr>
    </w:p>
    <w:p w14:paraId="06BE1B6D" w14:textId="77777777" w:rsidR="00F310E9" w:rsidRDefault="00F310E9">
      <w:pPr>
        <w:widowControl w:val="0"/>
        <w:spacing w:line="240" w:lineRule="auto"/>
      </w:pPr>
      <w:r>
        <w:t>To the extent INGOs may assert immunity it is also optional.</w:t>
      </w:r>
    </w:p>
  </w:comment>
  <w:comment w:id="31" w:author="Steve Chan" w:date="2016-09-20T15:12:00Z" w:initials="SC">
    <w:p w14:paraId="20919955" w14:textId="757CD4D8" w:rsidR="00F310E9" w:rsidRDefault="00F310E9">
      <w:pPr>
        <w:pStyle w:val="CommentText"/>
      </w:pPr>
      <w:r>
        <w:rPr>
          <w:rStyle w:val="CommentReference"/>
        </w:rPr>
        <w:annotationRef/>
      </w:r>
      <w:r>
        <w:t>Per WG discussions, INGOs are not able to assert immunity.</w:t>
      </w:r>
    </w:p>
  </w:comment>
  <w:comment w:id="32" w:author="Paul Raynor Keating" w:date="2016-09-13T17:14:00Z" w:initials="">
    <w:p w14:paraId="462EEBC8" w14:textId="77777777" w:rsidR="00F310E9" w:rsidRDefault="00F310E9">
      <w:pPr>
        <w:widowControl w:val="0"/>
        <w:spacing w:line="240" w:lineRule="auto"/>
      </w:pPr>
      <w:r>
        <w:t>PRK:  This should be a separate bullet point and either 1st or 2nd on the list.  I also suggest we change the sentence to read:  "The existing system appears to be sufficient.  The Working Group’s research revealed that INGOs regularly use the UDRP to protect their rights.  Although the Working Group sought comments directly from the NGO/INGO community it received no evidence that any NGO/INGO had forgone exercising their rights under the UDRP/URS because of the immunity issue."</w:t>
      </w:r>
    </w:p>
  </w:comment>
  <w:comment w:id="35" w:author="Paul Raynor Keating" w:date="2016-09-13T17:28:00Z" w:initials="">
    <w:p w14:paraId="11182091" w14:textId="77777777" w:rsidR="00F310E9" w:rsidRDefault="00F310E9">
      <w:pPr>
        <w:widowControl w:val="0"/>
        <w:spacing w:line="240" w:lineRule="auto"/>
      </w:pPr>
      <w:r>
        <w:t xml:space="preserve">PRK  Change:  </w:t>
      </w:r>
    </w:p>
    <w:p w14:paraId="65A60409" w14:textId="77777777" w:rsidR="00F310E9" w:rsidRDefault="00F310E9">
      <w:pPr>
        <w:widowControl w:val="0"/>
        <w:spacing w:line="240" w:lineRule="auto"/>
      </w:pPr>
    </w:p>
    <w:p w14:paraId="2CF5B14D" w14:textId="77777777" w:rsidR="00F310E9" w:rsidRDefault="00F310E9">
      <w:pPr>
        <w:widowControl w:val="0"/>
        <w:spacing w:line="240" w:lineRule="auto"/>
      </w:pPr>
      <w:r>
        <w:t>"While some INGOs may be concerned about the costs of the UDRP/URS process, the Working Group found that such issues were beyond the scope of the Working Group Charter.  Evidence showed that the majority of costs related to a UDRP/URS proceeding are professional fees as opposed to ADR processing fees.  The Working Group saw no reason why IGOs/INGOs could not request processing fee reductions directly from the ADR provider.  No evidence was received to indicate that any IGO/INGO had requested such relief or that any request had been denied.</w:t>
      </w:r>
    </w:p>
    <w:p w14:paraId="689F9D41" w14:textId="77777777" w:rsidR="00F310E9" w:rsidRDefault="00F310E9">
      <w:pPr>
        <w:widowControl w:val="0"/>
        <w:spacing w:line="240" w:lineRule="auto"/>
      </w:pPr>
    </w:p>
    <w:p w14:paraId="4E60AEFD" w14:textId="77777777" w:rsidR="00F310E9" w:rsidRDefault="00F310E9">
      <w:pPr>
        <w:widowControl w:val="0"/>
        <w:spacing w:line="240" w:lineRule="auto"/>
      </w:pPr>
      <w:r>
        <w:t>Moreover, it is highly unlikely that any alternative ADR process would be any more cost-effective for any IGO/INGO and would certainly impose a further burden upon domain registrants and ADR providers."</w:t>
      </w:r>
    </w:p>
  </w:comment>
  <w:comment w:id="38" w:author="Paul Raynor Keating" w:date="2016-09-13T17:29:00Z" w:initials="">
    <w:p w14:paraId="6E25FAB9" w14:textId="77777777" w:rsidR="00F310E9" w:rsidRDefault="00F310E9">
      <w:pPr>
        <w:widowControl w:val="0"/>
        <w:spacing w:line="240" w:lineRule="auto"/>
      </w:pPr>
      <w:r>
        <w:t>Delete:  "with it"</w:t>
      </w:r>
    </w:p>
  </w:comment>
  <w:comment w:id="40" w:author="Paul Raynor Keating" w:date="2016-09-13T17:32:00Z" w:initials="">
    <w:p w14:paraId="42106ABE" w14:textId="77777777" w:rsidR="00F310E9" w:rsidRDefault="00F310E9">
      <w:pPr>
        <w:widowControl w:val="0"/>
        <w:spacing w:line="240" w:lineRule="auto"/>
      </w:pPr>
      <w:r>
        <w:t>I do not recall if we discovered what the process was for being included in the ECOSOS list.</w:t>
      </w:r>
    </w:p>
    <w:p w14:paraId="0ADBC548" w14:textId="77777777" w:rsidR="00F310E9" w:rsidRDefault="00F310E9">
      <w:pPr>
        <w:widowControl w:val="0"/>
        <w:spacing w:line="240" w:lineRule="auto"/>
      </w:pPr>
    </w:p>
    <w:p w14:paraId="2C2C0EDC" w14:textId="77777777" w:rsidR="00F310E9" w:rsidRDefault="00F310E9">
      <w:pPr>
        <w:widowControl w:val="0"/>
        <w:spacing w:line="240" w:lineRule="auto"/>
      </w:pPr>
      <w:r>
        <w:t>I presume it involves being listed by a sponsoring governmental authority with inclusion automatically following a notice and non-objection process.  If that is the case then we should add a line item noting the lack of qualification process and then concluding with the last 2 sentences.</w:t>
      </w:r>
    </w:p>
  </w:comment>
  <w:comment w:id="41" w:author="Paul Raynor Keating" w:date="2016-09-13T17:32:00Z" w:initials="">
    <w:p w14:paraId="3142CE23" w14:textId="77777777" w:rsidR="00F310E9" w:rsidRDefault="00F310E9">
      <w:pPr>
        <w:widowControl w:val="0"/>
        <w:spacing w:line="240" w:lineRule="auto"/>
      </w:pPr>
      <w:r>
        <w:t>they actively defend and enforce</w:t>
      </w:r>
    </w:p>
  </w:comment>
  <w:comment w:id="42" w:author="Paul Raynor Keating" w:date="2016-09-13T17:33:00Z" w:initials="">
    <w:p w14:paraId="6AEAE1BD" w14:textId="77777777" w:rsidR="00F310E9" w:rsidRDefault="00F310E9">
      <w:pPr>
        <w:widowControl w:val="0"/>
        <w:spacing w:line="240" w:lineRule="auto"/>
      </w:pPr>
      <w:r>
        <w:t>by</w:t>
      </w:r>
    </w:p>
  </w:comment>
  <w:comment w:id="43" w:author="Paul Raynor Keating" w:date="2016-09-13T17:33:00Z" w:initials="">
    <w:p w14:paraId="4FE3055F" w14:textId="77777777" w:rsidR="00F310E9" w:rsidRDefault="00F310E9">
      <w:pPr>
        <w:widowControl w:val="0"/>
        <w:spacing w:line="240" w:lineRule="auto"/>
      </w:pPr>
      <w:r>
        <w:t>existing curative</w:t>
      </w:r>
    </w:p>
  </w:comment>
  <w:comment w:id="72" w:author="Paul Raynor Keating" w:date="2016-09-13T17:46:00Z" w:initials="">
    <w:p w14:paraId="5351F523" w14:textId="77777777" w:rsidR="00F310E9" w:rsidRDefault="00F310E9">
      <w:pPr>
        <w:widowControl w:val="0"/>
        <w:spacing w:line="240" w:lineRule="auto"/>
      </w:pPr>
      <w:r>
        <w:t>Change:  "Under both the UDRP and URS a complainant must, as a threshold, establish that it holds rights in a trademark or service mark."</w:t>
      </w:r>
    </w:p>
  </w:comment>
  <w:comment w:id="76" w:author="Paul Raynor Keating" w:date="2016-09-13T18:19:00Z" w:initials="">
    <w:p w14:paraId="0A362193" w14:textId="77777777" w:rsidR="00F310E9" w:rsidRDefault="00F310E9">
      <w:pPr>
        <w:widowControl w:val="0"/>
        <w:spacing w:line="240" w:lineRule="auto"/>
      </w:pPr>
      <w:r>
        <w:t>Change:  "threshold may be satisfied by establishing either ownership or exclusive license rights in the trademark or service mark."  In the UDRP context, trademark rights do not require registration and may be established by evidence of use (referenced as "common law" rights).  URS proceedings, however, require proof of (a) registration and actual use; (b) validation by court proceedings; or (c) protection by specific statute or treaty presently in force.</w:t>
      </w:r>
    </w:p>
  </w:comment>
  <w:comment w:id="85" w:author="Paul Raynor Keating" w:date="2016-09-13T18:23:00Z" w:initials="">
    <w:p w14:paraId="59B2C06B" w14:textId="77777777" w:rsidR="00F310E9" w:rsidRDefault="00F310E9">
      <w:pPr>
        <w:widowControl w:val="0"/>
        <w:spacing w:line="240" w:lineRule="auto"/>
      </w:pPr>
      <w:r>
        <w:t>Suggested addition.</w:t>
      </w:r>
    </w:p>
  </w:comment>
  <w:comment w:id="86" w:author="Paul Raynor Keating" w:date="2016-09-13T19:20:00Z" w:initials="">
    <w:p w14:paraId="398CB5AB" w14:textId="77777777" w:rsidR="00F310E9" w:rsidRDefault="00F310E9">
      <w:pPr>
        <w:widowControl w:val="0"/>
        <w:spacing w:line="240" w:lineRule="auto"/>
      </w:pPr>
      <w:r>
        <w:t>I propose the following for discussion:</w:t>
      </w:r>
    </w:p>
    <w:p w14:paraId="66223111" w14:textId="77777777" w:rsidR="00F310E9" w:rsidRDefault="00F310E9">
      <w:pPr>
        <w:widowControl w:val="0"/>
        <w:spacing w:line="240" w:lineRule="auto"/>
      </w:pPr>
    </w:p>
    <w:p w14:paraId="48C1521C" w14:textId="77777777" w:rsidR="00F310E9" w:rsidRDefault="00F310E9">
      <w:pPr>
        <w:widowControl w:val="0"/>
        <w:spacing w:line="240" w:lineRule="auto"/>
      </w:pPr>
      <w:r>
        <w:t>6Ter does not provide for any trademark rights itself.  It merely imposes a burden on signatory states to prohibit registrations of trademarks or use in trademarks that are identical BUT ONLY IF it suggests a connection at the public level or if use/registration does not likely mislead the public as to such a connection.  In other words, absent satisfying Para (c) there is no "trademark" protection at all.</w:t>
      </w:r>
    </w:p>
    <w:p w14:paraId="3B77DC75" w14:textId="77777777" w:rsidR="00F310E9" w:rsidRDefault="00F310E9">
      <w:pPr>
        <w:widowControl w:val="0"/>
        <w:spacing w:line="240" w:lineRule="auto"/>
      </w:pPr>
    </w:p>
    <w:p w14:paraId="005137A5" w14:textId="77777777" w:rsidR="00F310E9" w:rsidRDefault="00F310E9">
      <w:pPr>
        <w:widowControl w:val="0"/>
        <w:spacing w:line="240" w:lineRule="auto"/>
      </w:pPr>
      <w:r>
        <w:t>It would not be sufficient IMHO for an NGO.INGO to show 6ter publication, lack of legitimate interest, and bad faith without satisfying Para(c).</w:t>
      </w:r>
    </w:p>
    <w:p w14:paraId="46D05ED4" w14:textId="77777777" w:rsidR="00F310E9" w:rsidRDefault="00F310E9">
      <w:pPr>
        <w:widowControl w:val="0"/>
        <w:spacing w:line="240" w:lineRule="auto"/>
      </w:pPr>
    </w:p>
    <w:p w14:paraId="42D2B319" w14:textId="77777777" w:rsidR="00F310E9" w:rsidRDefault="00F310E9">
      <w:pPr>
        <w:widowControl w:val="0"/>
        <w:spacing w:line="240" w:lineRule="auto"/>
      </w:pPr>
      <w:r>
        <w:t>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 As discussed further below (in ____), the Working Group believes that this limitation potentially reflects an additional substantive threshold (in addition to the other elements of the UDRP/URS) that must be met to assert any rights under the Convention.</w:t>
      </w:r>
    </w:p>
  </w:comment>
  <w:comment w:id="87" w:author="Paul Raynor Keating" w:date="2016-09-13T18:28:00Z" w:initials="">
    <w:p w14:paraId="282DA445" w14:textId="77777777" w:rsidR="00F310E9" w:rsidRDefault="00F310E9">
      <w:pPr>
        <w:widowControl w:val="0"/>
        <w:spacing w:line="240" w:lineRule="auto"/>
      </w:pPr>
      <w:r>
        <w:t>I have difficulties agreeing to this recommendation.  No additional documentation is required.</w:t>
      </w:r>
    </w:p>
    <w:p w14:paraId="7A03AAE7" w14:textId="77777777" w:rsidR="00F310E9" w:rsidRDefault="00F310E9">
      <w:pPr>
        <w:widowControl w:val="0"/>
        <w:spacing w:line="240" w:lineRule="auto"/>
      </w:pPr>
    </w:p>
    <w:p w14:paraId="79C056D3" w14:textId="77777777" w:rsidR="00F310E9" w:rsidRDefault="00F310E9">
      <w:pPr>
        <w:widowControl w:val="0"/>
        <w:spacing w:line="240" w:lineRule="auto"/>
      </w:pPr>
      <w:r>
        <w:t>I believe that in the UDRP context the language is sufficiently broad such that panelists would recognize the nature of the claim raised.  Because the UDRP is not restricted to "registered" trademarks, complainants are free to satisfy the threshold by way of evidence of substantial equivalence (e.g. 6ter(1)(b) compliance or common law trademark rights).  As such, no additional documentation or advice is necessary for the UDRP.</w:t>
      </w:r>
    </w:p>
    <w:p w14:paraId="62CFE70B" w14:textId="77777777" w:rsidR="00F310E9" w:rsidRDefault="00F310E9">
      <w:pPr>
        <w:widowControl w:val="0"/>
        <w:spacing w:line="240" w:lineRule="auto"/>
      </w:pPr>
    </w:p>
    <w:p w14:paraId="5CDF7DB7" w14:textId="77777777" w:rsidR="00F310E9" w:rsidRDefault="00F310E9">
      <w:pPr>
        <w:widowControl w:val="0"/>
        <w:spacing w:line="240" w:lineRule="auto"/>
      </w:pPr>
      <w:r>
        <w:t>As concerns the URS, the protection by treaty is already embodied in Paragraph 1.2.6.1.  It is the responsibility of the complainant (or its counsel) to assert the basis of rights.  It is not the place of ICANN (or this Working Group) to do the work of complainants for them.  Nor is it the place of ICANN (or this Working Group) to advise panelists as to how they should or should not analyze the cases before them.</w:t>
      </w:r>
    </w:p>
  </w:comment>
  <w:comment w:id="115" w:author="Paul Raynor Keating" w:date="2016-09-13T19:04:00Z" w:initials="">
    <w:p w14:paraId="04E6C4D4" w14:textId="77777777" w:rsidR="00F310E9" w:rsidRDefault="00F310E9">
      <w:pPr>
        <w:widowControl w:val="0"/>
        <w:spacing w:line="240" w:lineRule="auto"/>
      </w:pPr>
      <w:r>
        <w:t>It COULD be easily argued that Para(c) in fact operates as a condition for the recognition of the right AND that this condition presents a higher burden for the complainant because it is not merely a text vs text comparison but necessarily includes establishing an element of confusion at the level of the public.</w:t>
      </w:r>
    </w:p>
  </w:comment>
  <w:comment w:id="118" w:author="Steve Chan" w:date="2016-09-21T17:38:00Z" w:initials="SC">
    <w:p w14:paraId="17607854" w14:textId="3AC762E6" w:rsidR="00F310E9" w:rsidRDefault="00F310E9">
      <w:pPr>
        <w:pStyle w:val="CommentText"/>
      </w:pPr>
      <w:r>
        <w:rPr>
          <w:rStyle w:val="CommentReference"/>
        </w:rPr>
        <w:annotationRef/>
      </w:r>
      <w:r>
        <w:t>I don’t see an explanation for how the WG reached this conclusion. If I’ve missed it, should include language that states essentially that “…allowing action to be brought by assignee, agent, or licensee should eliminate most assertions of jurisdictional immunity at appeals stages, providing that the court recognizes validity on the original procedure transfer of rights.”</w:t>
      </w:r>
    </w:p>
  </w:comment>
  <w:comment w:id="311" w:author="Mary Wong" w:date="2016-09-28T13:28:00Z" w:initials="MW">
    <w:p w14:paraId="6A29617C" w14:textId="6B533E0E" w:rsidR="00F310E9" w:rsidRDefault="00F310E9">
      <w:pPr>
        <w:pStyle w:val="CommentText"/>
      </w:pPr>
      <w:r>
        <w:rPr>
          <w:rStyle w:val="CommentReference"/>
        </w:rPr>
        <w:annotationRef/>
      </w:r>
      <w:r>
        <w:t>In the Deliberations section, we should describe the Working Group’s review of the WIPO Secretariat paper on arbitral options and discussion of the UNCITRAL Rules.</w:t>
      </w:r>
    </w:p>
  </w:comment>
  <w:comment w:id="385" w:author="Mary Wong" w:date="2016-09-28T13:27:00Z" w:initials="MW">
    <w:p w14:paraId="31A084D2" w14:textId="0199DFC3" w:rsidR="00F310E9" w:rsidRDefault="00F310E9">
      <w:pPr>
        <w:pStyle w:val="CommentText"/>
      </w:pPr>
      <w:r>
        <w:rPr>
          <w:rStyle w:val="CommentReference"/>
        </w:rPr>
        <w:annotationRef/>
      </w:r>
      <w:r>
        <w:t>We will need to confirm this.</w:t>
      </w:r>
    </w:p>
  </w:comment>
  <w:comment w:id="424" w:author="Steve Chan" w:date="2016-09-27T18:21:00Z" w:initials="SC">
    <w:p w14:paraId="018F082E" w14:textId="3B40CAEE" w:rsidR="00F310E9" w:rsidRDefault="00F310E9">
      <w:pPr>
        <w:pStyle w:val="CommentText"/>
      </w:pPr>
      <w:r>
        <w:rPr>
          <w:rStyle w:val="CommentReference"/>
        </w:rPr>
        <w:annotationRef/>
      </w:r>
      <w:r>
        <w:t xml:space="preserve">Consider whether copyright disputes are commercial activities. </w:t>
      </w:r>
    </w:p>
  </w:comment>
  <w:comment w:id="425" w:author="Mary Wong" w:date="2016-09-28T13:32:00Z" w:initials="MW">
    <w:p w14:paraId="06ED68B4" w14:textId="1B8A9CAA" w:rsidR="00F310E9" w:rsidRDefault="00F310E9">
      <w:pPr>
        <w:pStyle w:val="CommentText"/>
      </w:pPr>
      <w:r>
        <w:rPr>
          <w:rStyle w:val="CommentReference"/>
        </w:rPr>
        <w:annotationRef/>
      </w:r>
      <w:r>
        <w:t xml:space="preserve">I don’t really understand the reference to copyright, which isn’t within the scope of the UDRP or URS, and isn’t in any case implicated by the registration or use of a domain name. </w:t>
      </w:r>
    </w:p>
  </w:comment>
  <w:comment w:id="463" w:author="Mary Wong" w:date="2016-09-28T13:37:00Z" w:initials="MW">
    <w:p w14:paraId="129C66E7" w14:textId="2E21E63D" w:rsidR="00F310E9" w:rsidRDefault="00F310E9">
      <w:pPr>
        <w:pStyle w:val="CommentText"/>
      </w:pPr>
      <w:r>
        <w:rPr>
          <w:rStyle w:val="CommentReference"/>
        </w:rPr>
        <w:annotationRef/>
      </w:r>
      <w:r>
        <w:t>To be more fully fleshed out in the Deliberations section.</w:t>
      </w:r>
    </w:p>
  </w:comment>
  <w:comment w:id="470" w:author="Steve Chan" w:date="2016-09-27T18:53:00Z" w:initials="SC">
    <w:p w14:paraId="63CF7A0E" w14:textId="5A389974" w:rsidR="00F310E9" w:rsidRDefault="00F310E9">
      <w:pPr>
        <w:pStyle w:val="CommentText"/>
      </w:pPr>
      <w:r>
        <w:rPr>
          <w:rStyle w:val="CommentReference"/>
        </w:rPr>
        <w:annotationRef/>
      </w:r>
      <w:r>
        <w:t>Perhaps to be added in deliberations? – “The Working Group notes that even if electing to file a UDRP or URA constitutes a waiver of immunity, this would not necessarily signify a waiver in any subsequent appeals to the decision – the court in the particular jurisdiction would ultimately be responsible for determining if an IGO is able to assert immunity.”</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4E188B" w15:done="0"/>
  <w15:commentEx w15:paraId="37DA2974" w15:done="0"/>
  <w15:commentEx w15:paraId="477520FB" w15:done="0"/>
  <w15:commentEx w15:paraId="737F0EDA" w15:done="0"/>
  <w15:commentEx w15:paraId="6C69C0F2" w15:done="0"/>
  <w15:commentEx w15:paraId="301BF894" w15:done="0"/>
  <w15:commentEx w15:paraId="6CBD3117" w15:paraIdParent="301BF894" w15:done="0"/>
  <w15:commentEx w15:paraId="3C1C1890" w15:done="0"/>
  <w15:commentEx w15:paraId="06BE1B6D" w15:done="0"/>
  <w15:commentEx w15:paraId="20919955" w15:paraIdParent="06BE1B6D" w15:done="0"/>
  <w15:commentEx w15:paraId="462EEBC8" w15:done="0"/>
  <w15:commentEx w15:paraId="4E60AEFD" w15:done="0"/>
  <w15:commentEx w15:paraId="6E25FAB9" w15:done="0"/>
  <w15:commentEx w15:paraId="2C2C0EDC" w15:done="0"/>
  <w15:commentEx w15:paraId="3142CE23" w15:done="0"/>
  <w15:commentEx w15:paraId="6AEAE1BD" w15:done="0"/>
  <w15:commentEx w15:paraId="4FE3055F" w15:done="0"/>
  <w15:commentEx w15:paraId="5351F523" w15:done="0"/>
  <w15:commentEx w15:paraId="0A362193" w15:done="0"/>
  <w15:commentEx w15:paraId="59B2C06B" w15:done="0"/>
  <w15:commentEx w15:paraId="42D2B319" w15:done="0"/>
  <w15:commentEx w15:paraId="5CDF7DB7" w15:done="0"/>
  <w15:commentEx w15:paraId="04E6C4D4" w15:done="0"/>
  <w15:commentEx w15:paraId="17607854" w15:done="0"/>
  <w15:commentEx w15:paraId="6A29617C" w15:done="0"/>
  <w15:commentEx w15:paraId="31A084D2" w15:done="0"/>
  <w15:commentEx w15:paraId="018F082E" w15:done="0"/>
  <w15:commentEx w15:paraId="06ED68B4" w15:paraIdParent="018F082E" w15:done="0"/>
  <w15:commentEx w15:paraId="129C66E7" w15:done="0"/>
  <w15:commentEx w15:paraId="63CF7A0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990E5" w14:textId="77777777" w:rsidR="00D86E9A" w:rsidRDefault="00D86E9A" w:rsidP="00C65062">
      <w:pPr>
        <w:spacing w:line="240" w:lineRule="auto"/>
      </w:pPr>
      <w:r>
        <w:separator/>
      </w:r>
    </w:p>
  </w:endnote>
  <w:endnote w:type="continuationSeparator" w:id="0">
    <w:p w14:paraId="110182D7" w14:textId="77777777" w:rsidR="00D86E9A" w:rsidRDefault="00D86E9A" w:rsidP="00C65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9E890" w14:textId="77777777" w:rsidR="00F310E9" w:rsidRDefault="00F310E9" w:rsidP="00F310E9">
    <w:pPr>
      <w:pStyle w:val="Footer"/>
      <w:framePr w:wrap="none" w:vAnchor="text" w:hAnchor="margin" w:xAlign="right" w:y="1"/>
      <w:rPr>
        <w:ins w:id="588" w:author="Mary Wong" w:date="2016-09-28T13:46:00Z"/>
        <w:rStyle w:val="PageNumber"/>
      </w:rPr>
    </w:pPr>
    <w:ins w:id="589" w:author="Mary Wong" w:date="2016-09-28T13:46:00Z">
      <w:r>
        <w:rPr>
          <w:rStyle w:val="PageNumber"/>
        </w:rPr>
        <w:fldChar w:fldCharType="begin"/>
      </w:r>
      <w:r>
        <w:rPr>
          <w:rStyle w:val="PageNumber"/>
        </w:rPr>
        <w:instrText xml:space="preserve">PAGE  </w:instrText>
      </w:r>
      <w:r>
        <w:rPr>
          <w:rStyle w:val="PageNumber"/>
        </w:rPr>
        <w:fldChar w:fldCharType="end"/>
      </w:r>
    </w:ins>
  </w:p>
  <w:p w14:paraId="0AEAE4D8" w14:textId="77777777" w:rsidR="00F310E9" w:rsidRDefault="00F310E9" w:rsidP="00F310E9">
    <w:pPr>
      <w:pStyle w:val="Footer"/>
      <w:ind w:right="360"/>
      <w:pPrChange w:id="590" w:author="Mary Wong" w:date="2016-09-28T13:46: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BA04C" w14:textId="77777777" w:rsidR="00F310E9" w:rsidRDefault="00F310E9" w:rsidP="00F310E9">
    <w:pPr>
      <w:pStyle w:val="Footer"/>
      <w:framePr w:wrap="none" w:vAnchor="text" w:hAnchor="margin" w:xAlign="right" w:y="1"/>
      <w:rPr>
        <w:ins w:id="591" w:author="Mary Wong" w:date="2016-09-28T13:46:00Z"/>
        <w:rStyle w:val="PageNumber"/>
      </w:rPr>
    </w:pPr>
    <w:ins w:id="592" w:author="Mary Wong" w:date="2016-09-28T13:46:00Z">
      <w:r>
        <w:rPr>
          <w:rStyle w:val="PageNumber"/>
        </w:rPr>
        <w:fldChar w:fldCharType="begin"/>
      </w:r>
      <w:r>
        <w:rPr>
          <w:rStyle w:val="PageNumber"/>
        </w:rPr>
        <w:instrText xml:space="preserve">PAGE  </w:instrText>
      </w:r>
    </w:ins>
    <w:r>
      <w:rPr>
        <w:rStyle w:val="PageNumber"/>
      </w:rPr>
      <w:fldChar w:fldCharType="separate"/>
    </w:r>
    <w:r w:rsidR="00C00B36">
      <w:rPr>
        <w:rStyle w:val="PageNumber"/>
        <w:noProof/>
      </w:rPr>
      <w:t>10</w:t>
    </w:r>
    <w:ins w:id="593" w:author="Mary Wong" w:date="2016-09-28T13:46:00Z">
      <w:r>
        <w:rPr>
          <w:rStyle w:val="PageNumber"/>
        </w:rPr>
        <w:fldChar w:fldCharType="end"/>
      </w:r>
    </w:ins>
  </w:p>
  <w:p w14:paraId="485C3C21" w14:textId="77777777" w:rsidR="00F310E9" w:rsidRDefault="00F310E9" w:rsidP="00F310E9">
    <w:pPr>
      <w:pStyle w:val="Footer"/>
      <w:ind w:right="360"/>
      <w:pPrChange w:id="594" w:author="Mary Wong" w:date="2016-09-28T13:46: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B6CB1" w14:textId="77777777" w:rsidR="00D86E9A" w:rsidRDefault="00D86E9A" w:rsidP="00C65062">
      <w:pPr>
        <w:spacing w:line="240" w:lineRule="auto"/>
      </w:pPr>
      <w:r>
        <w:separator/>
      </w:r>
    </w:p>
  </w:footnote>
  <w:footnote w:type="continuationSeparator" w:id="0">
    <w:p w14:paraId="2198F474" w14:textId="77777777" w:rsidR="00D86E9A" w:rsidRDefault="00D86E9A" w:rsidP="00C65062">
      <w:pPr>
        <w:spacing w:line="240" w:lineRule="auto"/>
      </w:pPr>
      <w:r>
        <w:continuationSeparator/>
      </w:r>
    </w:p>
  </w:footnote>
  <w:footnote w:id="1">
    <w:p w14:paraId="37929E27" w14:textId="7071EAED" w:rsidR="00F310E9" w:rsidRDefault="00F310E9">
      <w:pPr>
        <w:pStyle w:val="FootnoteText"/>
      </w:pPr>
      <w:ins w:id="17" w:author="Steve Chan" w:date="2016-09-20T16:21:00Z">
        <w:r>
          <w:rPr>
            <w:rStyle w:val="FootnoteReference"/>
          </w:rPr>
          <w:footnoteRef/>
        </w:r>
        <w:r>
          <w:t xml:space="preserve"> </w:t>
        </w:r>
        <w:r w:rsidRPr="00C65062">
          <w:rPr>
            <w:sz w:val="18"/>
            <w:szCs w:val="18"/>
            <w:rPrChange w:id="18" w:author="Steve Chan" w:date="2016-09-20T16:21:00Z">
              <w:rPr>
                <w:sz w:val="20"/>
                <w:szCs w:val="20"/>
              </w:rPr>
            </w:rPrChange>
          </w:rPr>
          <w:t>The rationale described in this Section were also sent to all ICANN SOs and ACs as part of the Working Group’s solicitation of input from these groups in December 2014, as required by the GNSO’s PDP Manual. The Working Group notes that no objection to this preliminary conclusion or the rationale was raised by any SO, AC or other ICANN community group.</w:t>
        </w:r>
      </w:ins>
    </w:p>
  </w:footnote>
  <w:footnote w:id="2">
    <w:p w14:paraId="17C8C805" w14:textId="77777777" w:rsidR="00F310E9" w:rsidRPr="0051745F" w:rsidDel="0051745F" w:rsidRDefault="00F310E9" w:rsidP="0051745F">
      <w:pPr>
        <w:rPr>
          <w:del w:id="45" w:author="Steve Chan" w:date="2016-09-20T16:24:00Z"/>
          <w:sz w:val="18"/>
          <w:szCs w:val="18"/>
          <w:rPrChange w:id="46" w:author="Steve Chan" w:date="2016-09-20T16:26:00Z">
            <w:rPr>
              <w:del w:id="47" w:author="Steve Chan" w:date="2016-09-20T16:24:00Z"/>
            </w:rPr>
          </w:rPrChange>
        </w:rPr>
      </w:pPr>
      <w:r>
        <w:rPr>
          <w:rStyle w:val="FootnoteReference"/>
        </w:rPr>
        <w:footnoteRef/>
      </w:r>
      <w:r>
        <w:t xml:space="preserve"> </w:t>
      </w:r>
      <w:r w:rsidRPr="0051745F">
        <w:rPr>
          <w:sz w:val="18"/>
          <w:szCs w:val="18"/>
          <w:rPrChange w:id="48" w:author="Steve Chan" w:date="2016-09-20T16:26:00Z">
            <w:rPr>
              <w:sz w:val="20"/>
              <w:szCs w:val="20"/>
            </w:rPr>
          </w:rPrChange>
        </w:rPr>
        <w:t>See, e.g., page 4 of the Final Issue Report (</w:t>
      </w:r>
      <w:r w:rsidRPr="0051745F">
        <w:rPr>
          <w:sz w:val="18"/>
          <w:szCs w:val="18"/>
          <w:rPrChange w:id="49" w:author="Steve Chan" w:date="2016-09-20T16:26:00Z">
            <w:rPr>
              <w:color w:val="1155CC"/>
              <w:sz w:val="20"/>
              <w:szCs w:val="20"/>
              <w:u w:val="single"/>
            </w:rPr>
          </w:rPrChange>
        </w:rPr>
        <w:fldChar w:fldCharType="begin"/>
      </w:r>
      <w:r w:rsidRPr="0051745F">
        <w:rPr>
          <w:sz w:val="18"/>
          <w:szCs w:val="18"/>
          <w:rPrChange w:id="50" w:author="Steve Chan" w:date="2016-09-20T16:26:00Z">
            <w:rPr/>
          </w:rPrChange>
        </w:rPr>
        <w:instrText xml:space="preserve"> HYPERLINK "https://gnso.icann.org/en/issues/igo-ingo-crp-access-final-25may14-en.pdf)" \h </w:instrText>
      </w:r>
      <w:r w:rsidRPr="0051745F">
        <w:rPr>
          <w:sz w:val="18"/>
          <w:szCs w:val="18"/>
          <w:rPrChange w:id="51" w:author="Steve Chan" w:date="2016-09-20T16:26:00Z">
            <w:rPr>
              <w:color w:val="1155CC"/>
              <w:sz w:val="20"/>
              <w:szCs w:val="20"/>
              <w:u w:val="single"/>
            </w:rPr>
          </w:rPrChange>
        </w:rPr>
        <w:fldChar w:fldCharType="separate"/>
      </w:r>
      <w:r w:rsidRPr="0051745F">
        <w:rPr>
          <w:color w:val="1155CC"/>
          <w:sz w:val="18"/>
          <w:szCs w:val="18"/>
          <w:u w:val="single"/>
          <w:rPrChange w:id="52" w:author="Steve Chan" w:date="2016-09-20T16:26:00Z">
            <w:rPr>
              <w:color w:val="1155CC"/>
              <w:sz w:val="20"/>
              <w:szCs w:val="20"/>
              <w:u w:val="single"/>
            </w:rPr>
          </w:rPrChange>
        </w:rPr>
        <w:t>https://gnso.icann.org/en/issues/igo-ingo-crp-access-final-25may14-en.pdf)</w:t>
      </w:r>
      <w:r w:rsidRPr="0051745F">
        <w:rPr>
          <w:color w:val="1155CC"/>
          <w:sz w:val="18"/>
          <w:szCs w:val="18"/>
          <w:u w:val="single"/>
          <w:rPrChange w:id="53" w:author="Steve Chan" w:date="2016-09-20T16:26:00Z">
            <w:rPr>
              <w:color w:val="1155CC"/>
              <w:sz w:val="20"/>
              <w:szCs w:val="20"/>
              <w:u w:val="single"/>
            </w:rPr>
          </w:rPrChange>
        </w:rPr>
        <w:fldChar w:fldCharType="end"/>
      </w:r>
      <w:r w:rsidRPr="0051745F">
        <w:rPr>
          <w:sz w:val="18"/>
          <w:szCs w:val="18"/>
          <w:rPrChange w:id="54" w:author="Steve Chan" w:date="2016-09-20T16:26:00Z">
            <w:rPr>
              <w:sz w:val="20"/>
              <w:szCs w:val="20"/>
            </w:rPr>
          </w:rPrChange>
        </w:rPr>
        <w:t>.</w:t>
      </w:r>
    </w:p>
    <w:p w14:paraId="0CAE1BE5" w14:textId="35AD941A" w:rsidR="00F310E9" w:rsidRPr="0051745F" w:rsidDel="0051745F" w:rsidRDefault="00F310E9" w:rsidP="0051745F">
      <w:pPr>
        <w:rPr>
          <w:del w:id="55" w:author="Steve Chan" w:date="2016-09-20T16:25:00Z"/>
          <w:sz w:val="18"/>
          <w:szCs w:val="18"/>
          <w:rPrChange w:id="56" w:author="Steve Chan" w:date="2016-09-20T16:26:00Z">
            <w:rPr>
              <w:del w:id="57" w:author="Steve Chan" w:date="2016-09-20T16:25:00Z"/>
            </w:rPr>
          </w:rPrChange>
        </w:rPr>
      </w:pPr>
      <w:del w:id="58" w:author="Steve Chan" w:date="2016-09-20T16:24:00Z">
        <w:r w:rsidRPr="0051745F" w:rsidDel="0051745F">
          <w:rPr>
            <w:rFonts w:ascii="Calibri" w:eastAsia="Calibri" w:hAnsi="Calibri" w:cs="Calibri"/>
            <w:sz w:val="18"/>
            <w:szCs w:val="18"/>
            <w:rPrChange w:id="59" w:author="Steve Chan" w:date="2016-09-20T16:26:00Z">
              <w:rPr>
                <w:rFonts w:ascii="Calibri" w:eastAsia="Calibri" w:hAnsi="Calibri" w:cs="Calibri"/>
                <w:sz w:val="20"/>
                <w:szCs w:val="20"/>
              </w:rPr>
            </w:rPrChange>
          </w:rPr>
          <w:delText>[3]</w:delText>
        </w:r>
        <w:r w:rsidRPr="0051745F" w:rsidDel="0051745F">
          <w:rPr>
            <w:sz w:val="18"/>
            <w:szCs w:val="18"/>
            <w:rPrChange w:id="60" w:author="Steve Chan" w:date="2016-09-20T16:26:00Z">
              <w:rPr>
                <w:sz w:val="20"/>
                <w:szCs w:val="20"/>
              </w:rPr>
            </w:rPrChange>
          </w:rPr>
          <w:delText xml:space="preserve"> See, e.g., Halpern, Nard &amp; Port, “Fundamentals of United StatesIntellectual Property Law: Copyright, Patent, Trademark” (Kluwer Law International, 2007).</w:delText>
        </w:r>
      </w:del>
    </w:p>
    <w:p w14:paraId="4A4BC638" w14:textId="2850DF25" w:rsidR="00F310E9" w:rsidRDefault="00F310E9">
      <w:pPr>
        <w:pPrChange w:id="61" w:author="Steve Chan" w:date="2016-09-21T17:04:00Z">
          <w:pPr>
            <w:pStyle w:val="FootnoteText"/>
          </w:pPr>
        </w:pPrChange>
      </w:pPr>
      <w:del w:id="62" w:author="Steve Chan" w:date="2016-09-20T16:25:00Z">
        <w:r w:rsidRPr="0051745F" w:rsidDel="0051745F">
          <w:rPr>
            <w:rFonts w:ascii="Calibri" w:eastAsia="Calibri" w:hAnsi="Calibri" w:cs="Calibri"/>
            <w:sz w:val="18"/>
            <w:szCs w:val="18"/>
            <w:rPrChange w:id="63" w:author="Steve Chan" w:date="2016-09-20T16:26:00Z">
              <w:rPr>
                <w:rFonts w:ascii="Calibri" w:eastAsia="Calibri" w:hAnsi="Calibri" w:cs="Calibri"/>
                <w:sz w:val="20"/>
                <w:szCs w:val="20"/>
              </w:rPr>
            </w:rPrChange>
          </w:rPr>
          <w:delText>[4]</w:delText>
        </w:r>
      </w:del>
      <w:r w:rsidRPr="0051745F">
        <w:rPr>
          <w:sz w:val="18"/>
          <w:szCs w:val="18"/>
          <w:rPrChange w:id="64" w:author="Steve Chan" w:date="2016-09-20T16:26:00Z">
            <w:rPr>
              <w:sz w:val="20"/>
              <w:szCs w:val="20"/>
            </w:rPr>
          </w:rPrChange>
        </w:rPr>
        <w:t xml:space="preserve"> </w:t>
      </w:r>
      <w:del w:id="65" w:author="Steve Chan" w:date="2016-09-20T16:25:00Z">
        <w:r w:rsidDel="0051745F">
          <w:rPr>
            <w:sz w:val="20"/>
            <w:szCs w:val="20"/>
          </w:rPr>
          <w:delText>See the WIPO Overview 2.0 (</w:delText>
        </w:r>
        <w:r w:rsidDel="0051745F">
          <w:rPr>
            <w:color w:val="1155CC"/>
            <w:sz w:val="20"/>
            <w:szCs w:val="20"/>
            <w:u w:val="single"/>
          </w:rPr>
          <w:delText>http://www.wipo.int/amc/en/domains/search/overview2.0/)</w:delText>
        </w:r>
        <w:r w:rsidDel="0051745F">
          <w:rPr>
            <w:sz w:val="20"/>
            <w:szCs w:val="20"/>
          </w:rPr>
          <w:delText>.</w:delText>
        </w:r>
      </w:del>
    </w:p>
  </w:footnote>
  <w:footnote w:id="3">
    <w:p w14:paraId="249FADA5" w14:textId="1C4CA148" w:rsidR="00F310E9" w:rsidRPr="004E6777" w:rsidRDefault="00F310E9">
      <w:pPr>
        <w:pStyle w:val="FootnoteText"/>
        <w:rPr>
          <w:sz w:val="18"/>
          <w:szCs w:val="18"/>
        </w:rPr>
      </w:pPr>
      <w:ins w:id="69" w:author="Steve Chan" w:date="2016-09-21T17:04:00Z">
        <w:r w:rsidRPr="00394A90">
          <w:rPr>
            <w:rStyle w:val="FootnoteReference"/>
            <w:sz w:val="18"/>
            <w:szCs w:val="18"/>
            <w:rPrChange w:id="70" w:author="Steve Chan" w:date="2016-09-21T17:05:00Z">
              <w:rPr>
                <w:rStyle w:val="FootnoteReference"/>
              </w:rPr>
            </w:rPrChange>
          </w:rPr>
          <w:footnoteRef/>
        </w:r>
        <w:r w:rsidRPr="00394A90">
          <w:rPr>
            <w:sz w:val="18"/>
            <w:szCs w:val="18"/>
            <w:rPrChange w:id="71" w:author="Steve Chan" w:date="2016-09-21T17:05:00Z">
              <w:rPr/>
            </w:rPrChange>
          </w:rPr>
          <w:t xml:space="preserve"> </w:t>
        </w:r>
      </w:ins>
      <w:r w:rsidRPr="004E6777">
        <w:rPr>
          <w:sz w:val="18"/>
          <w:szCs w:val="18"/>
        </w:rPr>
        <w:t xml:space="preserve">Full text of Article 6ter of the Paris Convention can be found here: </w:t>
      </w:r>
      <w:hyperlink r:id="rId1" w:history="1">
        <w:r w:rsidRPr="004E6777">
          <w:rPr>
            <w:rStyle w:val="Hyperlink"/>
            <w:sz w:val="18"/>
            <w:szCs w:val="18"/>
          </w:rPr>
          <w:t>http://www.wipo.int/article6ter/en/legal_texts/article_6ter.html</w:t>
        </w:r>
      </w:hyperlink>
      <w:r w:rsidRPr="004E6777">
        <w:rPr>
          <w:sz w:val="18"/>
          <w:szCs w:val="18"/>
        </w:rPr>
        <w:t xml:space="preserve"> and in Annex [</w:t>
      </w:r>
      <w:r w:rsidRPr="004E6777">
        <w:rPr>
          <w:sz w:val="18"/>
          <w:szCs w:val="18"/>
          <w:highlight w:val="yellow"/>
        </w:rPr>
        <w:t>A</w:t>
      </w:r>
      <w:r w:rsidRPr="004E6777">
        <w:rPr>
          <w:sz w:val="18"/>
          <w:szCs w:val="18"/>
        </w:rPr>
        <w:t>] of this report.</w:t>
      </w:r>
    </w:p>
  </w:footnote>
  <w:footnote w:id="4">
    <w:p w14:paraId="679FBF23" w14:textId="60BC8976" w:rsidR="00F310E9" w:rsidRPr="004E6777" w:rsidRDefault="00F310E9">
      <w:pPr>
        <w:pStyle w:val="FootnoteText"/>
        <w:rPr>
          <w:sz w:val="18"/>
          <w:szCs w:val="18"/>
        </w:rPr>
      </w:pPr>
      <w:r w:rsidRPr="004E6777">
        <w:rPr>
          <w:rStyle w:val="FootnoteReference"/>
          <w:sz w:val="18"/>
          <w:szCs w:val="18"/>
        </w:rPr>
        <w:footnoteRef/>
      </w:r>
      <w:r w:rsidRPr="004E6777">
        <w:rPr>
          <w:sz w:val="18"/>
          <w:szCs w:val="18"/>
        </w:rPr>
        <w:t xml:space="preserve"> See, e.g., Halpern, Nard &amp; Port, “Fundamentals of United StatesIntellectual Property Law: Copyright, Patent, Trademark” (Kluwer Law International, 2007).</w:t>
      </w:r>
    </w:p>
  </w:footnote>
  <w:footnote w:id="5">
    <w:p w14:paraId="7FC41A9F" w14:textId="3807597A" w:rsidR="00F310E9" w:rsidRDefault="00F310E9" w:rsidP="004E6777">
      <w:r w:rsidRPr="004E6777">
        <w:rPr>
          <w:rStyle w:val="FootnoteReference"/>
          <w:sz w:val="18"/>
          <w:szCs w:val="18"/>
        </w:rPr>
        <w:footnoteRef/>
      </w:r>
      <w:r w:rsidRPr="004E6777">
        <w:rPr>
          <w:sz w:val="18"/>
          <w:szCs w:val="18"/>
        </w:rPr>
        <w:t xml:space="preserve"> See the WIPO Overview 2.0 (</w:t>
      </w:r>
      <w:hyperlink r:id="rId2">
        <w:r w:rsidRPr="004E6777">
          <w:rPr>
            <w:color w:val="1155CC"/>
            <w:sz w:val="18"/>
            <w:szCs w:val="18"/>
            <w:u w:val="single"/>
          </w:rPr>
          <w:t>http://www.wipo.int/amc/en/domains/search/overview2.0/)</w:t>
        </w:r>
      </w:hyperlink>
      <w:r w:rsidRPr="004E6777">
        <w:rPr>
          <w:sz w:val="18"/>
          <w:szCs w:val="18"/>
        </w:rPr>
        <w:t>.</w:t>
      </w:r>
    </w:p>
  </w:footnote>
  <w:footnote w:id="6">
    <w:p w14:paraId="529BA27F" w14:textId="42B6DED1" w:rsidR="00F310E9" w:rsidRPr="0051745F" w:rsidRDefault="00F310E9">
      <w:pPr>
        <w:pStyle w:val="FootnoteText"/>
        <w:rPr>
          <w:sz w:val="18"/>
          <w:szCs w:val="18"/>
          <w:rPrChange w:id="82" w:author="Steve Chan" w:date="2016-09-20T16:26:00Z">
            <w:rPr/>
          </w:rPrChange>
        </w:rPr>
      </w:pPr>
      <w:r w:rsidRPr="004E6777">
        <w:rPr>
          <w:rStyle w:val="FootnoteReference"/>
          <w:sz w:val="18"/>
          <w:szCs w:val="18"/>
        </w:rPr>
        <w:footnoteRef/>
      </w:r>
      <w:r w:rsidRPr="004E6777">
        <w:rPr>
          <w:sz w:val="18"/>
          <w:szCs w:val="18"/>
        </w:rPr>
        <w:t xml:space="preserve"> Note that, as a result of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individually.</w:t>
      </w:r>
    </w:p>
  </w:footnote>
  <w:footnote w:id="7">
    <w:p w14:paraId="499E615F" w14:textId="56AE2D03" w:rsidR="00F310E9" w:rsidRPr="0051745F" w:rsidRDefault="00F310E9">
      <w:pPr>
        <w:pStyle w:val="FootnoteText"/>
        <w:rPr>
          <w:sz w:val="18"/>
          <w:szCs w:val="18"/>
          <w:rPrChange w:id="89" w:author="Steve Chan" w:date="2016-09-20T16:27:00Z">
            <w:rPr/>
          </w:rPrChange>
        </w:rPr>
      </w:pPr>
      <w:r w:rsidRPr="0051745F">
        <w:rPr>
          <w:rStyle w:val="FootnoteReference"/>
          <w:sz w:val="18"/>
          <w:szCs w:val="18"/>
          <w:rPrChange w:id="90" w:author="Steve Chan" w:date="2016-09-20T16:27:00Z">
            <w:rPr>
              <w:rStyle w:val="FootnoteReference"/>
            </w:rPr>
          </w:rPrChange>
        </w:rPr>
        <w:footnoteRef/>
      </w:r>
      <w:r w:rsidRPr="0051745F">
        <w:rPr>
          <w:sz w:val="18"/>
          <w:szCs w:val="18"/>
          <w:rPrChange w:id="91" w:author="Steve Chan" w:date="2016-09-20T16:27:00Z">
            <w:rPr/>
          </w:rPrChange>
        </w:rPr>
        <w:t xml:space="preserve"> See</w:t>
      </w:r>
      <w:r w:rsidRPr="0051745F">
        <w:rPr>
          <w:sz w:val="18"/>
          <w:szCs w:val="18"/>
          <w:rPrChange w:id="92" w:author="Steve Chan" w:date="2016-09-20T16:27:00Z">
            <w:rPr>
              <w:sz w:val="20"/>
              <w:szCs w:val="20"/>
            </w:rPr>
          </w:rPrChange>
        </w:rPr>
        <w:fldChar w:fldCharType="begin"/>
      </w:r>
      <w:r w:rsidRPr="0051745F">
        <w:rPr>
          <w:sz w:val="18"/>
          <w:szCs w:val="18"/>
          <w:rPrChange w:id="93" w:author="Steve Chan" w:date="2016-09-20T16:27:00Z">
            <w:rPr/>
          </w:rPrChange>
        </w:rPr>
        <w:instrText xml:space="preserve"> HYPERLINK "http://www.wipo.int/article6ter/en/communication.html" \h </w:instrText>
      </w:r>
      <w:r w:rsidRPr="0051745F">
        <w:rPr>
          <w:sz w:val="18"/>
          <w:szCs w:val="18"/>
          <w:rPrChange w:id="94" w:author="Steve Chan" w:date="2016-09-20T16:27:00Z">
            <w:rPr>
              <w:sz w:val="20"/>
              <w:szCs w:val="20"/>
            </w:rPr>
          </w:rPrChange>
        </w:rPr>
        <w:fldChar w:fldCharType="separate"/>
      </w:r>
      <w:r w:rsidRPr="0051745F">
        <w:rPr>
          <w:sz w:val="18"/>
          <w:szCs w:val="18"/>
          <w:rPrChange w:id="95" w:author="Steve Chan" w:date="2016-09-20T16:27:00Z">
            <w:rPr>
              <w:sz w:val="20"/>
              <w:szCs w:val="20"/>
            </w:rPr>
          </w:rPrChange>
        </w:rPr>
        <w:t xml:space="preserve"> </w:t>
      </w:r>
      <w:r w:rsidRPr="0051745F">
        <w:rPr>
          <w:sz w:val="18"/>
          <w:szCs w:val="18"/>
          <w:rPrChange w:id="96" w:author="Steve Chan" w:date="2016-09-20T16:27:00Z">
            <w:rPr>
              <w:sz w:val="20"/>
              <w:szCs w:val="20"/>
            </w:rPr>
          </w:rPrChange>
        </w:rPr>
        <w:fldChar w:fldCharType="end"/>
      </w:r>
      <w:r w:rsidRPr="0051745F">
        <w:rPr>
          <w:sz w:val="18"/>
          <w:szCs w:val="18"/>
          <w:rPrChange w:id="97" w:author="Steve Chan" w:date="2016-09-20T16:27:00Z">
            <w:rPr>
              <w:color w:val="1155CC"/>
              <w:sz w:val="20"/>
              <w:szCs w:val="20"/>
              <w:u w:val="single"/>
            </w:rPr>
          </w:rPrChange>
        </w:rPr>
        <w:fldChar w:fldCharType="begin"/>
      </w:r>
      <w:r w:rsidRPr="0051745F">
        <w:rPr>
          <w:sz w:val="18"/>
          <w:szCs w:val="18"/>
          <w:rPrChange w:id="98" w:author="Steve Chan" w:date="2016-09-20T16:27:00Z">
            <w:rPr/>
          </w:rPrChange>
        </w:rPr>
        <w:instrText xml:space="preserve"> HYPERLINK "http://www.wipo.int/article6ter/en/communication.html" \h </w:instrText>
      </w:r>
      <w:r w:rsidRPr="0051745F">
        <w:rPr>
          <w:sz w:val="18"/>
          <w:szCs w:val="18"/>
          <w:rPrChange w:id="99" w:author="Steve Chan" w:date="2016-09-20T16:27:00Z">
            <w:rPr>
              <w:color w:val="1155CC"/>
              <w:sz w:val="20"/>
              <w:szCs w:val="20"/>
              <w:u w:val="single"/>
            </w:rPr>
          </w:rPrChange>
        </w:rPr>
        <w:fldChar w:fldCharType="separate"/>
      </w:r>
      <w:r w:rsidRPr="0051745F">
        <w:rPr>
          <w:color w:val="1155CC"/>
          <w:sz w:val="18"/>
          <w:szCs w:val="18"/>
          <w:u w:val="single"/>
          <w:rPrChange w:id="100" w:author="Steve Chan" w:date="2016-09-20T16:27:00Z">
            <w:rPr>
              <w:color w:val="1155CC"/>
              <w:sz w:val="20"/>
              <w:szCs w:val="20"/>
              <w:u w:val="single"/>
            </w:rPr>
          </w:rPrChange>
        </w:rPr>
        <w:t>http://www.wipo.int/article6ter/en/communication.html</w:t>
      </w:r>
      <w:r w:rsidRPr="0051745F">
        <w:rPr>
          <w:color w:val="1155CC"/>
          <w:sz w:val="18"/>
          <w:szCs w:val="18"/>
          <w:u w:val="single"/>
          <w:rPrChange w:id="101" w:author="Steve Chan" w:date="2016-09-20T16:27:00Z">
            <w:rPr>
              <w:color w:val="1155CC"/>
              <w:sz w:val="20"/>
              <w:szCs w:val="20"/>
              <w:u w:val="single"/>
            </w:rPr>
          </w:rPrChange>
        </w:rPr>
        <w:fldChar w:fldCharType="end"/>
      </w:r>
      <w:r w:rsidRPr="0051745F">
        <w:rPr>
          <w:sz w:val="18"/>
          <w:szCs w:val="18"/>
          <w:rPrChange w:id="102" w:author="Steve Chan" w:date="2016-09-20T16:27:00Z">
            <w:rPr>
              <w:sz w:val="20"/>
              <w:szCs w:val="20"/>
            </w:rPr>
          </w:rPrChange>
        </w:rPr>
        <w:t>. The specific process for IGOs is also detailed by WIPO at</w:t>
      </w:r>
      <w:r w:rsidRPr="0051745F">
        <w:rPr>
          <w:sz w:val="18"/>
          <w:szCs w:val="18"/>
          <w:rPrChange w:id="103" w:author="Steve Chan" w:date="2016-09-20T16:27:00Z">
            <w:rPr>
              <w:sz w:val="20"/>
              <w:szCs w:val="20"/>
            </w:rPr>
          </w:rPrChange>
        </w:rPr>
        <w:fldChar w:fldCharType="begin"/>
      </w:r>
      <w:r w:rsidRPr="0051745F">
        <w:rPr>
          <w:sz w:val="18"/>
          <w:szCs w:val="18"/>
          <w:rPrChange w:id="104" w:author="Steve Chan" w:date="2016-09-20T16:27:00Z">
            <w:rPr/>
          </w:rPrChange>
        </w:rPr>
        <w:instrText xml:space="preserve"> HYPERLINK "http://www.wipo.int/article6ter/en/igos.html" \h </w:instrText>
      </w:r>
      <w:r w:rsidRPr="0051745F">
        <w:rPr>
          <w:sz w:val="18"/>
          <w:szCs w:val="18"/>
          <w:rPrChange w:id="105" w:author="Steve Chan" w:date="2016-09-20T16:27:00Z">
            <w:rPr>
              <w:sz w:val="20"/>
              <w:szCs w:val="20"/>
            </w:rPr>
          </w:rPrChange>
        </w:rPr>
        <w:fldChar w:fldCharType="separate"/>
      </w:r>
      <w:r w:rsidRPr="0051745F">
        <w:rPr>
          <w:sz w:val="18"/>
          <w:szCs w:val="18"/>
          <w:rPrChange w:id="106" w:author="Steve Chan" w:date="2016-09-20T16:27:00Z">
            <w:rPr>
              <w:sz w:val="20"/>
              <w:szCs w:val="20"/>
            </w:rPr>
          </w:rPrChange>
        </w:rPr>
        <w:t xml:space="preserve"> </w:t>
      </w:r>
      <w:r w:rsidRPr="0051745F">
        <w:rPr>
          <w:sz w:val="18"/>
          <w:szCs w:val="18"/>
          <w:rPrChange w:id="107" w:author="Steve Chan" w:date="2016-09-20T16:27:00Z">
            <w:rPr>
              <w:sz w:val="20"/>
              <w:szCs w:val="20"/>
            </w:rPr>
          </w:rPrChange>
        </w:rPr>
        <w:fldChar w:fldCharType="end"/>
      </w:r>
      <w:r w:rsidRPr="0051745F">
        <w:rPr>
          <w:sz w:val="18"/>
          <w:szCs w:val="18"/>
          <w:rPrChange w:id="108" w:author="Steve Chan" w:date="2016-09-20T16:27:00Z">
            <w:rPr>
              <w:color w:val="1155CC"/>
              <w:sz w:val="20"/>
              <w:szCs w:val="20"/>
              <w:u w:val="single"/>
            </w:rPr>
          </w:rPrChange>
        </w:rPr>
        <w:fldChar w:fldCharType="begin"/>
      </w:r>
      <w:r w:rsidRPr="0051745F">
        <w:rPr>
          <w:sz w:val="18"/>
          <w:szCs w:val="18"/>
          <w:rPrChange w:id="109" w:author="Steve Chan" w:date="2016-09-20T16:27:00Z">
            <w:rPr/>
          </w:rPrChange>
        </w:rPr>
        <w:instrText xml:space="preserve"> HYPERLINK "http://www.wipo.int/article6ter/en/igos.html" \h </w:instrText>
      </w:r>
      <w:r w:rsidRPr="0051745F">
        <w:rPr>
          <w:sz w:val="18"/>
          <w:szCs w:val="18"/>
          <w:rPrChange w:id="110" w:author="Steve Chan" w:date="2016-09-20T16:27:00Z">
            <w:rPr>
              <w:color w:val="1155CC"/>
              <w:sz w:val="20"/>
              <w:szCs w:val="20"/>
              <w:u w:val="single"/>
            </w:rPr>
          </w:rPrChange>
        </w:rPr>
        <w:fldChar w:fldCharType="separate"/>
      </w:r>
      <w:r w:rsidRPr="0051745F">
        <w:rPr>
          <w:color w:val="1155CC"/>
          <w:sz w:val="18"/>
          <w:szCs w:val="18"/>
          <w:u w:val="single"/>
          <w:rPrChange w:id="111" w:author="Steve Chan" w:date="2016-09-20T16:27:00Z">
            <w:rPr>
              <w:color w:val="1155CC"/>
              <w:sz w:val="20"/>
              <w:szCs w:val="20"/>
              <w:u w:val="single"/>
            </w:rPr>
          </w:rPrChange>
        </w:rPr>
        <w:t>http://www.wipo.int/article6ter/en/igos.html</w:t>
      </w:r>
      <w:r w:rsidRPr="0051745F">
        <w:rPr>
          <w:color w:val="1155CC"/>
          <w:sz w:val="18"/>
          <w:szCs w:val="18"/>
          <w:u w:val="single"/>
          <w:rPrChange w:id="112" w:author="Steve Chan" w:date="2016-09-20T16:27:00Z">
            <w:rPr>
              <w:color w:val="1155CC"/>
              <w:sz w:val="20"/>
              <w:szCs w:val="20"/>
              <w:u w:val="single"/>
            </w:rPr>
          </w:rPrChange>
        </w:rPr>
        <w:fldChar w:fldCharType="end"/>
      </w:r>
      <w:r w:rsidRPr="0051745F">
        <w:rPr>
          <w:sz w:val="18"/>
          <w:szCs w:val="18"/>
          <w:rPrChange w:id="113" w:author="Steve Chan" w:date="2016-09-20T16:27:00Z">
            <w:rPr>
              <w:sz w:val="20"/>
              <w:szCs w:val="20"/>
            </w:rPr>
          </w:rPrChange>
        </w:rPr>
        <w:t>.</w:t>
      </w:r>
    </w:p>
  </w:footnote>
  <w:footnote w:id="8">
    <w:p w14:paraId="7229863B" w14:textId="6205E1E2" w:rsidR="00F310E9" w:rsidRPr="0051745F" w:rsidDel="007829EF" w:rsidRDefault="00F310E9">
      <w:pPr>
        <w:pStyle w:val="FootnoteText"/>
        <w:rPr>
          <w:del w:id="398" w:author="Mary Wong" w:date="2016-09-28T13:28:00Z"/>
          <w:sz w:val="18"/>
          <w:szCs w:val="18"/>
          <w:rPrChange w:id="399" w:author="Steve Chan" w:date="2016-09-20T16:28:00Z">
            <w:rPr>
              <w:del w:id="400" w:author="Mary Wong" w:date="2016-09-28T13:28:00Z"/>
            </w:rPr>
          </w:rPrChange>
        </w:rPr>
      </w:pPr>
    </w:p>
  </w:footnote>
  <w:footnote w:id="9">
    <w:p w14:paraId="1312B8C3" w14:textId="77777777" w:rsidR="00F310E9" w:rsidRPr="009B479F" w:rsidRDefault="00F310E9" w:rsidP="007829EF">
      <w:pPr>
        <w:pStyle w:val="FootnoteText"/>
        <w:rPr>
          <w:sz w:val="18"/>
          <w:szCs w:val="18"/>
        </w:rPr>
      </w:pPr>
      <w:r w:rsidRPr="009B479F">
        <w:rPr>
          <w:rStyle w:val="FootnoteReference"/>
          <w:sz w:val="18"/>
          <w:szCs w:val="18"/>
        </w:rPr>
        <w:footnoteRef/>
      </w:r>
      <w:r w:rsidRPr="009B479F">
        <w:rPr>
          <w:sz w:val="18"/>
          <w:szCs w:val="18"/>
        </w:rPr>
        <w:t xml:space="preserve"> For details about the criteria agreed on for this engagement, see the Working Group’s collaborative wiki space at</w:t>
      </w:r>
      <w:hyperlink r:id="rId3">
        <w:r w:rsidRPr="009B479F">
          <w:rPr>
            <w:sz w:val="18"/>
            <w:szCs w:val="18"/>
          </w:rPr>
          <w:t xml:space="preserve"> </w:t>
        </w:r>
      </w:hyperlink>
      <w:hyperlink r:id="rId4">
        <w:r w:rsidRPr="009B479F">
          <w:rPr>
            <w:color w:val="1155CC"/>
            <w:sz w:val="18"/>
            <w:szCs w:val="18"/>
            <w:u w:val="single"/>
          </w:rPr>
          <w:t>https://community.icann.org/x/z4BYAw</w:t>
        </w:r>
      </w:hyperlink>
      <w:r w:rsidRPr="009B479F">
        <w:rPr>
          <w:sz w:val="18"/>
          <w:szCs w:val="18"/>
        </w:rPr>
        <w:t>.</w:t>
      </w:r>
    </w:p>
  </w:footnote>
  <w:footnote w:id="10">
    <w:p w14:paraId="22963624" w14:textId="52CBD1E8" w:rsidR="00F310E9" w:rsidRPr="004E6777" w:rsidRDefault="00F310E9">
      <w:pPr>
        <w:pStyle w:val="FootnoteText"/>
        <w:rPr>
          <w:sz w:val="18"/>
          <w:szCs w:val="18"/>
        </w:rPr>
      </w:pPr>
      <w:r w:rsidRPr="004E6777">
        <w:rPr>
          <w:rStyle w:val="FootnoteReference"/>
          <w:sz w:val="18"/>
          <w:szCs w:val="18"/>
        </w:rPr>
        <w:footnoteRef/>
      </w:r>
      <w:r w:rsidRPr="004E6777">
        <w:rPr>
          <w:sz w:val="18"/>
          <w:szCs w:val="18"/>
        </w:rPr>
        <w:t xml:space="preserve"> For the full text of Professor Swaine’s memo, please refer to Annex __ of this Initial Report and the Working Group’s wiki space at</w:t>
      </w:r>
      <w:hyperlink r:id="rId5">
        <w:r w:rsidRPr="004E6777">
          <w:rPr>
            <w:sz w:val="18"/>
            <w:szCs w:val="18"/>
          </w:rPr>
          <w:t xml:space="preserve"> </w:t>
        </w:r>
      </w:hyperlink>
      <w:hyperlink r:id="rId6">
        <w:r w:rsidRPr="004E6777">
          <w:rPr>
            <w:color w:val="1155CC"/>
            <w:sz w:val="18"/>
            <w:szCs w:val="18"/>
            <w:u w:val="single"/>
          </w:rPr>
          <w:t>https://community.icann.org/x/z4BYAw</w:t>
        </w:r>
      </w:hyperlink>
      <w:r w:rsidRPr="004E6777">
        <w:rPr>
          <w:sz w:val="18"/>
          <w:szCs w:val="18"/>
        </w:rPr>
        <w:t>.</w:t>
      </w:r>
    </w:p>
  </w:footnote>
  <w:footnote w:id="11">
    <w:p w14:paraId="23BD38F3" w14:textId="632447A7" w:rsidR="00F310E9" w:rsidRPr="0051745F" w:rsidRDefault="00F310E9">
      <w:pPr>
        <w:pStyle w:val="FootnoteText"/>
        <w:rPr>
          <w:sz w:val="18"/>
          <w:szCs w:val="18"/>
          <w:rPrChange w:id="510" w:author="Steve Chan" w:date="2016-09-20T16:28:00Z">
            <w:rPr/>
          </w:rPrChange>
        </w:rPr>
      </w:pPr>
      <w:r w:rsidRPr="0051745F">
        <w:rPr>
          <w:rStyle w:val="FootnoteReference"/>
          <w:sz w:val="18"/>
          <w:szCs w:val="18"/>
          <w:rPrChange w:id="511" w:author="Steve Chan" w:date="2016-09-20T16:28:00Z">
            <w:rPr>
              <w:rStyle w:val="FootnoteReference"/>
            </w:rPr>
          </w:rPrChange>
        </w:rPr>
        <w:footnoteRef/>
      </w:r>
      <w:r w:rsidRPr="0051745F">
        <w:rPr>
          <w:sz w:val="18"/>
          <w:szCs w:val="18"/>
          <w:rPrChange w:id="512" w:author="Steve Chan" w:date="2016-09-20T16:28:00Z">
            <w:rPr/>
          </w:rPrChange>
        </w:rPr>
        <w:t xml:space="preserve"> For the full text of the UNCITRAL Arbitral Rules, see</w:t>
      </w:r>
      <w:r w:rsidRPr="0051745F">
        <w:rPr>
          <w:sz w:val="18"/>
          <w:szCs w:val="18"/>
          <w:rPrChange w:id="513" w:author="Steve Chan" w:date="2016-09-20T16:28:00Z">
            <w:rPr>
              <w:sz w:val="20"/>
              <w:szCs w:val="20"/>
            </w:rPr>
          </w:rPrChange>
        </w:rPr>
        <w:fldChar w:fldCharType="begin"/>
      </w:r>
      <w:r w:rsidRPr="0051745F">
        <w:rPr>
          <w:sz w:val="18"/>
          <w:szCs w:val="18"/>
          <w:rPrChange w:id="514" w:author="Steve Chan" w:date="2016-09-20T16:28:00Z">
            <w:rPr/>
          </w:rPrChange>
        </w:rPr>
        <w:instrText xml:space="preserve"> HYPERLINK "http://www.uncitral.org/uncitral/en/uncitral_texts/arbitration/2010Arbitration_rules.html" \h </w:instrText>
      </w:r>
      <w:r w:rsidRPr="0051745F">
        <w:rPr>
          <w:sz w:val="18"/>
          <w:szCs w:val="18"/>
          <w:rPrChange w:id="515" w:author="Steve Chan" w:date="2016-09-20T16:28:00Z">
            <w:rPr>
              <w:sz w:val="20"/>
              <w:szCs w:val="20"/>
            </w:rPr>
          </w:rPrChange>
        </w:rPr>
        <w:fldChar w:fldCharType="separate"/>
      </w:r>
      <w:r w:rsidRPr="0051745F">
        <w:rPr>
          <w:sz w:val="18"/>
          <w:szCs w:val="18"/>
          <w:rPrChange w:id="516" w:author="Steve Chan" w:date="2016-09-20T16:28:00Z">
            <w:rPr>
              <w:sz w:val="20"/>
              <w:szCs w:val="20"/>
            </w:rPr>
          </w:rPrChange>
        </w:rPr>
        <w:t xml:space="preserve"> </w:t>
      </w:r>
      <w:r w:rsidRPr="0051745F">
        <w:rPr>
          <w:sz w:val="18"/>
          <w:szCs w:val="18"/>
          <w:rPrChange w:id="517" w:author="Steve Chan" w:date="2016-09-20T16:28:00Z">
            <w:rPr>
              <w:sz w:val="20"/>
              <w:szCs w:val="20"/>
            </w:rPr>
          </w:rPrChange>
        </w:rPr>
        <w:fldChar w:fldCharType="end"/>
      </w:r>
      <w:r w:rsidRPr="0051745F">
        <w:rPr>
          <w:sz w:val="18"/>
          <w:szCs w:val="18"/>
          <w:rPrChange w:id="518" w:author="Steve Chan" w:date="2016-09-20T16:28:00Z">
            <w:rPr>
              <w:color w:val="1155CC"/>
              <w:sz w:val="20"/>
              <w:szCs w:val="20"/>
              <w:u w:val="single"/>
            </w:rPr>
          </w:rPrChange>
        </w:rPr>
        <w:fldChar w:fldCharType="begin"/>
      </w:r>
      <w:r w:rsidRPr="0051745F">
        <w:rPr>
          <w:sz w:val="18"/>
          <w:szCs w:val="18"/>
          <w:rPrChange w:id="519" w:author="Steve Chan" w:date="2016-09-20T16:28:00Z">
            <w:rPr/>
          </w:rPrChange>
        </w:rPr>
        <w:instrText xml:space="preserve"> HYPERLINK "http://www.uncitral.org/uncitral/en/uncitral_texts/arbitration/2010Arbitration_rules.html" \h </w:instrText>
      </w:r>
      <w:r w:rsidRPr="0051745F">
        <w:rPr>
          <w:sz w:val="18"/>
          <w:szCs w:val="18"/>
          <w:rPrChange w:id="520" w:author="Steve Chan" w:date="2016-09-20T16:28:00Z">
            <w:rPr>
              <w:color w:val="1155CC"/>
              <w:sz w:val="20"/>
              <w:szCs w:val="20"/>
              <w:u w:val="single"/>
            </w:rPr>
          </w:rPrChange>
        </w:rPr>
        <w:fldChar w:fldCharType="separate"/>
      </w:r>
      <w:r w:rsidRPr="0051745F">
        <w:rPr>
          <w:color w:val="1155CC"/>
          <w:sz w:val="18"/>
          <w:szCs w:val="18"/>
          <w:u w:val="single"/>
          <w:rPrChange w:id="521" w:author="Steve Chan" w:date="2016-09-20T16:28:00Z">
            <w:rPr>
              <w:color w:val="1155CC"/>
              <w:sz w:val="20"/>
              <w:szCs w:val="20"/>
              <w:u w:val="single"/>
            </w:rPr>
          </w:rPrChange>
        </w:rPr>
        <w:t>http://www.uncitral.org/uncitral/en/uncitral_texts/arbitration/2010Arbitration_rules.html</w:t>
      </w:r>
      <w:r w:rsidRPr="0051745F">
        <w:rPr>
          <w:color w:val="1155CC"/>
          <w:sz w:val="18"/>
          <w:szCs w:val="18"/>
          <w:u w:val="single"/>
          <w:rPrChange w:id="522" w:author="Steve Chan" w:date="2016-09-20T16:28:00Z">
            <w:rPr>
              <w:color w:val="1155CC"/>
              <w:sz w:val="20"/>
              <w:szCs w:val="20"/>
              <w:u w:val="single"/>
            </w:rPr>
          </w:rPrChange>
        </w:rPr>
        <w:fldChar w:fldCharType="end"/>
      </w:r>
      <w:r w:rsidRPr="0051745F">
        <w:rPr>
          <w:sz w:val="18"/>
          <w:szCs w:val="18"/>
          <w:rPrChange w:id="523" w:author="Steve Chan" w:date="2016-09-20T16:28:00Z">
            <w:rPr>
              <w:sz w:val="20"/>
              <w:szCs w:val="20"/>
            </w:rPr>
          </w:rPrChange>
        </w:rPr>
        <w:t>.</w:t>
      </w:r>
    </w:p>
  </w:footnote>
  <w:footnote w:id="12">
    <w:p w14:paraId="499202A0" w14:textId="42C89DA7" w:rsidR="00F310E9" w:rsidRPr="004E6777" w:rsidRDefault="00F310E9">
      <w:pPr>
        <w:pStyle w:val="FootnoteText"/>
        <w:rPr>
          <w:sz w:val="18"/>
          <w:szCs w:val="18"/>
        </w:rPr>
      </w:pPr>
      <w:ins w:id="547" w:author="Steve Chan" w:date="2016-09-20T16:29:00Z">
        <w:r w:rsidRPr="0051745F">
          <w:rPr>
            <w:rStyle w:val="FootnoteReference"/>
            <w:sz w:val="18"/>
            <w:szCs w:val="18"/>
            <w:rPrChange w:id="548" w:author="Steve Chan" w:date="2016-09-20T16:29:00Z">
              <w:rPr>
                <w:rStyle w:val="FootnoteReference"/>
              </w:rPr>
            </w:rPrChange>
          </w:rPr>
          <w:footnoteRef/>
        </w:r>
        <w:r w:rsidRPr="0051745F">
          <w:rPr>
            <w:sz w:val="18"/>
            <w:szCs w:val="18"/>
            <w:rPrChange w:id="549" w:author="Steve Chan" w:date="2016-09-20T16:29:00Z">
              <w:rPr/>
            </w:rPrChange>
          </w:rPr>
          <w:t xml:space="preserve"> See</w:t>
        </w:r>
        <w:r w:rsidRPr="0051745F">
          <w:rPr>
            <w:sz w:val="18"/>
            <w:szCs w:val="18"/>
            <w:rPrChange w:id="550" w:author="Steve Chan" w:date="2016-09-20T16:29:00Z">
              <w:rPr>
                <w:sz w:val="20"/>
                <w:szCs w:val="20"/>
              </w:rPr>
            </w:rPrChange>
          </w:rPr>
          <w:fldChar w:fldCharType="begin"/>
        </w:r>
        <w:r w:rsidRPr="0051745F">
          <w:rPr>
            <w:sz w:val="18"/>
            <w:szCs w:val="18"/>
            <w:rPrChange w:id="551" w:author="Steve Chan" w:date="2016-09-20T16:29:00Z">
              <w:rPr/>
            </w:rPrChange>
          </w:rPr>
          <w:instrText xml:space="preserve"> HYPERLINK "http://www.wipo.int/edocs/mdocs/sct/en/sct_11/sct_11_5.doc" \h </w:instrText>
        </w:r>
        <w:r w:rsidRPr="0051745F">
          <w:rPr>
            <w:sz w:val="18"/>
            <w:szCs w:val="18"/>
            <w:rPrChange w:id="552" w:author="Steve Chan" w:date="2016-09-20T16:29:00Z">
              <w:rPr>
                <w:sz w:val="20"/>
                <w:szCs w:val="20"/>
              </w:rPr>
            </w:rPrChange>
          </w:rPr>
          <w:fldChar w:fldCharType="separate"/>
        </w:r>
        <w:r w:rsidRPr="0051745F">
          <w:rPr>
            <w:sz w:val="18"/>
            <w:szCs w:val="18"/>
            <w:rPrChange w:id="553" w:author="Steve Chan" w:date="2016-09-20T16:29:00Z">
              <w:rPr>
                <w:sz w:val="20"/>
                <w:szCs w:val="20"/>
              </w:rPr>
            </w:rPrChange>
          </w:rPr>
          <w:t xml:space="preserve"> </w:t>
        </w:r>
        <w:r w:rsidRPr="0051745F">
          <w:rPr>
            <w:sz w:val="18"/>
            <w:szCs w:val="18"/>
            <w:rPrChange w:id="554" w:author="Steve Chan" w:date="2016-09-20T16:29:00Z">
              <w:rPr>
                <w:sz w:val="20"/>
                <w:szCs w:val="20"/>
              </w:rPr>
            </w:rPrChange>
          </w:rPr>
          <w:fldChar w:fldCharType="end"/>
        </w:r>
      </w:ins>
      <w:hyperlink r:id="rId7">
        <w:r w:rsidRPr="004E6777">
          <w:rPr>
            <w:color w:val="1155CC"/>
            <w:sz w:val="18"/>
            <w:szCs w:val="18"/>
            <w:u w:val="single"/>
          </w:rPr>
          <w:t>www.wipo.int/edocs/mdocs/sct/en/sct_11/sct_11_5.doc</w:t>
        </w:r>
      </w:hyperlink>
      <w:r w:rsidRPr="004E6777">
        <w:rPr>
          <w:sz w:val="18"/>
          <w:szCs w:val="18"/>
        </w:rPr>
        <w:t xml:space="preserve">. The Working Group acknowledges that, in this report, the WIPO Secretariat noted that “[i]n order to strike a balance between the privileges and immunities of sovereign States on the one hand, and the right of a losing UDRP respondent to have the dispute reconsidered in a neutral forum on the other, WIPO member States also recommended to allow IGOs to submit to a special appeal procedure by way of </w:t>
      </w:r>
      <w:r w:rsidRPr="004E6777">
        <w:rPr>
          <w:i/>
          <w:sz w:val="18"/>
          <w:szCs w:val="18"/>
        </w:rPr>
        <w:t>de novo</w:t>
      </w:r>
      <w:r w:rsidRPr="004E6777">
        <w:rPr>
          <w:sz w:val="18"/>
          <w:szCs w:val="18"/>
        </w:rPr>
        <w:t xml:space="preserve"> arbitration rather than to the jurisdiction of certain national courts of justice”. However, for reasons stated in the main text, the Working Group respectfully disagrees with this proposal and notes, further, that in the General Assembly report of the proceedings at hand, there was not agreement on the need to protect IGO names and acronyms and country names in this manner (see WO/GA/28/7:</w:t>
      </w:r>
      <w:hyperlink r:id="rId8">
        <w:r w:rsidRPr="004E6777">
          <w:rPr>
            <w:sz w:val="18"/>
            <w:szCs w:val="18"/>
          </w:rPr>
          <w:t xml:space="preserve"> </w:t>
        </w:r>
      </w:hyperlink>
      <w:hyperlink r:id="rId9">
        <w:r w:rsidRPr="004E6777">
          <w:rPr>
            <w:color w:val="1155CC"/>
            <w:sz w:val="18"/>
            <w:szCs w:val="18"/>
            <w:u w:val="single"/>
          </w:rPr>
          <w:t>http://www.wipo.int/edocs/mdocs/govbody/en/wo_ga_28/wo_ga_28_7.pdf)</w:t>
        </w:r>
      </w:hyperlink>
      <w:r w:rsidRPr="004E6777">
        <w:rPr>
          <w:sz w:val="18"/>
          <w:szCs w:val="18"/>
        </w:rPr>
        <w:t>.</w:t>
      </w:r>
    </w:p>
  </w:footnote>
  <w:footnote w:id="13">
    <w:p w14:paraId="6850B04B" w14:textId="4696807E" w:rsidR="00F310E9" w:rsidRPr="004E6777" w:rsidRDefault="00F310E9">
      <w:pPr>
        <w:pStyle w:val="FootnoteText"/>
        <w:rPr>
          <w:sz w:val="18"/>
          <w:szCs w:val="18"/>
        </w:rPr>
      </w:pPr>
      <w:r w:rsidRPr="004E6777">
        <w:rPr>
          <w:rStyle w:val="FootnoteReference"/>
          <w:sz w:val="18"/>
          <w:szCs w:val="18"/>
        </w:rPr>
        <w:footnoteRef/>
      </w:r>
      <w:r w:rsidRPr="004E6777">
        <w:rPr>
          <w:sz w:val="18"/>
          <w:szCs w:val="18"/>
        </w:rPr>
        <w:t xml:space="preserve"> See, e.g., the resources and links compiled by the Working Group at</w:t>
      </w:r>
      <w:hyperlink r:id="rId10">
        <w:r w:rsidRPr="004E6777">
          <w:rPr>
            <w:sz w:val="18"/>
            <w:szCs w:val="18"/>
          </w:rPr>
          <w:t xml:space="preserve"> </w:t>
        </w:r>
      </w:hyperlink>
      <w:hyperlink r:id="rId11">
        <w:r w:rsidRPr="004E6777">
          <w:rPr>
            <w:color w:val="1155CC"/>
            <w:sz w:val="18"/>
            <w:szCs w:val="18"/>
            <w:u w:val="single"/>
          </w:rPr>
          <w:t>https://community.icann.org/x/48PhAg</w:t>
        </w:r>
      </w:hyperlink>
      <w:r w:rsidRPr="004E6777">
        <w:rPr>
          <w:sz w:val="18"/>
          <w:szCs w:val="18"/>
        </w:rPr>
        <w:t>.</w:t>
      </w:r>
    </w:p>
  </w:footnote>
  <w:footnote w:id="14">
    <w:p w14:paraId="47F95A10" w14:textId="700B1E81" w:rsidR="00F310E9" w:rsidRPr="0051745F" w:rsidRDefault="00F310E9">
      <w:pPr>
        <w:pStyle w:val="FootnoteText"/>
        <w:rPr>
          <w:sz w:val="18"/>
          <w:szCs w:val="18"/>
          <w:rPrChange w:id="559" w:author="Steve Chan" w:date="2016-09-20T16:30:00Z">
            <w:rPr/>
          </w:rPrChange>
        </w:rPr>
      </w:pPr>
      <w:r w:rsidRPr="004E6777">
        <w:rPr>
          <w:rStyle w:val="FootnoteReference"/>
          <w:sz w:val="18"/>
          <w:szCs w:val="18"/>
        </w:rPr>
        <w:footnoteRef/>
      </w:r>
      <w:r w:rsidRPr="004E6777">
        <w:rPr>
          <w:sz w:val="18"/>
          <w:szCs w:val="18"/>
        </w:rPr>
        <w:t xml:space="preserve"> See, e.g., the GAC Communique from the Los Angeles ICANN meeting held in October 2014:</w:t>
      </w:r>
      <w:hyperlink r:id="rId12">
        <w:r w:rsidRPr="004E6777">
          <w:rPr>
            <w:sz w:val="18"/>
            <w:szCs w:val="18"/>
          </w:rPr>
          <w:t xml:space="preserve"> </w:t>
        </w:r>
      </w:hyperlink>
      <w:r w:rsidRPr="004E6777">
        <w:rPr>
          <w:sz w:val="18"/>
          <w:szCs w:val="18"/>
        </w:rPr>
        <w:fldChar w:fldCharType="begin"/>
      </w:r>
      <w:r w:rsidRPr="0051745F">
        <w:rPr>
          <w:sz w:val="18"/>
          <w:szCs w:val="18"/>
          <w:rPrChange w:id="560" w:author="Steve Chan" w:date="2016-09-20T16:30:00Z">
            <w:rPr/>
          </w:rPrChange>
        </w:rPr>
        <w:instrText xml:space="preserve"> HYPERLINK "https://www.icann.org/en/system/files/correspondence/gac-to-board-15oct14-en.pdf" \h </w:instrText>
      </w:r>
      <w:r w:rsidRPr="004E6777">
        <w:rPr>
          <w:sz w:val="18"/>
          <w:szCs w:val="18"/>
        </w:rPr>
        <w:fldChar w:fldCharType="separate"/>
      </w:r>
      <w:r w:rsidRPr="0051745F">
        <w:rPr>
          <w:color w:val="1155CC"/>
          <w:sz w:val="18"/>
          <w:szCs w:val="18"/>
          <w:u w:val="single"/>
          <w:rPrChange w:id="561" w:author="Steve Chan" w:date="2016-09-20T16:30:00Z">
            <w:rPr>
              <w:color w:val="1155CC"/>
              <w:sz w:val="20"/>
              <w:szCs w:val="20"/>
              <w:u w:val="single"/>
            </w:rPr>
          </w:rPrChange>
        </w:rPr>
        <w:t>https://www.icann.org/en/system/files/correspondence/gac-to-board-15oct14-en.pdf</w:t>
      </w:r>
      <w:r w:rsidRPr="0051745F">
        <w:rPr>
          <w:color w:val="1155CC"/>
          <w:sz w:val="18"/>
          <w:szCs w:val="18"/>
          <w:u w:val="single"/>
          <w:rPrChange w:id="562" w:author="Steve Chan" w:date="2016-09-20T16:30:00Z">
            <w:rPr>
              <w:color w:val="1155CC"/>
              <w:sz w:val="20"/>
              <w:szCs w:val="20"/>
              <w:u w:val="single"/>
            </w:rPr>
          </w:rPrChange>
        </w:rPr>
        <w:fldChar w:fldCharType="end"/>
      </w:r>
      <w:r w:rsidRPr="0051745F">
        <w:rPr>
          <w:sz w:val="18"/>
          <w:szCs w:val="18"/>
          <w:rPrChange w:id="563" w:author="Steve Chan" w:date="2016-09-20T16:30:00Z">
            <w:rPr>
              <w:sz w:val="20"/>
              <w:szCs w:val="20"/>
            </w:rPr>
          </w:rPrChange>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F20D2"/>
    <w:multiLevelType w:val="hybridMultilevel"/>
    <w:tmpl w:val="905A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A3FB3"/>
    <w:multiLevelType w:val="hybridMultilevel"/>
    <w:tmpl w:val="F416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5062EE"/>
    <w:multiLevelType w:val="hybridMultilevel"/>
    <w:tmpl w:val="0352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81071C"/>
    <w:multiLevelType w:val="hybridMultilevel"/>
    <w:tmpl w:val="F90E30C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6F8B6A4F"/>
    <w:multiLevelType w:val="hybridMultilevel"/>
    <w:tmpl w:val="3CF02BE2"/>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B6C38"/>
    <w:rsid w:val="00066362"/>
    <w:rsid w:val="00090044"/>
    <w:rsid w:val="000A2050"/>
    <w:rsid w:val="000C7791"/>
    <w:rsid w:val="001239F8"/>
    <w:rsid w:val="001362D8"/>
    <w:rsid w:val="00150834"/>
    <w:rsid w:val="001854BD"/>
    <w:rsid w:val="001B6C38"/>
    <w:rsid w:val="00212C7B"/>
    <w:rsid w:val="00295748"/>
    <w:rsid w:val="002A3D03"/>
    <w:rsid w:val="00321B96"/>
    <w:rsid w:val="003949D1"/>
    <w:rsid w:val="00394A90"/>
    <w:rsid w:val="00397BD8"/>
    <w:rsid w:val="003E0260"/>
    <w:rsid w:val="003F17FE"/>
    <w:rsid w:val="00423FE4"/>
    <w:rsid w:val="00431740"/>
    <w:rsid w:val="004374BB"/>
    <w:rsid w:val="00442AE9"/>
    <w:rsid w:val="00446C26"/>
    <w:rsid w:val="004914DB"/>
    <w:rsid w:val="004A15C7"/>
    <w:rsid w:val="004A6AD8"/>
    <w:rsid w:val="004E1CF9"/>
    <w:rsid w:val="004E6777"/>
    <w:rsid w:val="0051745F"/>
    <w:rsid w:val="005708DD"/>
    <w:rsid w:val="00593CFD"/>
    <w:rsid w:val="005A004F"/>
    <w:rsid w:val="005C418F"/>
    <w:rsid w:val="00623885"/>
    <w:rsid w:val="00662295"/>
    <w:rsid w:val="006A4680"/>
    <w:rsid w:val="006D0381"/>
    <w:rsid w:val="006E1CE7"/>
    <w:rsid w:val="00713E4D"/>
    <w:rsid w:val="00731D70"/>
    <w:rsid w:val="007667C4"/>
    <w:rsid w:val="00781089"/>
    <w:rsid w:val="007829EF"/>
    <w:rsid w:val="00787206"/>
    <w:rsid w:val="007940BE"/>
    <w:rsid w:val="007E61C6"/>
    <w:rsid w:val="00825BFE"/>
    <w:rsid w:val="00834A06"/>
    <w:rsid w:val="008D7C16"/>
    <w:rsid w:val="008F750F"/>
    <w:rsid w:val="00911EEE"/>
    <w:rsid w:val="00955AA6"/>
    <w:rsid w:val="00A14C29"/>
    <w:rsid w:val="00A36518"/>
    <w:rsid w:val="00A84C52"/>
    <w:rsid w:val="00AA3D4D"/>
    <w:rsid w:val="00B02BD3"/>
    <w:rsid w:val="00B81B35"/>
    <w:rsid w:val="00B8502E"/>
    <w:rsid w:val="00B90EBB"/>
    <w:rsid w:val="00BF6C41"/>
    <w:rsid w:val="00C00B36"/>
    <w:rsid w:val="00C563A6"/>
    <w:rsid w:val="00C65062"/>
    <w:rsid w:val="00CC6FD3"/>
    <w:rsid w:val="00D76B0D"/>
    <w:rsid w:val="00D86E9A"/>
    <w:rsid w:val="00DC1483"/>
    <w:rsid w:val="00DF7DD0"/>
    <w:rsid w:val="00E0444A"/>
    <w:rsid w:val="00E21A00"/>
    <w:rsid w:val="00E475D6"/>
    <w:rsid w:val="00E76DAE"/>
    <w:rsid w:val="00EB5AAF"/>
    <w:rsid w:val="00EC0BE9"/>
    <w:rsid w:val="00EC3236"/>
    <w:rsid w:val="00F310E9"/>
    <w:rsid w:val="00FD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33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46C2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C2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46C26"/>
    <w:rPr>
      <w:b/>
      <w:bCs/>
      <w:sz w:val="20"/>
      <w:szCs w:val="20"/>
    </w:rPr>
  </w:style>
  <w:style w:type="character" w:customStyle="1" w:styleId="CommentSubjectChar">
    <w:name w:val="Comment Subject Char"/>
    <w:basedOn w:val="CommentTextChar"/>
    <w:link w:val="CommentSubject"/>
    <w:uiPriority w:val="99"/>
    <w:semiHidden/>
    <w:rsid w:val="00446C26"/>
    <w:rPr>
      <w:b/>
      <w:bCs/>
      <w:sz w:val="20"/>
      <w:szCs w:val="20"/>
    </w:rPr>
  </w:style>
  <w:style w:type="paragraph" w:styleId="Revision">
    <w:name w:val="Revision"/>
    <w:hidden/>
    <w:uiPriority w:val="99"/>
    <w:semiHidden/>
    <w:rsid w:val="003E0260"/>
    <w:pPr>
      <w:spacing w:line="240" w:lineRule="auto"/>
    </w:pPr>
  </w:style>
  <w:style w:type="paragraph" w:styleId="ListParagraph">
    <w:name w:val="List Paragraph"/>
    <w:basedOn w:val="Normal"/>
    <w:uiPriority w:val="34"/>
    <w:qFormat/>
    <w:rsid w:val="00825BFE"/>
    <w:pPr>
      <w:ind w:left="720"/>
      <w:contextualSpacing/>
    </w:pPr>
  </w:style>
  <w:style w:type="paragraph" w:styleId="FootnoteText">
    <w:name w:val="footnote text"/>
    <w:basedOn w:val="Normal"/>
    <w:link w:val="FootnoteTextChar"/>
    <w:uiPriority w:val="99"/>
    <w:unhideWhenUsed/>
    <w:rsid w:val="00C65062"/>
    <w:pPr>
      <w:spacing w:line="240" w:lineRule="auto"/>
    </w:pPr>
    <w:rPr>
      <w:sz w:val="24"/>
      <w:szCs w:val="24"/>
    </w:rPr>
  </w:style>
  <w:style w:type="character" w:customStyle="1" w:styleId="FootnoteTextChar">
    <w:name w:val="Footnote Text Char"/>
    <w:basedOn w:val="DefaultParagraphFont"/>
    <w:link w:val="FootnoteText"/>
    <w:uiPriority w:val="99"/>
    <w:rsid w:val="00C65062"/>
    <w:rPr>
      <w:sz w:val="24"/>
      <w:szCs w:val="24"/>
    </w:rPr>
  </w:style>
  <w:style w:type="character" w:styleId="FootnoteReference">
    <w:name w:val="footnote reference"/>
    <w:basedOn w:val="DefaultParagraphFont"/>
    <w:uiPriority w:val="99"/>
    <w:unhideWhenUsed/>
    <w:rsid w:val="00C65062"/>
    <w:rPr>
      <w:vertAlign w:val="superscript"/>
    </w:rPr>
  </w:style>
  <w:style w:type="character" w:styleId="Hyperlink">
    <w:name w:val="Hyperlink"/>
    <w:basedOn w:val="DefaultParagraphFont"/>
    <w:uiPriority w:val="99"/>
    <w:unhideWhenUsed/>
    <w:rsid w:val="00394A90"/>
    <w:rPr>
      <w:color w:val="0563C1" w:themeColor="hyperlink"/>
      <w:u w:val="single"/>
    </w:rPr>
  </w:style>
  <w:style w:type="paragraph" w:styleId="NormalWeb">
    <w:name w:val="Normal (Web)"/>
    <w:basedOn w:val="Normal"/>
    <w:uiPriority w:val="99"/>
    <w:unhideWhenUsed/>
    <w:rsid w:val="00623885"/>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paragraph" w:styleId="Footer">
    <w:name w:val="footer"/>
    <w:basedOn w:val="Normal"/>
    <w:link w:val="FooterChar"/>
    <w:uiPriority w:val="99"/>
    <w:unhideWhenUsed/>
    <w:rsid w:val="00F310E9"/>
    <w:pPr>
      <w:tabs>
        <w:tab w:val="center" w:pos="4680"/>
        <w:tab w:val="right" w:pos="9360"/>
      </w:tabs>
      <w:spacing w:line="240" w:lineRule="auto"/>
    </w:pPr>
  </w:style>
  <w:style w:type="character" w:customStyle="1" w:styleId="FooterChar">
    <w:name w:val="Footer Char"/>
    <w:basedOn w:val="DefaultParagraphFont"/>
    <w:link w:val="Footer"/>
    <w:uiPriority w:val="99"/>
    <w:rsid w:val="00F310E9"/>
  </w:style>
  <w:style w:type="character" w:styleId="PageNumber">
    <w:name w:val="page number"/>
    <w:basedOn w:val="DefaultParagraphFont"/>
    <w:uiPriority w:val="99"/>
    <w:semiHidden/>
    <w:unhideWhenUsed/>
    <w:rsid w:val="00F31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367937">
      <w:bodyDiv w:val="1"/>
      <w:marLeft w:val="0"/>
      <w:marRight w:val="0"/>
      <w:marTop w:val="0"/>
      <w:marBottom w:val="0"/>
      <w:divBdr>
        <w:top w:val="none" w:sz="0" w:space="0" w:color="auto"/>
        <w:left w:val="none" w:sz="0" w:space="0" w:color="auto"/>
        <w:bottom w:val="none" w:sz="0" w:space="0" w:color="auto"/>
        <w:right w:val="none" w:sz="0" w:space="0" w:color="auto"/>
      </w:divBdr>
      <w:divsChild>
        <w:div w:id="5421377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yperlink" Target="http://www.wipo.int/ipdl/en/6ter/)"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1" Type="http://schemas.openxmlformats.org/officeDocument/2006/relationships/hyperlink" Target="https://community.icann.org/x/48PhAg" TargetMode="External"/><Relationship Id="rId12" Type="http://schemas.openxmlformats.org/officeDocument/2006/relationships/hyperlink" Target="https://www.icann.org/en/system/files/correspondence/gac-to-board-15oct14-en.pdf" TargetMode="External"/><Relationship Id="rId1" Type="http://schemas.openxmlformats.org/officeDocument/2006/relationships/hyperlink" Target="http://www.wipo.int/article6ter/en/legal_texts/article_6ter.html" TargetMode="External"/><Relationship Id="rId2" Type="http://schemas.openxmlformats.org/officeDocument/2006/relationships/hyperlink" Target="http://www.wipo.int/amc/en/domains/search/overview2.0/)" TargetMode="External"/><Relationship Id="rId3" Type="http://schemas.openxmlformats.org/officeDocument/2006/relationships/hyperlink" Target="https://community.icann.org/x/z4BYAw" TargetMode="External"/><Relationship Id="rId4" Type="http://schemas.openxmlformats.org/officeDocument/2006/relationships/hyperlink" Target="https://community.icann.org/x/z4BYAw" TargetMode="External"/><Relationship Id="rId5" Type="http://schemas.openxmlformats.org/officeDocument/2006/relationships/hyperlink" Target="https://community.icann.org/x/z4BYAw" TargetMode="External"/><Relationship Id="rId6" Type="http://schemas.openxmlformats.org/officeDocument/2006/relationships/hyperlink" Target="https://community.icann.org/x/z4BYAw" TargetMode="External"/><Relationship Id="rId7" Type="http://schemas.openxmlformats.org/officeDocument/2006/relationships/hyperlink" Target="http://www.wipo.int/edocs/mdocs/sct/en/sct_11/sct_11_5.doc" TargetMode="External"/><Relationship Id="rId8" Type="http://schemas.openxmlformats.org/officeDocument/2006/relationships/hyperlink" Target="http://www.wipo.int/edocs/mdocs/govbody/en/wo_ga_28/wo_ga_28_7.pdf)" TargetMode="External"/><Relationship Id="rId9" Type="http://schemas.openxmlformats.org/officeDocument/2006/relationships/hyperlink" Target="http://www.wipo.int/edocs/mdocs/govbody/en/wo_ga_28/wo_ga_28_7.pdf)" TargetMode="External"/><Relationship Id="rId10" Type="http://schemas.openxmlformats.org/officeDocument/2006/relationships/hyperlink" Target="https://community.icann.org/x/48Ph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6205</Words>
  <Characters>35369</Characters>
  <Application>Microsoft Macintosh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Wong</cp:lastModifiedBy>
  <cp:revision>2</cp:revision>
  <cp:lastPrinted>2016-09-20T22:08:00Z</cp:lastPrinted>
  <dcterms:created xsi:type="dcterms:W3CDTF">2016-09-28T17:47:00Z</dcterms:created>
  <dcterms:modified xsi:type="dcterms:W3CDTF">2016-09-28T17:47:00Z</dcterms:modified>
</cp:coreProperties>
</file>