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10" w:rsidRPr="00612110" w:rsidRDefault="00612110" w:rsidP="00612110">
      <w:pPr>
        <w:jc w:val="center"/>
        <w:rPr>
          <w:b/>
          <w:i/>
          <w:color w:val="FF0000"/>
        </w:rPr>
      </w:pPr>
      <w:r>
        <w:rPr>
          <w:b/>
          <w:i/>
          <w:color w:val="FF0000"/>
        </w:rPr>
        <w:t>DRAFT-FOR WG CONSIDERATION ONLY-DECEMBER 2, 2014</w:t>
      </w:r>
    </w:p>
    <w:p w:rsidR="00612110" w:rsidRDefault="00612110" w:rsidP="00510754">
      <w:pPr>
        <w:jc w:val="both"/>
      </w:pPr>
    </w:p>
    <w:p w:rsidR="00A9584F" w:rsidRDefault="000B1519" w:rsidP="00510754">
      <w:pPr>
        <w:jc w:val="both"/>
      </w:pPr>
      <w:r>
        <w:t>December --, 2014</w:t>
      </w:r>
    </w:p>
    <w:p w:rsidR="00B56661" w:rsidRDefault="00B56661" w:rsidP="00510754">
      <w:pPr>
        <w:jc w:val="both"/>
      </w:pPr>
    </w:p>
    <w:p w:rsidR="00B56661" w:rsidRDefault="00B56661" w:rsidP="00510754">
      <w:pPr>
        <w:jc w:val="both"/>
      </w:pPr>
      <w:r>
        <w:t>Dear GNSO Stakeholder Group/Constituency Chair:</w:t>
      </w:r>
    </w:p>
    <w:p w:rsidR="003E2EDE" w:rsidRDefault="003E2EDE" w:rsidP="00510754">
      <w:pPr>
        <w:jc w:val="both"/>
      </w:pPr>
    </w:p>
    <w:p w:rsidR="000B1519" w:rsidRDefault="00B56661" w:rsidP="00510754">
      <w:pPr>
        <w:ind w:firstLine="720"/>
        <w:jc w:val="both"/>
      </w:pPr>
      <w:r>
        <w:t>We write as the Co-Chairs of the GNSO’s IGO-INGO Curative Rights Protection</w:t>
      </w:r>
      <w:r w:rsidR="00F9540E">
        <w:t xml:space="preserve"> (CRP)</w:t>
      </w:r>
      <w:r>
        <w:t xml:space="preserve"> Mechanisms Working Group</w:t>
      </w:r>
      <w:r w:rsidR="00042C15">
        <w:t xml:space="preserve"> (WG)</w:t>
      </w:r>
      <w:r>
        <w:t>, which was chartered by the GNSO Council to conduct a Policy Development Process</w:t>
      </w:r>
      <w:r w:rsidR="00E22CE1">
        <w:t xml:space="preserve"> (PDP)</w:t>
      </w:r>
      <w:r>
        <w:t xml:space="preserve"> to determine: </w:t>
      </w:r>
    </w:p>
    <w:p w:rsidR="0051505E" w:rsidRDefault="0051505E" w:rsidP="00510754">
      <w:pPr>
        <w:ind w:firstLine="720"/>
        <w:jc w:val="both"/>
      </w:pPr>
    </w:p>
    <w:p w:rsidR="000B1519" w:rsidRDefault="00B56661" w:rsidP="00510754">
      <w:pPr>
        <w:ind w:left="720"/>
        <w:jc w:val="both"/>
      </w:pPr>
      <w:r>
        <w:t xml:space="preserve">(1) </w:t>
      </w:r>
      <w:r w:rsidR="0051505E">
        <w:t>W</w:t>
      </w:r>
      <w:r>
        <w:t xml:space="preserve">hether the Uniform Dispute Resolution Policy (UDRP) and/or the Uniform Rapid Suspension procedure (URS) should be amended, and if so, how; or </w:t>
      </w:r>
    </w:p>
    <w:p w:rsidR="0051505E" w:rsidRDefault="0051505E" w:rsidP="00510754">
      <w:pPr>
        <w:ind w:left="720"/>
        <w:jc w:val="both"/>
      </w:pPr>
    </w:p>
    <w:p w:rsidR="000B1519" w:rsidRDefault="00B56661" w:rsidP="00510754">
      <w:pPr>
        <w:ind w:left="720"/>
        <w:jc w:val="both"/>
      </w:pPr>
      <w:r>
        <w:t xml:space="preserve">(2) </w:t>
      </w:r>
      <w:proofErr w:type="gramStart"/>
      <w:r>
        <w:t>whether</w:t>
      </w:r>
      <w:proofErr w:type="gramEnd"/>
      <w:r>
        <w:t xml:space="preserve"> a separate, narrowly tailored dispute resolution procedure modeled on the UDRP and/or URS should be developed, </w:t>
      </w:r>
    </w:p>
    <w:p w:rsidR="00B56661" w:rsidRDefault="00B56661" w:rsidP="00510754">
      <w:pPr>
        <w:ind w:left="720"/>
        <w:jc w:val="both"/>
      </w:pPr>
      <w:r>
        <w:t>in either case to address the specific needs and concerns of International Governmental Organizations (IGOs) and/or International Non-Governmental Organizations (INGOs).</w:t>
      </w:r>
    </w:p>
    <w:p w:rsidR="003E2EDE" w:rsidRDefault="003E2EDE" w:rsidP="00510754">
      <w:pPr>
        <w:ind w:firstLine="720"/>
        <w:jc w:val="both"/>
      </w:pPr>
    </w:p>
    <w:p w:rsidR="00B56661" w:rsidRDefault="00042C15" w:rsidP="00510754">
      <w:pPr>
        <w:ind w:firstLine="720"/>
        <w:jc w:val="both"/>
      </w:pPr>
      <w:r>
        <w:t>The WG commenced its work in August</w:t>
      </w:r>
      <w:r w:rsidR="00A0309F">
        <w:t xml:space="preserve"> 2014</w:t>
      </w:r>
      <w:r>
        <w:t xml:space="preserve">. </w:t>
      </w:r>
      <w:r w:rsidR="00B56661">
        <w:t xml:space="preserve">The GNSO’s PDP Manual mandates that each PDP WG reach out at an early stage to all GNSO Stakeholder Groups and Constituencies to seek their input. </w:t>
      </w:r>
      <w:r>
        <w:t>Given the progress and decisions made by our WG, w</w:t>
      </w:r>
      <w:r w:rsidR="00B56661">
        <w:t>e are</w:t>
      </w:r>
      <w:r>
        <w:t xml:space="preserve"> now</w:t>
      </w:r>
      <w:r w:rsidR="00B56661">
        <w:t xml:space="preserve"> therefore writing to</w:t>
      </w:r>
      <w:r w:rsidR="004B28E9">
        <w:t xml:space="preserve"> update you on our </w:t>
      </w:r>
      <w:r>
        <w:t>activities</w:t>
      </w:r>
      <w:r w:rsidR="004B28E9">
        <w:t xml:space="preserve"> to date, as well as </w:t>
      </w:r>
      <w:r>
        <w:t xml:space="preserve">to </w:t>
      </w:r>
      <w:r w:rsidR="004B28E9">
        <w:t>provide</w:t>
      </w:r>
      <w:r w:rsidR="00B56661">
        <w:t xml:space="preserve"> your group </w:t>
      </w:r>
      <w:r w:rsidR="004B28E9">
        <w:t>with an opportunity to assist</w:t>
      </w:r>
      <w:r w:rsidR="00B56661">
        <w:t xml:space="preserve"> the WG with its </w:t>
      </w:r>
      <w:r w:rsidR="004B28E9">
        <w:t>assigned task</w:t>
      </w:r>
      <w:r w:rsidR="00B56661">
        <w:t>, in respect of the following questions</w:t>
      </w:r>
      <w:r w:rsidR="00E22CE1">
        <w:t xml:space="preserve"> and issues</w:t>
      </w:r>
      <w:r w:rsidR="00B56661">
        <w:t xml:space="preserve"> that stem from our Charter and the initial deliberations of the WG.</w:t>
      </w:r>
    </w:p>
    <w:p w:rsidR="00C24A69" w:rsidRDefault="00C24A69" w:rsidP="00510754">
      <w:pPr>
        <w:ind w:firstLine="720"/>
        <w:jc w:val="both"/>
      </w:pPr>
    </w:p>
    <w:p w:rsidR="00A0309F" w:rsidRDefault="00B56661" w:rsidP="00510754">
      <w:pPr>
        <w:ind w:firstLine="720"/>
        <w:jc w:val="both"/>
      </w:pPr>
      <w:r>
        <w:t>First, we wish to inform you that t</w:t>
      </w:r>
      <w:r w:rsidR="00C24A69">
        <w:t>he WG has reached a majority decision that there is no principled reason to consider INGOs as a special category of protected organization</w:t>
      </w:r>
      <w:r w:rsidR="00A0309F">
        <w:t>s</w:t>
      </w:r>
      <w:r w:rsidR="00C24A69">
        <w:t xml:space="preserve">, for purposes of the specific tasks for which </w:t>
      </w:r>
      <w:r w:rsidR="0051505E">
        <w:t>the WG</w:t>
      </w:r>
      <w:r w:rsidR="00C24A69">
        <w:t xml:space="preserve"> was chartered in this PDP</w:t>
      </w:r>
      <w:r w:rsidR="00FB75D0">
        <w:t>, and that this determination encompasses the</w:t>
      </w:r>
      <w:r w:rsidR="00042C15">
        <w:t xml:space="preserve"> R</w:t>
      </w:r>
      <w:r w:rsidR="00FB75D0">
        <w:t>ed Cross movement and International Olympic Committee</w:t>
      </w:r>
      <w:r w:rsidR="00C24A69">
        <w:t>.</w:t>
      </w:r>
      <w:r w:rsidR="004B28E9">
        <w:t xml:space="preserve"> </w:t>
      </w:r>
      <w:r w:rsidR="004B28E9" w:rsidRPr="00510754">
        <w:rPr>
          <w:u w:val="single"/>
        </w:rPr>
        <w:t>The rationale for that decision is provided in Attachment A</w:t>
      </w:r>
      <w:r w:rsidR="004B28E9">
        <w:t>.</w:t>
      </w:r>
      <w:r w:rsidR="00C24A69">
        <w:t xml:space="preserve"> </w:t>
      </w:r>
    </w:p>
    <w:p w:rsidR="00A0309F" w:rsidRDefault="00A0309F" w:rsidP="00510754">
      <w:pPr>
        <w:ind w:firstLine="720"/>
        <w:jc w:val="both"/>
      </w:pPr>
    </w:p>
    <w:p w:rsidR="00C24A69" w:rsidRDefault="00A0309F" w:rsidP="00510754">
      <w:pPr>
        <w:ind w:firstLine="720"/>
        <w:jc w:val="both"/>
      </w:pPr>
      <w:r w:rsidRPr="00510754">
        <w:rPr>
          <w:b/>
          <w:i/>
        </w:rPr>
        <w:t>Question 1:</w:t>
      </w:r>
      <w:r>
        <w:t xml:space="preserve"> </w:t>
      </w:r>
      <w:r w:rsidR="00C24A69" w:rsidRPr="00B56661">
        <w:rPr>
          <w:b/>
          <w:i/>
        </w:rPr>
        <w:t>What is the view of your Stakeholder Group/Constituency</w:t>
      </w:r>
      <w:r w:rsidR="00B56661" w:rsidRPr="00B56661">
        <w:rPr>
          <w:b/>
          <w:i/>
        </w:rPr>
        <w:t xml:space="preserve"> on</w:t>
      </w:r>
      <w:r w:rsidR="009D5851">
        <w:rPr>
          <w:b/>
          <w:i/>
        </w:rPr>
        <w:t xml:space="preserve"> the WG’s decision to</w:t>
      </w:r>
      <w:r w:rsidR="00B56661" w:rsidRPr="00B56661">
        <w:rPr>
          <w:b/>
          <w:i/>
        </w:rPr>
        <w:t xml:space="preserve"> exclud</w:t>
      </w:r>
      <w:r w:rsidR="009D5851">
        <w:rPr>
          <w:b/>
          <w:i/>
        </w:rPr>
        <w:t>e</w:t>
      </w:r>
      <w:r w:rsidR="00B56661" w:rsidRPr="00B56661">
        <w:rPr>
          <w:b/>
          <w:i/>
        </w:rPr>
        <w:t xml:space="preserve"> INGOs from further consideration in this PDP</w:t>
      </w:r>
      <w:r w:rsidR="00C24A69" w:rsidRPr="00B56661">
        <w:rPr>
          <w:b/>
          <w:i/>
        </w:rPr>
        <w:t>?</w:t>
      </w:r>
    </w:p>
    <w:p w:rsidR="00C24A69" w:rsidRDefault="00C24A69" w:rsidP="00510754">
      <w:pPr>
        <w:ind w:firstLine="720"/>
        <w:jc w:val="both"/>
      </w:pPr>
    </w:p>
    <w:p w:rsidR="00FB75D0" w:rsidRDefault="00B56661" w:rsidP="00510754">
      <w:pPr>
        <w:ind w:firstLine="720"/>
        <w:jc w:val="both"/>
      </w:pPr>
      <w:r>
        <w:t>Secondly, t</w:t>
      </w:r>
      <w:r w:rsidR="00C24A69">
        <w:t xml:space="preserve">he WG has considered most of the background information available to it, including the documentation from the 2001-2 WIPO Process-2 and the previous scoping work done by the ICANN community (including the GNSO) in 2004 and 2007. It has also reviewed the </w:t>
      </w:r>
      <w:r w:rsidR="00510754">
        <w:t>various expressions</w:t>
      </w:r>
      <w:r w:rsidR="00C24A69">
        <w:t xml:space="preserve"> of GAC advice concerning the issue of curative rights protection for IGOs, as expressed in several GAC Communiques. </w:t>
      </w:r>
    </w:p>
    <w:p w:rsidR="00FB75D0" w:rsidRDefault="00FB75D0" w:rsidP="00510754">
      <w:pPr>
        <w:ind w:firstLine="720"/>
        <w:jc w:val="both"/>
      </w:pPr>
    </w:p>
    <w:p w:rsidR="00C24A69" w:rsidRDefault="00C24A69" w:rsidP="00510754">
      <w:pPr>
        <w:ind w:firstLine="720"/>
        <w:jc w:val="both"/>
      </w:pPr>
      <w:r>
        <w:lastRenderedPageBreak/>
        <w:t>At this point, the WG would appreciate input from your Stakeholder Group/Constituency on the following questions that it will need to answer in the course of this PDP:</w:t>
      </w:r>
    </w:p>
    <w:p w:rsidR="00C24A69" w:rsidRDefault="00C24A69" w:rsidP="00510754">
      <w:pPr>
        <w:ind w:firstLine="720"/>
        <w:jc w:val="both"/>
      </w:pPr>
    </w:p>
    <w:p w:rsidR="00A0309F" w:rsidRDefault="00C24A69" w:rsidP="00510754">
      <w:pPr>
        <w:pStyle w:val="ListParagraph"/>
        <w:numPr>
          <w:ilvl w:val="0"/>
          <w:numId w:val="3"/>
        </w:numPr>
        <w:jc w:val="both"/>
      </w:pPr>
      <w:r>
        <w:t>One of the requirements under the UDRP and URS is that the complainant must possess trademark or substantively similar rights in the word(s) for which the respondent has registered an identical or confusingly similar domain name (this is sometimes commonly called the “standing” requirement).</w:t>
      </w:r>
      <w:r w:rsidR="00E22CE1">
        <w:t xml:space="preserve"> The WG is still investigating the ability and practice of IGOs obtaining trademarks in their names and acronyms.</w:t>
      </w:r>
      <w:r>
        <w:t xml:space="preserve"> </w:t>
      </w:r>
    </w:p>
    <w:p w:rsidR="00A0309F" w:rsidRDefault="00A0309F" w:rsidP="00510754">
      <w:pPr>
        <w:pStyle w:val="ListParagraph"/>
        <w:ind w:left="1440"/>
        <w:jc w:val="both"/>
      </w:pPr>
    </w:p>
    <w:p w:rsidR="00C24A69" w:rsidRDefault="00A0309F" w:rsidP="003E2EDE">
      <w:pPr>
        <w:pStyle w:val="ListParagraph"/>
        <w:ind w:left="0" w:firstLine="720"/>
        <w:jc w:val="both"/>
      </w:pPr>
      <w:r>
        <w:rPr>
          <w:b/>
          <w:i/>
        </w:rPr>
        <w:t xml:space="preserve">Question 2: </w:t>
      </w:r>
      <w:r w:rsidR="00C24A69" w:rsidRPr="009D5851">
        <w:rPr>
          <w:b/>
          <w:i/>
        </w:rPr>
        <w:t xml:space="preserve">What </w:t>
      </w:r>
      <w:r w:rsidR="00FB75D0">
        <w:rPr>
          <w:b/>
          <w:i/>
        </w:rPr>
        <w:t>sh</w:t>
      </w:r>
      <w:r w:rsidR="00C24A69" w:rsidRPr="009D5851">
        <w:rPr>
          <w:b/>
          <w:i/>
        </w:rPr>
        <w:t>ould be the basis (if any) – other than trademark rights – for the “standing” criteria</w:t>
      </w:r>
      <w:r w:rsidR="00FB75D0">
        <w:rPr>
          <w:b/>
          <w:i/>
        </w:rPr>
        <w:t xml:space="preserve"> required</w:t>
      </w:r>
      <w:r w:rsidR="00C24A69" w:rsidRPr="009D5851">
        <w:rPr>
          <w:b/>
          <w:i/>
        </w:rPr>
        <w:t xml:space="preserve"> in any dispute resolution process for IGOs (whether in the form of amendments to the UDRP and/or URS</w:t>
      </w:r>
      <w:r w:rsidR="00FB75D0">
        <w:rPr>
          <w:b/>
          <w:i/>
        </w:rPr>
        <w:t>,</w:t>
      </w:r>
      <w:r w:rsidR="00C24A69" w:rsidRPr="009D5851">
        <w:rPr>
          <w:b/>
          <w:i/>
        </w:rPr>
        <w:t xml:space="preserve"> or as a specific, narrowly tailored procedure based </w:t>
      </w:r>
      <w:r w:rsidR="00FB75D0">
        <w:rPr>
          <w:b/>
          <w:i/>
        </w:rPr>
        <w:t>up</w:t>
      </w:r>
      <w:r w:rsidR="00C24A69" w:rsidRPr="009D5851">
        <w:rPr>
          <w:b/>
          <w:i/>
        </w:rPr>
        <w:t xml:space="preserve">on them)? </w:t>
      </w:r>
    </w:p>
    <w:p w:rsidR="00C24A69" w:rsidRDefault="00C24A69" w:rsidP="00510754">
      <w:pPr>
        <w:ind w:firstLine="720"/>
        <w:jc w:val="both"/>
      </w:pPr>
    </w:p>
    <w:p w:rsidR="00A0309F" w:rsidRDefault="00C24A69" w:rsidP="00510754">
      <w:pPr>
        <w:pStyle w:val="ListParagraph"/>
        <w:numPr>
          <w:ilvl w:val="0"/>
          <w:numId w:val="3"/>
        </w:numPr>
        <w:jc w:val="both"/>
      </w:pPr>
      <w:r>
        <w:t xml:space="preserve">A specific </w:t>
      </w:r>
      <w:r w:rsidR="00FB75D0">
        <w:t xml:space="preserve">issue involving </w:t>
      </w:r>
      <w:r>
        <w:t xml:space="preserve">IGOs is the requirement, </w:t>
      </w:r>
      <w:r w:rsidR="00E22CE1">
        <w:t>both as a domain registrant</w:t>
      </w:r>
      <w:r w:rsidR="00F9540E">
        <w:t>,</w:t>
      </w:r>
      <w:r w:rsidR="00E22CE1">
        <w:t xml:space="preserve"> and as a complainant </w:t>
      </w:r>
      <w:r>
        <w:t xml:space="preserve">under the UDRP and URS, to agree to submit to the jurisdiction of a national court for purposes of an appeal. This </w:t>
      </w:r>
      <w:r w:rsidRPr="00510754">
        <w:rPr>
          <w:u w:val="single"/>
        </w:rPr>
        <w:t>may</w:t>
      </w:r>
      <w:r>
        <w:t xml:space="preserve"> </w:t>
      </w:r>
      <w:r w:rsidR="00E7250E" w:rsidRPr="00510754">
        <w:t>be problematic for</w:t>
      </w:r>
      <w:r w:rsidRPr="00510754">
        <w:t xml:space="preserve"> IGO</w:t>
      </w:r>
      <w:r w:rsidR="00E7250E" w:rsidRPr="00510754">
        <w:t>s</w:t>
      </w:r>
      <w:r w:rsidRPr="00510754">
        <w:t xml:space="preserve"> </w:t>
      </w:r>
      <w:r w:rsidR="00E7250E" w:rsidRPr="00510754">
        <w:t xml:space="preserve">due to possible issues with </w:t>
      </w:r>
      <w:r w:rsidRPr="00510754">
        <w:t>sovereign immunity</w:t>
      </w:r>
      <w:r w:rsidR="00E7250E" w:rsidRPr="00510754">
        <w:t>.</w:t>
      </w:r>
      <w:r w:rsidR="009D5851" w:rsidRPr="00510754">
        <w:t xml:space="preserve"> </w:t>
      </w:r>
      <w:r w:rsidR="00E7250E" w:rsidRPr="00510754">
        <w:t>T</w:t>
      </w:r>
      <w:r w:rsidR="009D5851" w:rsidRPr="00510754">
        <w:t xml:space="preserve">he WG </w:t>
      </w:r>
      <w:r w:rsidR="00E7250E" w:rsidRPr="00510754">
        <w:t>is currently analyzing the</w:t>
      </w:r>
      <w:r w:rsidR="00FB75D0" w:rsidRPr="00510754">
        <w:t xml:space="preserve"> sovereign immunity </w:t>
      </w:r>
      <w:r w:rsidR="00E7250E" w:rsidRPr="00510754">
        <w:t>issue</w:t>
      </w:r>
      <w:r w:rsidR="009D5851">
        <w:t xml:space="preserve"> and is conducting research on how various nations have chosen to implement Paris Convention Article 6ter protections within their jurisdictions</w:t>
      </w:r>
      <w:r>
        <w:t xml:space="preserve">. </w:t>
      </w:r>
    </w:p>
    <w:p w:rsidR="00A0309F" w:rsidRDefault="00A0309F" w:rsidP="00510754">
      <w:pPr>
        <w:pStyle w:val="ListParagraph"/>
        <w:ind w:left="1440"/>
        <w:jc w:val="both"/>
      </w:pPr>
    </w:p>
    <w:p w:rsidR="00C24A69" w:rsidRDefault="00A0309F" w:rsidP="003E2EDE">
      <w:pPr>
        <w:pStyle w:val="ListParagraph"/>
        <w:ind w:left="0" w:firstLine="720"/>
        <w:jc w:val="both"/>
      </w:pPr>
      <w:r>
        <w:rPr>
          <w:b/>
          <w:i/>
        </w:rPr>
        <w:t xml:space="preserve">Question 3: </w:t>
      </w:r>
      <w:r w:rsidR="00C24A69" w:rsidRPr="009D5851">
        <w:rPr>
          <w:b/>
          <w:i/>
        </w:rPr>
        <w:t xml:space="preserve">How should a curative rights process appropriately deal with this problem while also ensuring </w:t>
      </w:r>
      <w:r w:rsidR="00510754">
        <w:rPr>
          <w:b/>
          <w:i/>
        </w:rPr>
        <w:t xml:space="preserve">adequate </w:t>
      </w:r>
      <w:r w:rsidR="00510754" w:rsidRPr="009D5851">
        <w:rPr>
          <w:b/>
          <w:i/>
        </w:rPr>
        <w:t>due</w:t>
      </w:r>
      <w:r w:rsidR="00C24A69" w:rsidRPr="009D5851">
        <w:rPr>
          <w:b/>
          <w:i/>
        </w:rPr>
        <w:t xml:space="preserve"> process protections for registrants?</w:t>
      </w:r>
    </w:p>
    <w:p w:rsidR="00C24A69" w:rsidRDefault="00C24A69" w:rsidP="00510754">
      <w:pPr>
        <w:ind w:firstLine="720"/>
        <w:jc w:val="both"/>
      </w:pPr>
    </w:p>
    <w:p w:rsidR="00A0309F" w:rsidRDefault="00C24A69" w:rsidP="00510754">
      <w:pPr>
        <w:pStyle w:val="ListParagraph"/>
        <w:numPr>
          <w:ilvl w:val="0"/>
          <w:numId w:val="3"/>
        </w:numPr>
        <w:jc w:val="both"/>
      </w:pPr>
      <w:r>
        <w:t>The GAC has advised that any dispute resolution process relating to IGOs should be at no or nominal cost to the IGOs.</w:t>
      </w:r>
      <w:r w:rsidR="00FB75D0">
        <w:t xml:space="preserve"> The WG has noted that the fees and associated legal costs for the UDRP and URS are substantially less than for litigation </w:t>
      </w:r>
      <w:r w:rsidR="00E22CE1">
        <w:t>involving</w:t>
      </w:r>
      <w:r w:rsidR="00FB75D0">
        <w:t xml:space="preserve"> the same matters. </w:t>
      </w:r>
      <w:r w:rsidR="00E7250E" w:rsidRPr="00510754">
        <w:t>Although the WG’s charter tasks it to analyze the issue of costs,</w:t>
      </w:r>
      <w:r w:rsidR="00FB75D0" w:rsidRPr="00510754">
        <w:t xml:space="preserve"> </w:t>
      </w:r>
      <w:r w:rsidR="00E7250E" w:rsidRPr="00510754">
        <w:t>it does not have</w:t>
      </w:r>
      <w:r w:rsidR="00E7250E">
        <w:t xml:space="preserve"> the </w:t>
      </w:r>
      <w:r w:rsidR="00FB75D0">
        <w:t xml:space="preserve">ability to create any fund or other subsidy mechanisms for IGOs who claim an inability to shoulder the costs of existing DRPs. </w:t>
      </w:r>
      <w:r>
        <w:t xml:space="preserve"> </w:t>
      </w:r>
    </w:p>
    <w:p w:rsidR="00A0309F" w:rsidRDefault="00A0309F" w:rsidP="00510754">
      <w:pPr>
        <w:pStyle w:val="ListParagraph"/>
        <w:ind w:left="1440"/>
        <w:jc w:val="both"/>
      </w:pPr>
    </w:p>
    <w:p w:rsidR="00C24A69" w:rsidRDefault="00A0309F" w:rsidP="003E2EDE">
      <w:pPr>
        <w:pStyle w:val="ListParagraph"/>
        <w:ind w:left="0" w:firstLine="720"/>
        <w:jc w:val="both"/>
      </w:pPr>
      <w:r>
        <w:rPr>
          <w:b/>
          <w:i/>
        </w:rPr>
        <w:t xml:space="preserve">Question 4: </w:t>
      </w:r>
      <w:r w:rsidR="00C24A69" w:rsidRPr="009D5851">
        <w:rPr>
          <w:b/>
          <w:i/>
        </w:rPr>
        <w:t xml:space="preserve">What is your Stakeholder Group/Constituency </w:t>
      </w:r>
      <w:r w:rsidR="00C24A69" w:rsidRPr="00FB75D0">
        <w:rPr>
          <w:b/>
          <w:i/>
        </w:rPr>
        <w:t>view on this issue, and in your view would</w:t>
      </w:r>
      <w:r w:rsidR="00FB75D0">
        <w:rPr>
          <w:b/>
          <w:i/>
        </w:rPr>
        <w:t xml:space="preserve"> the existing UDRP and URS fees </w:t>
      </w:r>
      <w:r w:rsidR="00FB75D0" w:rsidRPr="00FB75D0">
        <w:rPr>
          <w:b/>
          <w:i/>
        </w:rPr>
        <w:t>constitute</w:t>
      </w:r>
      <w:r w:rsidR="00C24A69" w:rsidRPr="00FB75D0">
        <w:rPr>
          <w:b/>
          <w:i/>
        </w:rPr>
        <w:t xml:space="preserve"> a </w:t>
      </w:r>
      <w:r w:rsidR="00E22CE1">
        <w:rPr>
          <w:b/>
          <w:i/>
        </w:rPr>
        <w:t>“</w:t>
      </w:r>
      <w:r w:rsidR="00C24A69" w:rsidRPr="00FB75D0">
        <w:rPr>
          <w:b/>
          <w:i/>
        </w:rPr>
        <w:t>nominal cost</w:t>
      </w:r>
      <w:r w:rsidR="00E22CE1">
        <w:rPr>
          <w:b/>
          <w:i/>
        </w:rPr>
        <w:t>”</w:t>
      </w:r>
      <w:r w:rsidR="00C24A69" w:rsidRPr="00FB75D0">
        <w:rPr>
          <w:b/>
          <w:i/>
        </w:rPr>
        <w:t>?</w:t>
      </w:r>
    </w:p>
    <w:p w:rsidR="00C24A69" w:rsidRDefault="00C24A69" w:rsidP="00510754">
      <w:pPr>
        <w:ind w:firstLine="720"/>
        <w:jc w:val="both"/>
      </w:pPr>
    </w:p>
    <w:p w:rsidR="00E22CE1" w:rsidRDefault="002C784C" w:rsidP="00510754">
      <w:pPr>
        <w:ind w:firstLine="720"/>
        <w:jc w:val="both"/>
      </w:pPr>
      <w:r>
        <w:t xml:space="preserve">In addition to the above questions, the WG Charter, which can be found at </w:t>
      </w:r>
      <w:hyperlink r:id="rId6" w:history="1">
        <w:r w:rsidRPr="009D4DA0">
          <w:rPr>
            <w:rStyle w:val="Hyperlink"/>
          </w:rPr>
          <w:t>http://gnso.icann.org/en/drafts/igo-ingo-crp-access-charter-24jun14-en.pdf</w:t>
        </w:r>
      </w:hyperlink>
      <w:r>
        <w:rPr>
          <w:rStyle w:val="Hyperlink"/>
        </w:rPr>
        <w:t xml:space="preserve"> , </w:t>
      </w:r>
      <w:r>
        <w:lastRenderedPageBreak/>
        <w:t xml:space="preserve">requires the WG to discuss a number of other issues. </w:t>
      </w:r>
      <w:r w:rsidR="00C24A69">
        <w:t xml:space="preserve">We would welcome your Stakeholder Group/Constituency feedback on any or all of these Charter questions. </w:t>
      </w:r>
    </w:p>
    <w:p w:rsidR="00E22CE1" w:rsidRDefault="00E22CE1" w:rsidP="00510754">
      <w:pPr>
        <w:jc w:val="both"/>
      </w:pPr>
    </w:p>
    <w:p w:rsidR="00C24A69" w:rsidRDefault="00C24A69" w:rsidP="00510754">
      <w:pPr>
        <w:jc w:val="both"/>
      </w:pPr>
      <w:r>
        <w:t>In particular, we would welcome input on the following topics:</w:t>
      </w:r>
    </w:p>
    <w:p w:rsidR="00C24A69" w:rsidRDefault="00C24A69" w:rsidP="00510754">
      <w:pPr>
        <w:ind w:firstLine="720"/>
        <w:jc w:val="both"/>
      </w:pPr>
    </w:p>
    <w:p w:rsidR="00C24A69" w:rsidRDefault="00C24A69" w:rsidP="00510754">
      <w:pPr>
        <w:pStyle w:val="ListParagraph"/>
        <w:numPr>
          <w:ilvl w:val="0"/>
          <w:numId w:val="1"/>
        </w:numPr>
        <w:jc w:val="both"/>
      </w:pPr>
      <w:r>
        <w:t>Whether the URS should be</w:t>
      </w:r>
      <w:r w:rsidR="00FB75D0">
        <w:t xml:space="preserve"> a</w:t>
      </w:r>
      <w:r>
        <w:t xml:space="preserve"> Consensus Policy;</w:t>
      </w:r>
    </w:p>
    <w:p w:rsidR="0051505E" w:rsidRDefault="0051505E" w:rsidP="0051505E">
      <w:pPr>
        <w:ind w:left="1080"/>
        <w:jc w:val="both"/>
      </w:pPr>
    </w:p>
    <w:p w:rsidR="00C24A69" w:rsidRDefault="00C24A69" w:rsidP="00510754">
      <w:pPr>
        <w:pStyle w:val="ListParagraph"/>
        <w:numPr>
          <w:ilvl w:val="0"/>
          <w:numId w:val="1"/>
        </w:numPr>
        <w:jc w:val="both"/>
      </w:pPr>
      <w:r>
        <w:t>Considerations of applying policies formulated by this WG to both “legacy”</w:t>
      </w:r>
      <w:r w:rsidR="00FB75D0">
        <w:t xml:space="preserve"> gTLDs</w:t>
      </w:r>
      <w:r>
        <w:t xml:space="preserve"> and the </w:t>
      </w:r>
      <w:r w:rsidR="00E22CE1">
        <w:t>n</w:t>
      </w:r>
      <w:r>
        <w:t>ew gTLDs currently being delegated in this expansion round</w:t>
      </w:r>
      <w:r w:rsidR="00E22CE1">
        <w:t xml:space="preserve"> (</w:t>
      </w:r>
      <w:r w:rsidR="00E22CE1" w:rsidRPr="0051505E">
        <w:rPr>
          <w:u w:val="single"/>
        </w:rPr>
        <w:t>N</w:t>
      </w:r>
      <w:r w:rsidR="00FB75D0" w:rsidRPr="0051505E">
        <w:rPr>
          <w:u w:val="single"/>
        </w:rPr>
        <w:t>ote</w:t>
      </w:r>
      <w:r w:rsidR="00FB75D0">
        <w:t xml:space="preserve">: </w:t>
      </w:r>
      <w:r w:rsidR="00D5295A">
        <w:t xml:space="preserve">This may potentially include the URS, which is currently </w:t>
      </w:r>
      <w:bookmarkStart w:id="0" w:name="_GoBack"/>
      <w:bookmarkEnd w:id="0"/>
      <w:r w:rsidR="00D5295A">
        <w:t xml:space="preserve">mandatory only for </w:t>
      </w:r>
      <w:proofErr w:type="spellStart"/>
      <w:r w:rsidR="00D5295A">
        <w:t>gTLDs</w:t>
      </w:r>
      <w:proofErr w:type="spellEnd"/>
      <w:r w:rsidR="00D5295A">
        <w:t xml:space="preserve"> delegated under ICANN’s New </w:t>
      </w:r>
      <w:proofErr w:type="spellStart"/>
      <w:r w:rsidR="00D5295A">
        <w:t>gTLD</w:t>
      </w:r>
      <w:proofErr w:type="spellEnd"/>
      <w:r w:rsidR="00D5295A">
        <w:t xml:space="preserve"> Program. The WG also notes that the GNSO is scheduled to examine the issue of </w:t>
      </w:r>
      <w:r w:rsidR="00E22CE1">
        <w:t xml:space="preserve">the </w:t>
      </w:r>
      <w:r w:rsidR="00C4623B">
        <w:t>efficacy</w:t>
      </w:r>
      <w:r w:rsidR="00E22CE1">
        <w:t xml:space="preserve"> of </w:t>
      </w:r>
      <w:r w:rsidR="00D5295A">
        <w:t xml:space="preserve">all </w:t>
      </w:r>
      <w:r w:rsidR="00E22CE1">
        <w:t>rights protection mechanisms</w:t>
      </w:r>
      <w:r w:rsidR="00C4623B">
        <w:t xml:space="preserve"> (RPMs) </w:t>
      </w:r>
      <w:r w:rsidR="00D5295A">
        <w:t xml:space="preserve">in both the legacy and new </w:t>
      </w:r>
      <w:proofErr w:type="spellStart"/>
      <w:r w:rsidR="00D5295A">
        <w:t>gTLDs</w:t>
      </w:r>
      <w:proofErr w:type="spellEnd"/>
      <w:r w:rsidR="00D5295A">
        <w:t xml:space="preserve"> in an upcoming Issue Report in early 2015</w:t>
      </w:r>
      <w:r w:rsidR="0051505E">
        <w:t>)</w:t>
      </w:r>
      <w:r>
        <w:t>;</w:t>
      </w:r>
    </w:p>
    <w:p w:rsidR="0051505E" w:rsidRDefault="0051505E" w:rsidP="0051505E">
      <w:pPr>
        <w:jc w:val="both"/>
      </w:pPr>
    </w:p>
    <w:p w:rsidR="00B56661" w:rsidRDefault="00C24A69" w:rsidP="00510754">
      <w:pPr>
        <w:pStyle w:val="ListParagraph"/>
        <w:numPr>
          <w:ilvl w:val="0"/>
          <w:numId w:val="1"/>
        </w:numPr>
        <w:jc w:val="both"/>
      </w:pPr>
      <w:r>
        <w:t xml:space="preserve">Whether the UDRP or the URS, or both, should be amended to </w:t>
      </w:r>
      <w:r w:rsidR="00B56661">
        <w:t>address the particular needs and concerns of IGOs; and, if so, how;</w:t>
      </w:r>
    </w:p>
    <w:p w:rsidR="0051505E" w:rsidRDefault="0051505E" w:rsidP="0051505E">
      <w:pPr>
        <w:jc w:val="both"/>
      </w:pPr>
    </w:p>
    <w:p w:rsidR="00B56661" w:rsidRDefault="00B56661" w:rsidP="00510754">
      <w:pPr>
        <w:pStyle w:val="ListParagraph"/>
        <w:numPr>
          <w:ilvl w:val="0"/>
          <w:numId w:val="1"/>
        </w:numPr>
        <w:jc w:val="both"/>
      </w:pPr>
      <w:r>
        <w:t>If the UDRP and/or URS are not to be amended, whether a specific, narrowly tailored dispute resolution procedure designed to address the particular needs and concerns of IGOs should be developed.</w:t>
      </w:r>
    </w:p>
    <w:p w:rsidR="00B56661" w:rsidRDefault="00B56661" w:rsidP="00510754">
      <w:pPr>
        <w:jc w:val="both"/>
      </w:pPr>
    </w:p>
    <w:p w:rsidR="00B56661" w:rsidRDefault="00B56661" w:rsidP="00510754">
      <w:pPr>
        <w:jc w:val="both"/>
      </w:pPr>
      <w:r>
        <w:t>Thank you for your Stakeholder Group/Constituency’s consideration of these questions. We look forward to any comments and</w:t>
      </w:r>
      <w:r w:rsidR="002C784C">
        <w:t xml:space="preserve"> any</w:t>
      </w:r>
      <w:r>
        <w:t xml:space="preserve"> </w:t>
      </w:r>
      <w:r w:rsidR="00E22CE1">
        <w:t xml:space="preserve">input that </w:t>
      </w:r>
      <w:r>
        <w:t>you and the group</w:t>
      </w:r>
      <w:r w:rsidR="00E22CE1">
        <w:t xml:space="preserve"> you Chair</w:t>
      </w:r>
      <w:r>
        <w:t xml:space="preserve"> are able to provide to our WG. If possible, please forward your comments and input to us by </w:t>
      </w:r>
      <w:r w:rsidRPr="00B56661">
        <w:rPr>
          <w:b/>
        </w:rPr>
        <w:t>Friday</w:t>
      </w:r>
      <w:r w:rsidR="00510754">
        <w:rPr>
          <w:b/>
        </w:rPr>
        <w:t xml:space="preserve">, </w:t>
      </w:r>
      <w:r w:rsidR="00510754" w:rsidRPr="00B56661">
        <w:rPr>
          <w:b/>
        </w:rPr>
        <w:t>January</w:t>
      </w:r>
      <w:r w:rsidR="00042C15">
        <w:rPr>
          <w:b/>
        </w:rPr>
        <w:t xml:space="preserve"> 9</w:t>
      </w:r>
      <w:r w:rsidRPr="00B56661">
        <w:rPr>
          <w:b/>
        </w:rPr>
        <w:t xml:space="preserve"> 2015</w:t>
      </w:r>
      <w:r w:rsidR="00E22CE1" w:rsidRPr="003E2EDE">
        <w:t xml:space="preserve"> so that we may fully consider it in our further deliberations</w:t>
      </w:r>
      <w:r>
        <w:t>.</w:t>
      </w:r>
    </w:p>
    <w:p w:rsidR="00B56661" w:rsidRDefault="00B56661" w:rsidP="00510754">
      <w:pPr>
        <w:jc w:val="both"/>
      </w:pPr>
    </w:p>
    <w:p w:rsidR="00B56661" w:rsidRDefault="00B56661" w:rsidP="00510754">
      <w:pPr>
        <w:jc w:val="both"/>
      </w:pPr>
    </w:p>
    <w:p w:rsidR="00B56661" w:rsidRDefault="00B56661" w:rsidP="00510754">
      <w:pPr>
        <w:jc w:val="both"/>
      </w:pPr>
      <w:r>
        <w:t>Best regards,</w:t>
      </w:r>
    </w:p>
    <w:p w:rsidR="00B56661" w:rsidRDefault="00B56661" w:rsidP="00510754">
      <w:pPr>
        <w:jc w:val="both"/>
      </w:pPr>
    </w:p>
    <w:p w:rsidR="00B56661" w:rsidRDefault="00B56661" w:rsidP="00510754">
      <w:pPr>
        <w:jc w:val="both"/>
      </w:pPr>
      <w:r>
        <w:t>Philip Corwin &amp; Petter Rindforth (WG Co-Chairs)</w:t>
      </w:r>
    </w:p>
    <w:p w:rsidR="004B28E9" w:rsidRDefault="004B28E9" w:rsidP="00510754">
      <w:pPr>
        <w:jc w:val="both"/>
      </w:pPr>
    </w:p>
    <w:p w:rsidR="004B28E9" w:rsidRDefault="004B28E9" w:rsidP="00510754">
      <w:pPr>
        <w:jc w:val="both"/>
      </w:pPr>
    </w:p>
    <w:p w:rsidR="004B28E9" w:rsidRDefault="004B28E9" w:rsidP="00510754">
      <w:pPr>
        <w:jc w:val="both"/>
      </w:pPr>
    </w:p>
    <w:p w:rsidR="004B28E9" w:rsidRDefault="004B28E9" w:rsidP="00510754">
      <w:pPr>
        <w:jc w:val="both"/>
      </w:pPr>
    </w:p>
    <w:p w:rsidR="004B28E9" w:rsidRDefault="004B28E9" w:rsidP="00510754">
      <w:pPr>
        <w:jc w:val="both"/>
      </w:pPr>
    </w:p>
    <w:p w:rsidR="004B28E9" w:rsidRDefault="004B28E9" w:rsidP="00510754">
      <w:pPr>
        <w:jc w:val="both"/>
      </w:pPr>
    </w:p>
    <w:p w:rsidR="004B28E9" w:rsidRDefault="004B28E9" w:rsidP="00510754">
      <w:pPr>
        <w:jc w:val="both"/>
      </w:pPr>
    </w:p>
    <w:p w:rsidR="004B28E9" w:rsidRDefault="004B28E9" w:rsidP="00510754">
      <w:pPr>
        <w:jc w:val="center"/>
        <w:rPr>
          <w:b/>
          <w:u w:val="single"/>
        </w:rPr>
      </w:pPr>
      <w:r w:rsidRPr="00510754">
        <w:rPr>
          <w:b/>
          <w:u w:val="single"/>
        </w:rPr>
        <w:t>Attachment A</w:t>
      </w:r>
    </w:p>
    <w:p w:rsidR="004B28E9" w:rsidRDefault="004B28E9" w:rsidP="00510754">
      <w:pPr>
        <w:jc w:val="center"/>
        <w:rPr>
          <w:b/>
          <w:u w:val="single"/>
        </w:rPr>
      </w:pPr>
    </w:p>
    <w:p w:rsidR="004B28E9" w:rsidRDefault="004B28E9" w:rsidP="00510754">
      <w:pPr>
        <w:jc w:val="center"/>
        <w:rPr>
          <w:b/>
        </w:rPr>
      </w:pPr>
      <w:r>
        <w:rPr>
          <w:b/>
        </w:rPr>
        <w:t>Rationale for the Working Group’</w:t>
      </w:r>
      <w:r w:rsidR="00CB2638">
        <w:rPr>
          <w:b/>
        </w:rPr>
        <w:t>s D</w:t>
      </w:r>
      <w:r>
        <w:rPr>
          <w:b/>
        </w:rPr>
        <w:t xml:space="preserve">ecision to Exclude </w:t>
      </w:r>
      <w:r w:rsidR="00CB2638">
        <w:rPr>
          <w:b/>
        </w:rPr>
        <w:t>International</w:t>
      </w:r>
      <w:r>
        <w:rPr>
          <w:b/>
        </w:rPr>
        <w:t xml:space="preserve"> Nongovernmental organizations (INGOs) from Further Consideration in our Deliberations</w:t>
      </w:r>
    </w:p>
    <w:p w:rsidR="004B28E9" w:rsidRDefault="004B28E9" w:rsidP="00510754">
      <w:pPr>
        <w:jc w:val="center"/>
        <w:rPr>
          <w:b/>
        </w:rPr>
      </w:pPr>
    </w:p>
    <w:p w:rsidR="004B28E9" w:rsidRDefault="004B28E9" w:rsidP="00510754">
      <w:pPr>
        <w:jc w:val="both"/>
      </w:pPr>
      <w:r>
        <w:t xml:space="preserve">The WG has made an initial determination to exclude INGOs from further consideration for special curative rights </w:t>
      </w:r>
      <w:r w:rsidR="00CB2638">
        <w:t>procedures</w:t>
      </w:r>
      <w:r>
        <w:t xml:space="preserve"> aside from the existing</w:t>
      </w:r>
      <w:r w:rsidR="00CB2638">
        <w:t xml:space="preserve"> and </w:t>
      </w:r>
      <w:r w:rsidR="00E22CE1">
        <w:t>un-amended</w:t>
      </w:r>
      <w:r>
        <w:t xml:space="preserve"> UDRP and URS for the following reasons:</w:t>
      </w:r>
    </w:p>
    <w:p w:rsidR="004B28E9" w:rsidRDefault="004B28E9" w:rsidP="00510754">
      <w:pPr>
        <w:jc w:val="both"/>
      </w:pPr>
    </w:p>
    <w:p w:rsidR="00A81D21" w:rsidRPr="00A81D21" w:rsidRDefault="00A81D21" w:rsidP="00A81D21">
      <w:pPr>
        <w:numPr>
          <w:ilvl w:val="1"/>
          <w:numId w:val="2"/>
        </w:numPr>
        <w:jc w:val="both"/>
      </w:pPr>
      <w:r w:rsidRPr="00A81D21">
        <w:t>Many INGOs already have, and do enforce their, trademark rights</w:t>
      </w:r>
      <w:r>
        <w:t>, and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rsidR="00A81D21" w:rsidRDefault="00A81D21" w:rsidP="00A81D21">
      <w:pPr>
        <w:numPr>
          <w:ilvl w:val="1"/>
          <w:numId w:val="2"/>
        </w:numPr>
        <w:jc w:val="both"/>
      </w:pPr>
      <w:r w:rsidRPr="00A81D21">
        <w:t>There is no</w:t>
      </w:r>
      <w:r>
        <w:t xml:space="preserve"> claim of a “sovereign immunity”</w:t>
      </w:r>
      <w:r w:rsidRPr="00A81D21">
        <w:t xml:space="preserve"> obstacle hindering INGOs from submitting to national jurisdiction</w:t>
      </w:r>
      <w:r>
        <w:t xml:space="preserve"> in the appeals process from the existing DRPs</w:t>
      </w:r>
      <w:r w:rsidRPr="00A81D21">
        <w:t>, and some regularly use the UDRP to protect their rights</w:t>
      </w:r>
    </w:p>
    <w:p w:rsidR="00CB2638" w:rsidRPr="00A81D21" w:rsidRDefault="00CB2638" w:rsidP="00A81D21">
      <w:pPr>
        <w:numPr>
          <w:ilvl w:val="1"/>
          <w:numId w:val="2"/>
        </w:numPr>
        <w:jc w:val="both"/>
      </w:pPr>
      <w:r>
        <w:t xml:space="preserve">Given the above determinations regarding access to trademark rights and irrelevance of the sovereign immunity issue, </w:t>
      </w:r>
      <w:r w:rsidR="00E7250E" w:rsidRPr="00510754">
        <w:t xml:space="preserve">the WG believes that </w:t>
      </w:r>
      <w:r w:rsidRPr="00510754">
        <w:t xml:space="preserve">there is no </w:t>
      </w:r>
      <w:r w:rsidR="00E7250E" w:rsidRPr="00510754">
        <w:t xml:space="preserve">principled </w:t>
      </w:r>
      <w:r w:rsidRPr="00510754">
        <w:t>reason to consider any amen</w:t>
      </w:r>
      <w:r>
        <w:t>dment of the UDRP or URS to accommodate INGOs</w:t>
      </w:r>
    </w:p>
    <w:p w:rsidR="00A81D21" w:rsidRDefault="00A81D21" w:rsidP="00510754">
      <w:pPr>
        <w:numPr>
          <w:ilvl w:val="1"/>
          <w:numId w:val="2"/>
        </w:numPr>
        <w:jc w:val="both"/>
      </w:pPr>
      <w:r w:rsidRPr="00A81D21">
        <w:t>Although some INGOs may face cost concerns since enforcement through the UDRP/URS involves</w:t>
      </w:r>
      <w:r>
        <w:t xml:space="preserve"> some expenditure of</w:t>
      </w:r>
      <w:r w:rsidRPr="00A81D21">
        <w:t xml:space="preserve"> funds, this is not a problem for all INGOs</w:t>
      </w:r>
      <w:r w:rsidR="00B87F8E">
        <w:t xml:space="preserve"> nor is it unique to INGOs as rights holders;</w:t>
      </w:r>
      <w:r w:rsidRPr="00A81D21">
        <w:t xml:space="preserve"> furthermore, </w:t>
      </w:r>
      <w:r w:rsidR="00B87F8E">
        <w:t xml:space="preserve">the issue of </w:t>
      </w:r>
      <w:r w:rsidRPr="00A81D21">
        <w:t xml:space="preserve">ICANN </w:t>
      </w:r>
      <w:r w:rsidR="00B87F8E">
        <w:t>subsidization of DRP utilization is outside the scope of this WG’s Charter and its authority derived therefrom.</w:t>
      </w:r>
    </w:p>
    <w:p w:rsidR="00B87F8E" w:rsidRPr="00B87F8E" w:rsidRDefault="00B87F8E" w:rsidP="00510754">
      <w:pPr>
        <w:numPr>
          <w:ilvl w:val="1"/>
          <w:numId w:val="2"/>
        </w:numPr>
        <w:jc w:val="both"/>
      </w:pPr>
      <w:r>
        <w:t xml:space="preserve">The September 1, 2013 United Nations Economic and Social Council (ECOSOC) list of </w:t>
      </w:r>
      <w:r w:rsidRPr="00B87F8E">
        <w:t xml:space="preserve"> </w:t>
      </w:r>
      <w:r w:rsidRPr="00510754">
        <w:rPr>
          <w:bCs/>
        </w:rPr>
        <w:t>of non-governmental organizations in consultative status</w:t>
      </w:r>
      <w:r w:rsidRPr="00B87F8E">
        <w:rPr>
          <w:bCs/>
        </w:rPr>
        <w:t xml:space="preserve"> with it consists of nearly 4,000 organizations, of which 147 organizations </w:t>
      </w:r>
      <w:r>
        <w:rPr>
          <w:bCs/>
        </w:rPr>
        <w:t xml:space="preserve">were </w:t>
      </w:r>
      <w:r w:rsidRPr="00B87F8E">
        <w:rPr>
          <w:bCs/>
        </w:rPr>
        <w:t>in general consultative status, 2,774 in special consultative status</w:t>
      </w:r>
      <w:r>
        <w:rPr>
          <w:bCs/>
        </w:rPr>
        <w:t>,</w:t>
      </w:r>
      <w:r w:rsidRPr="00B87F8E">
        <w:rPr>
          <w:bCs/>
        </w:rPr>
        <w:t xml:space="preserve"> and 979 on the Roster</w:t>
      </w:r>
      <w:r>
        <w:rPr>
          <w:bCs/>
        </w:rPr>
        <w:t xml:space="preserve">. The WG also became aware that there might be many more organizations not presently on the ECOSOC list who might claim the right to utilize any new curative rights process (CRP) created for INGOs. The WG felt that the sheer scale of INGOs, in combination with the factors cited above, argued against creation of a special </w:t>
      </w:r>
      <w:r w:rsidR="003B42F3">
        <w:rPr>
          <w:bCs/>
        </w:rPr>
        <w:t>D</w:t>
      </w:r>
      <w:r>
        <w:rPr>
          <w:bCs/>
        </w:rPr>
        <w:t>RP.</w:t>
      </w:r>
    </w:p>
    <w:p w:rsidR="00AC2619" w:rsidRDefault="00B87F8E" w:rsidP="00AC2619">
      <w:pPr>
        <w:numPr>
          <w:ilvl w:val="1"/>
          <w:numId w:val="2"/>
        </w:numPr>
        <w:jc w:val="both"/>
        <w:rPr>
          <w:bCs/>
          <w:iCs/>
        </w:rPr>
      </w:pPr>
      <w:r w:rsidRPr="00AC2619">
        <w:rPr>
          <w:bCs/>
        </w:rPr>
        <w:t xml:space="preserve">While this is the “IGO-INGO Access to Curative Rights protection Working Group”, its actual Charter (available at </w:t>
      </w:r>
      <w:hyperlink r:id="rId7" w:history="1">
        <w:r w:rsidR="00AC2619" w:rsidRPr="00AC2619">
          <w:rPr>
            <w:rStyle w:val="Hyperlink"/>
            <w:bCs/>
          </w:rPr>
          <w:t>http://gnso.icann.org/en/drafts/igo-ingo-crp-access-charter-24jun14-en.pdf</w:t>
        </w:r>
      </w:hyperlink>
      <w:r w:rsidR="00AC2619" w:rsidRPr="00AC2619">
        <w:rPr>
          <w:bCs/>
        </w:rPr>
        <w:t xml:space="preserve"> ) does</w:t>
      </w:r>
      <w:r w:rsidR="00AC2619">
        <w:rPr>
          <w:bCs/>
        </w:rPr>
        <w:t xml:space="preserve"> not require it to develop a CRP responsive to any special </w:t>
      </w:r>
      <w:r w:rsidR="00AC2619" w:rsidRPr="00AC2619">
        <w:rPr>
          <w:bCs/>
        </w:rPr>
        <w:t>legal</w:t>
      </w:r>
      <w:r w:rsidR="00AC2619">
        <w:rPr>
          <w:bCs/>
        </w:rPr>
        <w:t xml:space="preserve"> status </w:t>
      </w:r>
      <w:r w:rsidR="00AC2619" w:rsidRPr="00AC2619">
        <w:rPr>
          <w:bCs/>
        </w:rPr>
        <w:t>for all INGOs. Rather, The Charter only requires it to consider “</w:t>
      </w:r>
      <w:r w:rsidR="00AC2619" w:rsidRPr="00AC2619">
        <w:rPr>
          <w:bCs/>
          <w:i/>
          <w:iCs/>
        </w:rPr>
        <w:t xml:space="preserve">The relevance of specific legal protections under international legal instruments and various national laws for IGOs </w:t>
      </w:r>
      <w:r w:rsidR="00AC2619" w:rsidRPr="00510754">
        <w:rPr>
          <w:b/>
          <w:bCs/>
          <w:i/>
          <w:iCs/>
        </w:rPr>
        <w:t>and certain INGOs</w:t>
      </w:r>
      <w:r w:rsidR="00AC2619" w:rsidRPr="00AC2619">
        <w:rPr>
          <w:bCs/>
          <w:i/>
          <w:iCs/>
        </w:rPr>
        <w:t xml:space="preserve"> (namely, the Red Cross movement and the International Olympic Committee</w:t>
      </w:r>
      <w:r w:rsidR="00AC2619">
        <w:rPr>
          <w:bCs/>
          <w:i/>
          <w:iCs/>
        </w:rPr>
        <w:t xml:space="preserve">) </w:t>
      </w:r>
      <w:r w:rsidR="00AC2619" w:rsidRPr="00510754">
        <w:rPr>
          <w:bCs/>
          <w:iCs/>
        </w:rPr>
        <w:t>(</w:t>
      </w:r>
      <w:r w:rsidR="00AC2619">
        <w:rPr>
          <w:bCs/>
          <w:iCs/>
        </w:rPr>
        <w:t>Emphasis added). The Charter also requires that this WG consider “</w:t>
      </w:r>
      <w:r w:rsidR="00AC2619" w:rsidRPr="00AC2619">
        <w:rPr>
          <w:bCs/>
          <w:iCs/>
        </w:rPr>
        <w:t>The distinctions (if any) between IGOs and INGOs for purposes of this</w:t>
      </w:r>
      <w:r w:rsidR="00AC2619">
        <w:rPr>
          <w:bCs/>
          <w:iCs/>
        </w:rPr>
        <w:t xml:space="preserve"> PDP”. The WG has considered those distinctions and determined </w:t>
      </w:r>
      <w:r w:rsidR="00AC2619">
        <w:rPr>
          <w:bCs/>
          <w:iCs/>
        </w:rPr>
        <w:lastRenderedPageBreak/>
        <w:t xml:space="preserve">that they are </w:t>
      </w:r>
      <w:r w:rsidR="00AC2619" w:rsidRPr="00510754">
        <w:rPr>
          <w:bCs/>
          <w:iCs/>
        </w:rPr>
        <w:t xml:space="preserve">sufficient </w:t>
      </w:r>
      <w:r w:rsidR="003B42F3" w:rsidRPr="00510754">
        <w:rPr>
          <w:bCs/>
          <w:iCs/>
        </w:rPr>
        <w:t xml:space="preserve">such </w:t>
      </w:r>
      <w:r w:rsidR="00AC2619" w:rsidRPr="00510754">
        <w:rPr>
          <w:bCs/>
          <w:iCs/>
        </w:rPr>
        <w:t xml:space="preserve">that a specially tailored </w:t>
      </w:r>
      <w:r w:rsidR="003B42F3" w:rsidRPr="00510754">
        <w:rPr>
          <w:bCs/>
          <w:iCs/>
        </w:rPr>
        <w:t>D</w:t>
      </w:r>
      <w:r w:rsidR="00AC2619" w:rsidRPr="00510754">
        <w:rPr>
          <w:bCs/>
          <w:iCs/>
        </w:rPr>
        <w:t xml:space="preserve">RP for INGO’s </w:t>
      </w:r>
      <w:r w:rsidR="003B42F3" w:rsidRPr="00510754">
        <w:rPr>
          <w:bCs/>
          <w:iCs/>
        </w:rPr>
        <w:t>does not require</w:t>
      </w:r>
      <w:r w:rsidR="00AC2619">
        <w:rPr>
          <w:bCs/>
          <w:iCs/>
        </w:rPr>
        <w:t xml:space="preserve"> further deliberation, and that the WG should focus its remaining time and attention on the complex issues relating to protections for IGOs.</w:t>
      </w:r>
      <w:r w:rsidR="00AC2619" w:rsidRPr="00AC2619">
        <w:rPr>
          <w:bCs/>
          <w:iCs/>
        </w:rPr>
        <w:t xml:space="preserve"> </w:t>
      </w:r>
    </w:p>
    <w:p w:rsidR="00042C15" w:rsidRPr="00510754" w:rsidRDefault="00042C15" w:rsidP="00042C15">
      <w:pPr>
        <w:numPr>
          <w:ilvl w:val="1"/>
          <w:numId w:val="2"/>
        </w:numPr>
        <w:jc w:val="both"/>
        <w:rPr>
          <w:bCs/>
          <w:iCs/>
        </w:rPr>
      </w:pPr>
      <w:r>
        <w:rPr>
          <w:bCs/>
          <w:iCs/>
        </w:rPr>
        <w:t xml:space="preserve">In regard to the decision to suspend further consideration of special protections for the Red Cross movement or International Olympic Committee, the WG </w:t>
      </w:r>
      <w:r w:rsidRPr="00042C15">
        <w:rPr>
          <w:bCs/>
          <w:iCs/>
        </w:rPr>
        <w:t xml:space="preserve">noted that although the Red Cross and IOC are the two INGOs specifically highlighted by the GAC </w:t>
      </w:r>
      <w:r>
        <w:rPr>
          <w:bCs/>
          <w:iCs/>
        </w:rPr>
        <w:t xml:space="preserve">and the Charter provision cited above </w:t>
      </w:r>
      <w:r w:rsidRPr="00042C15">
        <w:rPr>
          <w:bCs/>
          <w:iCs/>
        </w:rPr>
        <w:t>as enjoying international legal treaty protections and rights under multiple national laws, for the purposes of this PDP they have demonstrated that: (1) they are able to rely, and have relied, on the UDRP</w:t>
      </w:r>
      <w:r>
        <w:rPr>
          <w:bCs/>
          <w:iCs/>
        </w:rPr>
        <w:t xml:space="preserve"> and would face no barriers to </w:t>
      </w:r>
      <w:r w:rsidR="00E22CE1">
        <w:rPr>
          <w:bCs/>
          <w:iCs/>
        </w:rPr>
        <w:t>utilizing</w:t>
      </w:r>
      <w:r>
        <w:rPr>
          <w:bCs/>
          <w:iCs/>
        </w:rPr>
        <w:t xml:space="preserve"> the URS</w:t>
      </w:r>
      <w:r w:rsidRPr="00042C15">
        <w:rPr>
          <w:bCs/>
          <w:iCs/>
        </w:rPr>
        <w:t xml:space="preserve">; and (2) they possess trademark rights that they defend and enforce. As such, in relation to the specific tasks for which this WG was chartered, </w:t>
      </w:r>
      <w:r>
        <w:rPr>
          <w:bCs/>
          <w:iCs/>
        </w:rPr>
        <w:t xml:space="preserve">the WG determined </w:t>
      </w:r>
      <w:r w:rsidRPr="00042C15">
        <w:rPr>
          <w:bCs/>
          <w:iCs/>
        </w:rPr>
        <w:t xml:space="preserve">there </w:t>
      </w:r>
      <w:r>
        <w:rPr>
          <w:bCs/>
          <w:iCs/>
        </w:rPr>
        <w:t>wa</w:t>
      </w:r>
      <w:r w:rsidRPr="00042C15">
        <w:rPr>
          <w:bCs/>
          <w:iCs/>
        </w:rPr>
        <w:t>s no principled reason to distinguish them from other INGOs.</w:t>
      </w:r>
      <w:r>
        <w:rPr>
          <w:bCs/>
          <w:iCs/>
        </w:rPr>
        <w:t xml:space="preserve"> </w:t>
      </w:r>
      <w:r w:rsidRPr="00510754">
        <w:rPr>
          <w:bCs/>
          <w:iCs/>
        </w:rPr>
        <w:t xml:space="preserve">The </w:t>
      </w:r>
      <w:r w:rsidR="00C4623B" w:rsidRPr="00510754">
        <w:rPr>
          <w:bCs/>
          <w:iCs/>
        </w:rPr>
        <w:t>WG noted</w:t>
      </w:r>
      <w:r w:rsidR="003B42F3" w:rsidRPr="00510754">
        <w:rPr>
          <w:bCs/>
          <w:iCs/>
        </w:rPr>
        <w:t xml:space="preserve"> that legal representatives of </w:t>
      </w:r>
      <w:r w:rsidRPr="00510754">
        <w:rPr>
          <w:bCs/>
          <w:iCs/>
        </w:rPr>
        <w:t xml:space="preserve">the </w:t>
      </w:r>
      <w:r w:rsidR="003B42F3" w:rsidRPr="00510754">
        <w:rPr>
          <w:bCs/>
          <w:iCs/>
        </w:rPr>
        <w:t xml:space="preserve">International </w:t>
      </w:r>
      <w:r w:rsidRPr="00510754">
        <w:rPr>
          <w:bCs/>
          <w:iCs/>
        </w:rPr>
        <w:t>Olympic Committee</w:t>
      </w:r>
      <w:r w:rsidR="003B42F3" w:rsidRPr="00510754">
        <w:rPr>
          <w:bCs/>
          <w:iCs/>
        </w:rPr>
        <w:t xml:space="preserve"> are active in the WG and </w:t>
      </w:r>
      <w:r w:rsidR="00C4623B" w:rsidRPr="00510754">
        <w:rPr>
          <w:bCs/>
          <w:iCs/>
        </w:rPr>
        <w:t>fully support</w:t>
      </w:r>
      <w:r w:rsidRPr="00510754">
        <w:rPr>
          <w:bCs/>
          <w:iCs/>
        </w:rPr>
        <w:t xml:space="preserve"> </w:t>
      </w:r>
      <w:r w:rsidR="003B42F3" w:rsidRPr="00510754">
        <w:rPr>
          <w:bCs/>
          <w:iCs/>
        </w:rPr>
        <w:t>this conclusion</w:t>
      </w:r>
      <w:r w:rsidRPr="00510754">
        <w:rPr>
          <w:bCs/>
          <w:iCs/>
        </w:rPr>
        <w:t>.</w:t>
      </w:r>
    </w:p>
    <w:p w:rsidR="00042C15" w:rsidRDefault="00042C15" w:rsidP="00510754">
      <w:pPr>
        <w:ind w:left="1184"/>
        <w:rPr>
          <w:bCs/>
          <w:iCs/>
        </w:rPr>
      </w:pPr>
    </w:p>
    <w:p w:rsidR="00AC2619" w:rsidRDefault="00AC2619" w:rsidP="00510754">
      <w:pPr>
        <w:rPr>
          <w:bCs/>
          <w:iCs/>
        </w:rPr>
      </w:pPr>
    </w:p>
    <w:p w:rsidR="00AC2619" w:rsidRPr="00AC2619" w:rsidRDefault="00C4623B" w:rsidP="00510754">
      <w:pPr>
        <w:jc w:val="both"/>
        <w:rPr>
          <w:bCs/>
          <w:iCs/>
        </w:rPr>
      </w:pPr>
      <w:r>
        <w:rPr>
          <w:bCs/>
          <w:iCs/>
        </w:rPr>
        <w:t xml:space="preserve">The determinations cited above represent a strong majority position among all </w:t>
      </w:r>
      <w:r w:rsidRPr="00510754">
        <w:rPr>
          <w:bCs/>
          <w:iCs/>
        </w:rPr>
        <w:t>participating members of the WG. A minority view was expressed based on the viewpoint that the case for considering creation of a special DRP even</w:t>
      </w:r>
      <w:r>
        <w:rPr>
          <w:bCs/>
          <w:iCs/>
        </w:rPr>
        <w:t xml:space="preserve"> for IGOs was too weak to justify further WG time and effort. </w:t>
      </w:r>
      <w:r w:rsidR="00CB2638">
        <w:rPr>
          <w:bCs/>
          <w:iCs/>
        </w:rPr>
        <w:t xml:space="preserve">That minority view did not prevail and the WG will continue to consider whether any special needs or considerations relating to IGOs justify amendment of the UDRP and URS or, in the alternative, provide a rationale for creation of a </w:t>
      </w:r>
      <w:r w:rsidR="003B42F3">
        <w:rPr>
          <w:bCs/>
          <w:iCs/>
        </w:rPr>
        <w:t>D</w:t>
      </w:r>
      <w:r w:rsidR="00CB2638">
        <w:rPr>
          <w:bCs/>
          <w:iCs/>
        </w:rPr>
        <w:t xml:space="preserve">RP solely for use by IGOs. </w:t>
      </w:r>
    </w:p>
    <w:p w:rsidR="00AC2619" w:rsidRPr="00B87F8E" w:rsidRDefault="00AC2619" w:rsidP="00510754">
      <w:pPr>
        <w:ind w:left="1184"/>
      </w:pPr>
    </w:p>
    <w:p w:rsidR="00B87F8E" w:rsidRPr="00B87F8E" w:rsidRDefault="00B87F8E" w:rsidP="00510754">
      <w:pPr>
        <w:ind w:left="1184"/>
      </w:pPr>
    </w:p>
    <w:p w:rsidR="004B28E9" w:rsidRPr="004B28E9" w:rsidRDefault="004B28E9" w:rsidP="00510754">
      <w:pPr>
        <w:jc w:val="both"/>
      </w:pPr>
    </w:p>
    <w:sectPr w:rsidR="004B28E9" w:rsidRPr="004B28E9"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C1801"/>
    <w:multiLevelType w:val="hybridMultilevel"/>
    <w:tmpl w:val="15524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7E601D"/>
    <w:multiLevelType w:val="hybridMultilevel"/>
    <w:tmpl w:val="15AE37D2"/>
    <w:lvl w:ilvl="0" w:tplc="F934F9C6">
      <w:start w:val="1"/>
      <w:numFmt w:val="upperRoman"/>
      <w:lvlText w:val="%1."/>
      <w:lvlJc w:val="left"/>
      <w:pPr>
        <w:ind w:left="104" w:hanging="193"/>
        <w:jc w:val="left"/>
      </w:pPr>
      <w:rPr>
        <w:rFonts w:ascii="Cambria" w:eastAsia="Cambria" w:hAnsi="Cambria" w:hint="default"/>
        <w:b/>
        <w:bCs/>
        <w:w w:val="99"/>
        <w:sz w:val="24"/>
        <w:szCs w:val="24"/>
      </w:rPr>
    </w:lvl>
    <w:lvl w:ilvl="1" w:tplc="A4247EEC">
      <w:start w:val="1"/>
      <w:numFmt w:val="bullet"/>
      <w:lvlText w:val=""/>
      <w:lvlJc w:val="left"/>
      <w:pPr>
        <w:ind w:left="1184" w:hanging="360"/>
      </w:pPr>
      <w:rPr>
        <w:rFonts w:ascii="Symbol" w:eastAsia="Symbol" w:hAnsi="Symbol" w:hint="default"/>
        <w:w w:val="99"/>
        <w:sz w:val="24"/>
        <w:szCs w:val="24"/>
      </w:rPr>
    </w:lvl>
    <w:lvl w:ilvl="2" w:tplc="A63494DA">
      <w:start w:val="1"/>
      <w:numFmt w:val="bullet"/>
      <w:lvlText w:val="•"/>
      <w:lvlJc w:val="left"/>
      <w:pPr>
        <w:ind w:left="2028" w:hanging="360"/>
      </w:pPr>
      <w:rPr>
        <w:rFonts w:hint="default"/>
      </w:rPr>
    </w:lvl>
    <w:lvl w:ilvl="3" w:tplc="09F431FA">
      <w:start w:val="1"/>
      <w:numFmt w:val="bullet"/>
      <w:lvlText w:val="•"/>
      <w:lvlJc w:val="left"/>
      <w:pPr>
        <w:ind w:left="2877" w:hanging="360"/>
      </w:pPr>
      <w:rPr>
        <w:rFonts w:hint="default"/>
      </w:rPr>
    </w:lvl>
    <w:lvl w:ilvl="4" w:tplc="AC18A7E0">
      <w:start w:val="1"/>
      <w:numFmt w:val="bullet"/>
      <w:lvlText w:val="•"/>
      <w:lvlJc w:val="left"/>
      <w:pPr>
        <w:ind w:left="3726" w:hanging="360"/>
      </w:pPr>
      <w:rPr>
        <w:rFonts w:hint="default"/>
      </w:rPr>
    </w:lvl>
    <w:lvl w:ilvl="5" w:tplc="E9945D82">
      <w:start w:val="1"/>
      <w:numFmt w:val="bullet"/>
      <w:lvlText w:val="•"/>
      <w:lvlJc w:val="left"/>
      <w:pPr>
        <w:ind w:left="4575" w:hanging="360"/>
      </w:pPr>
      <w:rPr>
        <w:rFonts w:hint="default"/>
      </w:rPr>
    </w:lvl>
    <w:lvl w:ilvl="6" w:tplc="C9BCE57A">
      <w:start w:val="1"/>
      <w:numFmt w:val="bullet"/>
      <w:lvlText w:val="•"/>
      <w:lvlJc w:val="left"/>
      <w:pPr>
        <w:ind w:left="5424" w:hanging="360"/>
      </w:pPr>
      <w:rPr>
        <w:rFonts w:hint="default"/>
      </w:rPr>
    </w:lvl>
    <w:lvl w:ilvl="7" w:tplc="2348CBE6">
      <w:start w:val="1"/>
      <w:numFmt w:val="bullet"/>
      <w:lvlText w:val="•"/>
      <w:lvlJc w:val="left"/>
      <w:pPr>
        <w:ind w:left="6273" w:hanging="360"/>
      </w:pPr>
      <w:rPr>
        <w:rFonts w:hint="default"/>
      </w:rPr>
    </w:lvl>
    <w:lvl w:ilvl="8" w:tplc="C3F8AF90">
      <w:start w:val="1"/>
      <w:numFmt w:val="bullet"/>
      <w:lvlText w:val="•"/>
      <w:lvlJc w:val="left"/>
      <w:pPr>
        <w:ind w:left="7122" w:hanging="360"/>
      </w:pPr>
      <w:rPr>
        <w:rFonts w:hint="default"/>
      </w:rPr>
    </w:lvl>
  </w:abstractNum>
  <w:abstractNum w:abstractNumId="2">
    <w:nsid w:val="65054819"/>
    <w:multiLevelType w:val="hybridMultilevel"/>
    <w:tmpl w:val="36EC5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69"/>
    <w:rsid w:val="00042C15"/>
    <w:rsid w:val="000B1519"/>
    <w:rsid w:val="00171C3A"/>
    <w:rsid w:val="00176D87"/>
    <w:rsid w:val="002C784C"/>
    <w:rsid w:val="002F1B76"/>
    <w:rsid w:val="003B42F3"/>
    <w:rsid w:val="003E2EDE"/>
    <w:rsid w:val="003F21EC"/>
    <w:rsid w:val="004B28E9"/>
    <w:rsid w:val="00510754"/>
    <w:rsid w:val="0051505E"/>
    <w:rsid w:val="00612110"/>
    <w:rsid w:val="00815899"/>
    <w:rsid w:val="00962D78"/>
    <w:rsid w:val="009D5851"/>
    <w:rsid w:val="00A0309F"/>
    <w:rsid w:val="00A81D21"/>
    <w:rsid w:val="00A9584F"/>
    <w:rsid w:val="00AC2619"/>
    <w:rsid w:val="00B56661"/>
    <w:rsid w:val="00B87F8E"/>
    <w:rsid w:val="00BF08D2"/>
    <w:rsid w:val="00C24A69"/>
    <w:rsid w:val="00C27A08"/>
    <w:rsid w:val="00C4623B"/>
    <w:rsid w:val="00CB2638"/>
    <w:rsid w:val="00D16ED3"/>
    <w:rsid w:val="00D3585E"/>
    <w:rsid w:val="00D5295A"/>
    <w:rsid w:val="00D77950"/>
    <w:rsid w:val="00E05391"/>
    <w:rsid w:val="00E22CE1"/>
    <w:rsid w:val="00E7250E"/>
    <w:rsid w:val="00F9540E"/>
    <w:rsid w:val="00FB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661"/>
    <w:rPr>
      <w:color w:val="0000FF" w:themeColor="hyperlink"/>
      <w:u w:val="single"/>
    </w:rPr>
  </w:style>
  <w:style w:type="paragraph" w:styleId="ListParagraph">
    <w:name w:val="List Paragraph"/>
    <w:basedOn w:val="Normal"/>
    <w:uiPriority w:val="34"/>
    <w:qFormat/>
    <w:rsid w:val="00B56661"/>
    <w:pPr>
      <w:ind w:left="720"/>
      <w:contextualSpacing/>
    </w:pPr>
  </w:style>
  <w:style w:type="paragraph" w:styleId="BalloonText">
    <w:name w:val="Balloon Text"/>
    <w:basedOn w:val="Normal"/>
    <w:link w:val="BalloonTextChar"/>
    <w:uiPriority w:val="99"/>
    <w:semiHidden/>
    <w:unhideWhenUsed/>
    <w:rsid w:val="000B1519"/>
    <w:rPr>
      <w:rFonts w:ascii="Tahoma" w:hAnsi="Tahoma" w:cs="Tahoma"/>
      <w:sz w:val="16"/>
      <w:szCs w:val="16"/>
    </w:rPr>
  </w:style>
  <w:style w:type="character" w:customStyle="1" w:styleId="BalloonTextChar">
    <w:name w:val="Balloon Text Char"/>
    <w:basedOn w:val="DefaultParagraphFont"/>
    <w:link w:val="BalloonText"/>
    <w:uiPriority w:val="99"/>
    <w:semiHidden/>
    <w:rsid w:val="000B1519"/>
    <w:rPr>
      <w:rFonts w:ascii="Tahoma" w:hAnsi="Tahoma" w:cs="Tahoma"/>
      <w:sz w:val="16"/>
      <w:szCs w:val="16"/>
    </w:rPr>
  </w:style>
  <w:style w:type="paragraph" w:styleId="BodyText">
    <w:name w:val="Body Text"/>
    <w:basedOn w:val="Normal"/>
    <w:link w:val="BodyTextChar"/>
    <w:uiPriority w:val="99"/>
    <w:semiHidden/>
    <w:unhideWhenUsed/>
    <w:rsid w:val="00042C15"/>
    <w:pPr>
      <w:spacing w:after="120"/>
    </w:pPr>
  </w:style>
  <w:style w:type="character" w:customStyle="1" w:styleId="BodyTextChar">
    <w:name w:val="Body Text Char"/>
    <w:basedOn w:val="DefaultParagraphFont"/>
    <w:link w:val="BodyText"/>
    <w:uiPriority w:val="99"/>
    <w:semiHidden/>
    <w:rsid w:val="00042C15"/>
  </w:style>
  <w:style w:type="character" w:styleId="CommentReference">
    <w:name w:val="annotation reference"/>
    <w:basedOn w:val="DefaultParagraphFont"/>
    <w:uiPriority w:val="99"/>
    <w:semiHidden/>
    <w:unhideWhenUsed/>
    <w:rsid w:val="00815899"/>
    <w:rPr>
      <w:sz w:val="18"/>
      <w:szCs w:val="18"/>
    </w:rPr>
  </w:style>
  <w:style w:type="paragraph" w:styleId="CommentText">
    <w:name w:val="annotation text"/>
    <w:basedOn w:val="Normal"/>
    <w:link w:val="CommentTextChar"/>
    <w:uiPriority w:val="99"/>
    <w:semiHidden/>
    <w:unhideWhenUsed/>
    <w:rsid w:val="00815899"/>
  </w:style>
  <w:style w:type="character" w:customStyle="1" w:styleId="CommentTextChar">
    <w:name w:val="Comment Text Char"/>
    <w:basedOn w:val="DefaultParagraphFont"/>
    <w:link w:val="CommentText"/>
    <w:uiPriority w:val="99"/>
    <w:semiHidden/>
    <w:rsid w:val="00815899"/>
  </w:style>
  <w:style w:type="paragraph" w:styleId="CommentSubject">
    <w:name w:val="annotation subject"/>
    <w:basedOn w:val="CommentText"/>
    <w:next w:val="CommentText"/>
    <w:link w:val="CommentSubjectChar"/>
    <w:uiPriority w:val="99"/>
    <w:semiHidden/>
    <w:unhideWhenUsed/>
    <w:rsid w:val="00815899"/>
    <w:rPr>
      <w:b/>
      <w:bCs/>
      <w:sz w:val="20"/>
      <w:szCs w:val="20"/>
    </w:rPr>
  </w:style>
  <w:style w:type="character" w:customStyle="1" w:styleId="CommentSubjectChar">
    <w:name w:val="Comment Subject Char"/>
    <w:basedOn w:val="CommentTextChar"/>
    <w:link w:val="CommentSubject"/>
    <w:uiPriority w:val="99"/>
    <w:semiHidden/>
    <w:rsid w:val="00815899"/>
    <w:rPr>
      <w:b/>
      <w:bCs/>
      <w:sz w:val="20"/>
      <w:szCs w:val="20"/>
    </w:rPr>
  </w:style>
  <w:style w:type="paragraph" w:styleId="Revision">
    <w:name w:val="Revision"/>
    <w:hidden/>
    <w:uiPriority w:val="99"/>
    <w:semiHidden/>
    <w:rsid w:val="00E725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661"/>
    <w:rPr>
      <w:color w:val="0000FF" w:themeColor="hyperlink"/>
      <w:u w:val="single"/>
    </w:rPr>
  </w:style>
  <w:style w:type="paragraph" w:styleId="ListParagraph">
    <w:name w:val="List Paragraph"/>
    <w:basedOn w:val="Normal"/>
    <w:uiPriority w:val="34"/>
    <w:qFormat/>
    <w:rsid w:val="00B56661"/>
    <w:pPr>
      <w:ind w:left="720"/>
      <w:contextualSpacing/>
    </w:pPr>
  </w:style>
  <w:style w:type="paragraph" w:styleId="BalloonText">
    <w:name w:val="Balloon Text"/>
    <w:basedOn w:val="Normal"/>
    <w:link w:val="BalloonTextChar"/>
    <w:uiPriority w:val="99"/>
    <w:semiHidden/>
    <w:unhideWhenUsed/>
    <w:rsid w:val="000B1519"/>
    <w:rPr>
      <w:rFonts w:ascii="Tahoma" w:hAnsi="Tahoma" w:cs="Tahoma"/>
      <w:sz w:val="16"/>
      <w:szCs w:val="16"/>
    </w:rPr>
  </w:style>
  <w:style w:type="character" w:customStyle="1" w:styleId="BalloonTextChar">
    <w:name w:val="Balloon Text Char"/>
    <w:basedOn w:val="DefaultParagraphFont"/>
    <w:link w:val="BalloonText"/>
    <w:uiPriority w:val="99"/>
    <w:semiHidden/>
    <w:rsid w:val="000B1519"/>
    <w:rPr>
      <w:rFonts w:ascii="Tahoma" w:hAnsi="Tahoma" w:cs="Tahoma"/>
      <w:sz w:val="16"/>
      <w:szCs w:val="16"/>
    </w:rPr>
  </w:style>
  <w:style w:type="paragraph" w:styleId="BodyText">
    <w:name w:val="Body Text"/>
    <w:basedOn w:val="Normal"/>
    <w:link w:val="BodyTextChar"/>
    <w:uiPriority w:val="99"/>
    <w:semiHidden/>
    <w:unhideWhenUsed/>
    <w:rsid w:val="00042C15"/>
    <w:pPr>
      <w:spacing w:after="120"/>
    </w:pPr>
  </w:style>
  <w:style w:type="character" w:customStyle="1" w:styleId="BodyTextChar">
    <w:name w:val="Body Text Char"/>
    <w:basedOn w:val="DefaultParagraphFont"/>
    <w:link w:val="BodyText"/>
    <w:uiPriority w:val="99"/>
    <w:semiHidden/>
    <w:rsid w:val="00042C15"/>
  </w:style>
  <w:style w:type="character" w:styleId="CommentReference">
    <w:name w:val="annotation reference"/>
    <w:basedOn w:val="DefaultParagraphFont"/>
    <w:uiPriority w:val="99"/>
    <w:semiHidden/>
    <w:unhideWhenUsed/>
    <w:rsid w:val="00815899"/>
    <w:rPr>
      <w:sz w:val="18"/>
      <w:szCs w:val="18"/>
    </w:rPr>
  </w:style>
  <w:style w:type="paragraph" w:styleId="CommentText">
    <w:name w:val="annotation text"/>
    <w:basedOn w:val="Normal"/>
    <w:link w:val="CommentTextChar"/>
    <w:uiPriority w:val="99"/>
    <w:semiHidden/>
    <w:unhideWhenUsed/>
    <w:rsid w:val="00815899"/>
  </w:style>
  <w:style w:type="character" w:customStyle="1" w:styleId="CommentTextChar">
    <w:name w:val="Comment Text Char"/>
    <w:basedOn w:val="DefaultParagraphFont"/>
    <w:link w:val="CommentText"/>
    <w:uiPriority w:val="99"/>
    <w:semiHidden/>
    <w:rsid w:val="00815899"/>
  </w:style>
  <w:style w:type="paragraph" w:styleId="CommentSubject">
    <w:name w:val="annotation subject"/>
    <w:basedOn w:val="CommentText"/>
    <w:next w:val="CommentText"/>
    <w:link w:val="CommentSubjectChar"/>
    <w:uiPriority w:val="99"/>
    <w:semiHidden/>
    <w:unhideWhenUsed/>
    <w:rsid w:val="00815899"/>
    <w:rPr>
      <w:b/>
      <w:bCs/>
      <w:sz w:val="20"/>
      <w:szCs w:val="20"/>
    </w:rPr>
  </w:style>
  <w:style w:type="character" w:customStyle="1" w:styleId="CommentSubjectChar">
    <w:name w:val="Comment Subject Char"/>
    <w:basedOn w:val="CommentTextChar"/>
    <w:link w:val="CommentSubject"/>
    <w:uiPriority w:val="99"/>
    <w:semiHidden/>
    <w:rsid w:val="00815899"/>
    <w:rPr>
      <w:b/>
      <w:bCs/>
      <w:sz w:val="20"/>
      <w:szCs w:val="20"/>
    </w:rPr>
  </w:style>
  <w:style w:type="paragraph" w:styleId="Revision">
    <w:name w:val="Revision"/>
    <w:hidden/>
    <w:uiPriority w:val="99"/>
    <w:semiHidden/>
    <w:rsid w:val="00E7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drafts/igo-ingo-crp-access-charter-24jun14-en.pdf" TargetMode="External"/><Relationship Id="rId7" Type="http://schemas.openxmlformats.org/officeDocument/2006/relationships/hyperlink" Target="http://gnso.icann.org/en/drafts/igo-ingo-crp-access-charter-24jun14-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9237</Characters>
  <Application>Microsoft Macintosh Word</Application>
  <DocSecurity>0</DocSecurity>
  <Lines>76</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ICANN</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dcterms:created xsi:type="dcterms:W3CDTF">2014-12-02T20:51:00Z</dcterms:created>
  <dcterms:modified xsi:type="dcterms:W3CDTF">2014-12-02T20:51:00Z</dcterms:modified>
</cp:coreProperties>
</file>