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b w:val="1"/>
          <w:sz w:val="36"/>
          <w:szCs w:val="36"/>
        </w:rPr>
      </w:pPr>
      <w:r w:rsidDel="00000000" w:rsidR="00000000" w:rsidRPr="00000000">
        <w:rPr>
          <w:b w:val="1"/>
          <w:sz w:val="36"/>
          <w:szCs w:val="36"/>
          <w:rtl w:val="0"/>
        </w:rPr>
        <w:t xml:space="preserve">Draft Public Comment Proceeding </w:t>
      </w:r>
    </w:p>
    <w:p w:rsidR="00000000" w:rsidDel="00000000" w:rsidP="00000000" w:rsidRDefault="00000000" w:rsidRPr="00000000" w14:paraId="00000002">
      <w:pPr>
        <w:spacing w:line="240" w:lineRule="auto"/>
        <w:jc w:val="center"/>
        <w:rPr>
          <w:sz w:val="36"/>
          <w:szCs w:val="36"/>
        </w:rPr>
      </w:pPr>
      <w:r w:rsidDel="00000000" w:rsidR="00000000" w:rsidRPr="00000000">
        <w:rPr>
          <w:b w:val="1"/>
          <w:sz w:val="36"/>
          <w:szCs w:val="36"/>
          <w:rtl w:val="0"/>
        </w:rPr>
        <w:t xml:space="preserve">for the Red Cross Update Policy Implementation</w:t>
      </w:r>
      <w:r w:rsidDel="00000000" w:rsidR="00000000" w:rsidRPr="00000000">
        <w:rPr>
          <w:rtl w:val="0"/>
        </w:rPr>
      </w:r>
    </w:p>
    <w:p w:rsidR="00000000" w:rsidDel="00000000" w:rsidP="00000000" w:rsidRDefault="00000000" w:rsidRPr="00000000" w14:paraId="00000003">
      <w:pPr>
        <w:spacing w:line="240" w:lineRule="auto"/>
        <w:jc w:val="center"/>
        <w:rPr>
          <w:b w:val="1"/>
          <w:sz w:val="36"/>
          <w:szCs w:val="36"/>
        </w:rPr>
      </w:pPr>
      <w:r w:rsidDel="00000000" w:rsidR="00000000" w:rsidRPr="00000000">
        <w:rPr>
          <w:rtl w:val="0"/>
        </w:rPr>
      </w:r>
    </w:p>
    <w:p w:rsidR="00000000" w:rsidDel="00000000" w:rsidP="00000000" w:rsidRDefault="00000000" w:rsidRPr="00000000" w14:paraId="00000004">
      <w:pPr>
        <w:pBdr>
          <w:top w:color="000000" w:space="1" w:sz="4" w:val="single"/>
          <w:left w:color="000000" w:space="4" w:sz="4" w:val="single"/>
          <w:bottom w:color="000000" w:space="1" w:sz="4" w:val="single"/>
          <w:right w:color="000000" w:space="4" w:sz="4" w:val="single"/>
        </w:pBdr>
        <w:spacing w:line="240" w:lineRule="auto"/>
        <w:rPr>
          <w:sz w:val="24"/>
          <w:szCs w:val="24"/>
        </w:rPr>
      </w:pPr>
      <w:r w:rsidDel="00000000" w:rsidR="00000000" w:rsidRPr="00000000">
        <w:rPr>
          <w:b w:val="1"/>
          <w:sz w:val="24"/>
          <w:szCs w:val="24"/>
          <w:rtl w:val="0"/>
        </w:rPr>
        <w:t xml:space="preserve">Overview</w:t>
      </w:r>
      <w:r w:rsidDel="00000000" w:rsidR="00000000" w:rsidRPr="00000000">
        <w:rPr>
          <w:sz w:val="24"/>
          <w:szCs w:val="24"/>
          <w:rtl w:val="0"/>
        </w:rPr>
        <w:t xml:space="preserve">: IPT will draft for IRT Review “Part A: Announcement”  Part B: Public Comment Proceeding Details”</w:t>
      </w:r>
    </w:p>
    <w:p w:rsidR="00000000" w:rsidDel="00000000" w:rsidP="00000000" w:rsidRDefault="00000000" w:rsidRPr="00000000" w14:paraId="00000005">
      <w:pPr>
        <w:pBdr>
          <w:top w:color="000000" w:space="1" w:sz="4" w:val="single"/>
          <w:left w:color="000000" w:space="4" w:sz="4" w:val="single"/>
          <w:bottom w:color="000000" w:space="1" w:sz="4" w:val="single"/>
          <w:right w:color="000000" w:space="4" w:sz="4" w:val="single"/>
        </w:pBdr>
        <w:spacing w:line="240" w:lineRule="auto"/>
        <w:rPr>
          <w:sz w:val="24"/>
          <w:szCs w:val="24"/>
        </w:rPr>
      </w:pPr>
      <w:r w:rsidDel="00000000" w:rsidR="00000000" w:rsidRPr="00000000">
        <w:rPr>
          <w:rtl w:val="0"/>
        </w:rPr>
      </w:r>
    </w:p>
    <w:p w:rsidR="00000000" w:rsidDel="00000000" w:rsidP="00000000" w:rsidRDefault="00000000" w:rsidRPr="00000000" w14:paraId="00000006">
      <w:pPr>
        <w:spacing w:line="240" w:lineRule="auto"/>
        <w:rPr>
          <w:sz w:val="24"/>
          <w:szCs w:val="24"/>
        </w:rPr>
      </w:pPr>
      <w:r w:rsidDel="00000000" w:rsidR="00000000" w:rsidRPr="00000000">
        <w:rPr>
          <w:rtl w:val="0"/>
        </w:rPr>
      </w:r>
    </w:p>
    <w:p w:rsidR="00000000" w:rsidDel="00000000" w:rsidP="00000000" w:rsidRDefault="00000000" w:rsidRPr="00000000" w14:paraId="00000007">
      <w:pPr>
        <w:spacing w:line="240" w:lineRule="auto"/>
        <w:rPr>
          <w:b w:val="1"/>
          <w:color w:val="c00000"/>
          <w:sz w:val="36"/>
          <w:szCs w:val="36"/>
        </w:rPr>
      </w:pPr>
      <w:r w:rsidDel="00000000" w:rsidR="00000000" w:rsidRPr="00000000">
        <w:rPr>
          <w:b w:val="1"/>
          <w:color w:val="c00000"/>
          <w:sz w:val="36"/>
          <w:szCs w:val="36"/>
          <w:rtl w:val="0"/>
        </w:rPr>
        <w:t xml:space="preserve">Part A: Announcement</w:t>
      </w:r>
    </w:p>
    <w:p w:rsidR="00000000" w:rsidDel="00000000" w:rsidP="00000000" w:rsidRDefault="00000000" w:rsidRPr="00000000" w14:paraId="00000008">
      <w:pPr>
        <w:spacing w:line="240" w:lineRule="auto"/>
        <w:rPr>
          <w:sz w:val="24"/>
          <w:szCs w:val="24"/>
        </w:rPr>
      </w:pPr>
      <w:r w:rsidDel="00000000" w:rsidR="00000000" w:rsidRPr="00000000">
        <w:rPr>
          <w:rtl w:val="0"/>
        </w:rPr>
      </w:r>
    </w:p>
    <w:p w:rsidR="00000000" w:rsidDel="00000000" w:rsidP="00000000" w:rsidRDefault="00000000" w:rsidRPr="00000000" w14:paraId="00000009">
      <w:pPr>
        <w:pBdr>
          <w:top w:color="000000" w:space="1" w:sz="4" w:val="single"/>
          <w:left w:color="000000" w:space="4" w:sz="4" w:val="single"/>
          <w:bottom w:color="000000" w:space="1" w:sz="4" w:val="single"/>
          <w:right w:color="000000" w:space="4" w:sz="4" w:val="single"/>
        </w:pBdr>
        <w:spacing w:line="240" w:lineRule="auto"/>
        <w:rPr>
          <w:rFonts w:ascii="Calibri" w:cs="Calibri" w:eastAsia="Calibri" w:hAnsi="Calibri"/>
        </w:rPr>
      </w:pPr>
      <w:r w:rsidDel="00000000" w:rsidR="00000000" w:rsidRPr="00000000">
        <w:rPr>
          <w:b w:val="1"/>
          <w:sz w:val="24"/>
          <w:szCs w:val="24"/>
          <w:rtl w:val="0"/>
        </w:rPr>
        <w:t xml:space="preserve">Note</w:t>
      </w:r>
      <w:r w:rsidDel="00000000" w:rsidR="00000000" w:rsidRPr="00000000">
        <w:rPr>
          <w:sz w:val="24"/>
          <w:szCs w:val="24"/>
          <w:rtl w:val="0"/>
        </w:rPr>
        <w:t xml:space="preserve">: Brief public comment announcements are presented on </w:t>
      </w:r>
      <w:hyperlink r:id="rId6">
        <w:r w:rsidDel="00000000" w:rsidR="00000000" w:rsidRPr="00000000">
          <w:rPr>
            <w:color w:val="0000ff"/>
            <w:sz w:val="24"/>
            <w:szCs w:val="24"/>
            <w:rtl w:val="0"/>
          </w:rPr>
          <w:t xml:space="preserve">https://www.icann.org/news/announcements</w:t>
        </w:r>
      </w:hyperlink>
      <w:r w:rsidDel="00000000" w:rsidR="00000000" w:rsidRPr="00000000">
        <w:rPr>
          <w:sz w:val="24"/>
          <w:szCs w:val="24"/>
          <w:rtl w:val="0"/>
        </w:rPr>
        <w:t xml:space="preserve">. All detailed and supplementary information, including background, status, next steps, links, reports, et al., will be presented in “Part B: Public Comment Proceeding Details.”</w:t>
      </w:r>
      <w:r w:rsidDel="00000000" w:rsidR="00000000" w:rsidRPr="00000000">
        <w:rPr>
          <w:rtl w:val="0"/>
        </w:rPr>
      </w:r>
    </w:p>
    <w:tbl>
      <w:tblPr>
        <w:tblStyle w:val="Table1"/>
        <w:tblW w:w="1092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40"/>
        <w:gridCol w:w="3360"/>
        <w:gridCol w:w="1200"/>
        <w:gridCol w:w="3820"/>
        <w:tblGridChange w:id="0">
          <w:tblGrid>
            <w:gridCol w:w="2540"/>
            <w:gridCol w:w="3360"/>
            <w:gridCol w:w="1200"/>
            <w:gridCol w:w="3820"/>
          </w:tblGrid>
        </w:tblGridChange>
      </w:tblGrid>
      <w:tr>
        <w:trPr>
          <w:trHeight w:val="720" w:hRule="atLeast"/>
        </w:trPr>
        <w:tc>
          <w:tcPr>
            <w:gridSpan w:val="4"/>
            <w:shd w:fill="17365d" w:val="clear"/>
            <w:vAlign w:val="center"/>
          </w:tcPr>
          <w:p w:rsidR="00000000" w:rsidDel="00000000" w:rsidP="00000000" w:rsidRDefault="00000000" w:rsidRPr="00000000" w14:paraId="0000000A">
            <w:pPr>
              <w:spacing w:line="240" w:lineRule="auto"/>
              <w:rPr>
                <w:b w:val="1"/>
                <w:sz w:val="32"/>
                <w:szCs w:val="32"/>
              </w:rPr>
            </w:pPr>
            <w:r w:rsidDel="00000000" w:rsidR="00000000" w:rsidRPr="00000000">
              <w:rPr>
                <w:b w:val="1"/>
                <w:color w:val="ffffff"/>
                <w:sz w:val="32"/>
                <w:szCs w:val="32"/>
                <w:rtl w:val="0"/>
              </w:rPr>
              <w:t xml:space="preserve">Proposed Changes to the Protection of IGO &amp; INGO Identifiers in All gTLDs Policy</w:t>
            </w:r>
            <w:r w:rsidDel="00000000" w:rsidR="00000000" w:rsidRPr="00000000">
              <w:rPr>
                <w:rtl w:val="0"/>
              </w:rPr>
            </w:r>
          </w:p>
        </w:tc>
      </w:tr>
      <w:tr>
        <w:trPr>
          <w:trHeight w:val="500" w:hRule="atLeast"/>
        </w:trPr>
        <w:tc>
          <w:tcPr>
            <w:shd w:fill="f2f2f2" w:val="clear"/>
            <w:vAlign w:val="center"/>
          </w:tcPr>
          <w:p w:rsidR="00000000" w:rsidDel="00000000" w:rsidP="00000000" w:rsidRDefault="00000000" w:rsidRPr="00000000" w14:paraId="0000000E">
            <w:pPr>
              <w:spacing w:line="240" w:lineRule="auto"/>
              <w:rPr>
                <w:b w:val="1"/>
                <w:sz w:val="24"/>
                <w:szCs w:val="24"/>
              </w:rPr>
            </w:pPr>
            <w:r w:rsidDel="00000000" w:rsidR="00000000" w:rsidRPr="00000000">
              <w:rPr>
                <w:b w:val="1"/>
                <w:sz w:val="24"/>
                <w:szCs w:val="24"/>
                <w:rtl w:val="0"/>
              </w:rPr>
              <w:t xml:space="preserve">Open Date:</w:t>
            </w:r>
          </w:p>
        </w:tc>
        <w:tc>
          <w:tcPr>
            <w:shd w:fill="auto" w:val="clear"/>
            <w:vAlign w:val="center"/>
          </w:tcPr>
          <w:p w:rsidR="00000000" w:rsidDel="00000000" w:rsidP="00000000" w:rsidRDefault="00000000" w:rsidRPr="00000000" w14:paraId="0000000F">
            <w:pPr>
              <w:spacing w:line="240" w:lineRule="auto"/>
              <w:rPr>
                <w:sz w:val="24"/>
                <w:szCs w:val="24"/>
              </w:rPr>
            </w:pPr>
            <w:r w:rsidDel="00000000" w:rsidR="00000000" w:rsidRPr="00000000">
              <w:rPr>
                <w:sz w:val="24"/>
                <w:szCs w:val="24"/>
                <w:rtl w:val="0"/>
              </w:rPr>
              <w:t xml:space="preserve">18 September 2019</w:t>
            </w:r>
          </w:p>
        </w:tc>
        <w:tc>
          <w:tcPr>
            <w:shd w:fill="f2f2f2" w:val="clear"/>
            <w:vAlign w:val="center"/>
          </w:tcPr>
          <w:p w:rsidR="00000000" w:rsidDel="00000000" w:rsidP="00000000" w:rsidRDefault="00000000" w:rsidRPr="00000000" w14:paraId="00000010">
            <w:pPr>
              <w:spacing w:line="240" w:lineRule="auto"/>
              <w:rPr>
                <w:b w:val="1"/>
                <w:sz w:val="24"/>
                <w:szCs w:val="24"/>
              </w:rPr>
            </w:pPr>
            <w:r w:rsidDel="00000000" w:rsidR="00000000" w:rsidRPr="00000000">
              <w:rPr>
                <w:b w:val="1"/>
                <w:sz w:val="24"/>
                <w:szCs w:val="24"/>
                <w:rtl w:val="0"/>
              </w:rPr>
              <w:t xml:space="preserve">Close Date: </w:t>
            </w:r>
          </w:p>
        </w:tc>
        <w:tc>
          <w:tcPr>
            <w:shd w:fill="auto" w:val="clear"/>
            <w:vAlign w:val="center"/>
          </w:tcPr>
          <w:p w:rsidR="00000000" w:rsidDel="00000000" w:rsidP="00000000" w:rsidRDefault="00000000" w:rsidRPr="00000000" w14:paraId="00000011">
            <w:pPr>
              <w:spacing w:line="240" w:lineRule="auto"/>
              <w:rPr>
                <w:sz w:val="24"/>
                <w:szCs w:val="24"/>
              </w:rPr>
            </w:pPr>
            <w:r w:rsidDel="00000000" w:rsidR="00000000" w:rsidRPr="00000000">
              <w:rPr>
                <w:sz w:val="24"/>
                <w:szCs w:val="24"/>
                <w:rtl w:val="0"/>
              </w:rPr>
              <w:t xml:space="preserve">28 October 2019</w:t>
            </w:r>
          </w:p>
        </w:tc>
      </w:tr>
      <w:tr>
        <w:trPr>
          <w:trHeight w:val="500" w:hRule="atLeast"/>
        </w:trPr>
        <w:tc>
          <w:tcPr>
            <w:shd w:fill="f2f2f2" w:val="clear"/>
            <w:vAlign w:val="center"/>
          </w:tcPr>
          <w:p w:rsidR="00000000" w:rsidDel="00000000" w:rsidP="00000000" w:rsidRDefault="00000000" w:rsidRPr="00000000" w14:paraId="00000012">
            <w:pPr>
              <w:spacing w:line="240" w:lineRule="auto"/>
              <w:rPr>
                <w:b w:val="1"/>
                <w:sz w:val="24"/>
                <w:szCs w:val="24"/>
              </w:rPr>
            </w:pPr>
            <w:r w:rsidDel="00000000" w:rsidR="00000000" w:rsidRPr="00000000">
              <w:rPr>
                <w:b w:val="1"/>
                <w:sz w:val="24"/>
                <w:szCs w:val="24"/>
                <w:rtl w:val="0"/>
              </w:rPr>
              <w:t xml:space="preserve">Originating Organization:</w:t>
            </w:r>
          </w:p>
        </w:tc>
        <w:tc>
          <w:tcPr>
            <w:gridSpan w:val="3"/>
            <w:shd w:fill="auto" w:val="clear"/>
            <w:vAlign w:val="center"/>
          </w:tcPr>
          <w:p w:rsidR="00000000" w:rsidDel="00000000" w:rsidP="00000000" w:rsidRDefault="00000000" w:rsidRPr="00000000" w14:paraId="00000013">
            <w:pPr>
              <w:spacing w:line="240" w:lineRule="auto"/>
              <w:rPr>
                <w:sz w:val="24"/>
                <w:szCs w:val="24"/>
              </w:rPr>
            </w:pPr>
            <w:r w:rsidDel="00000000" w:rsidR="00000000" w:rsidRPr="00000000">
              <w:rPr>
                <w:sz w:val="24"/>
                <w:szCs w:val="24"/>
                <w:rtl w:val="0"/>
              </w:rPr>
              <w:t xml:space="preserve">GDD</w:t>
            </w:r>
          </w:p>
        </w:tc>
      </w:tr>
      <w:tr>
        <w:trPr>
          <w:trHeight w:val="500" w:hRule="atLeast"/>
        </w:trPr>
        <w:tc>
          <w:tcPr>
            <w:shd w:fill="f2f2f2" w:val="clear"/>
            <w:vAlign w:val="center"/>
          </w:tcPr>
          <w:p w:rsidR="00000000" w:rsidDel="00000000" w:rsidP="00000000" w:rsidRDefault="00000000" w:rsidRPr="00000000" w14:paraId="00000016">
            <w:pPr>
              <w:spacing w:line="240" w:lineRule="auto"/>
              <w:rPr>
                <w:b w:val="1"/>
                <w:sz w:val="24"/>
                <w:szCs w:val="24"/>
              </w:rPr>
            </w:pPr>
            <w:r w:rsidDel="00000000" w:rsidR="00000000" w:rsidRPr="00000000">
              <w:rPr>
                <w:b w:val="1"/>
                <w:sz w:val="24"/>
                <w:szCs w:val="24"/>
                <w:rtl w:val="0"/>
              </w:rPr>
              <w:t xml:space="preserve">Categories/Tags:</w:t>
            </w:r>
          </w:p>
        </w:tc>
        <w:tc>
          <w:tcPr>
            <w:gridSpan w:val="3"/>
            <w:shd w:fill="auto" w:val="clear"/>
            <w:vAlign w:val="center"/>
          </w:tcPr>
          <w:p w:rsidR="00000000" w:rsidDel="00000000" w:rsidP="00000000" w:rsidRDefault="00000000" w:rsidRPr="00000000" w14:paraId="00000017">
            <w:pPr>
              <w:spacing w:line="240" w:lineRule="auto"/>
              <w:rPr>
                <w:sz w:val="24"/>
                <w:szCs w:val="24"/>
              </w:rPr>
            </w:pPr>
            <w:r w:rsidDel="00000000" w:rsidR="00000000" w:rsidRPr="00000000">
              <w:rPr>
                <w:sz w:val="24"/>
                <w:szCs w:val="24"/>
                <w:rtl w:val="0"/>
              </w:rPr>
              <w:t xml:space="preserve">Consensus Policy Implementation</w:t>
            </w:r>
          </w:p>
        </w:tc>
      </w:tr>
      <w:tr>
        <w:trPr>
          <w:trHeight w:val="500" w:hRule="atLeast"/>
        </w:trPr>
        <w:tc>
          <w:tcPr>
            <w:shd w:fill="f2f2f2" w:val="clear"/>
            <w:vAlign w:val="center"/>
          </w:tcPr>
          <w:p w:rsidR="00000000" w:rsidDel="00000000" w:rsidP="00000000" w:rsidRDefault="00000000" w:rsidRPr="00000000" w14:paraId="0000001A">
            <w:pPr>
              <w:spacing w:line="240" w:lineRule="auto"/>
              <w:rPr>
                <w:b w:val="1"/>
                <w:sz w:val="24"/>
                <w:szCs w:val="24"/>
              </w:rPr>
            </w:pPr>
            <w:r w:rsidDel="00000000" w:rsidR="00000000" w:rsidRPr="00000000">
              <w:rPr>
                <w:b w:val="1"/>
                <w:sz w:val="24"/>
                <w:szCs w:val="24"/>
                <w:rtl w:val="0"/>
              </w:rPr>
              <w:t xml:space="preserve">Brief Overview: </w:t>
            </w:r>
          </w:p>
        </w:tc>
        <w:tc>
          <w:tcPr>
            <w:gridSpan w:val="3"/>
            <w:shd w:fill="auto" w:val="clear"/>
            <w:vAlign w:val="center"/>
          </w:tcPr>
          <w:p w:rsidR="00000000" w:rsidDel="00000000" w:rsidP="00000000" w:rsidRDefault="00000000" w:rsidRPr="00000000" w14:paraId="0000001B">
            <w:pPr>
              <w:spacing w:line="240" w:lineRule="auto"/>
              <w:rPr>
                <w:sz w:val="24"/>
                <w:szCs w:val="24"/>
              </w:rPr>
            </w:pPr>
            <w:r w:rsidDel="00000000" w:rsidR="00000000" w:rsidRPr="00000000">
              <w:rPr>
                <w:sz w:val="24"/>
                <w:szCs w:val="24"/>
                <w:highlight w:val="white"/>
                <w:rtl w:val="0"/>
              </w:rPr>
              <w:t xml:space="preserve">This public comment forum is intended to gather community feedback on the proposed policy changes related to the 191 full names of the National Red Cross or Red Crescent Societies, the International Committee of the Red Cross, and the International Federation of Red Cross and Red Crescent Societies, which are to be placed into the Reserved Names List. This new consensus policy is intended to supplement the previously-adopted Protection of IGO and INGO Identifiers in All gTLDs Policy by which the specific terms Red Cross, Red Crescent, Red Lion &amp; Sun and Red Crystal were withheld from registration.</w:t>
            </w:r>
            <w:r w:rsidDel="00000000" w:rsidR="00000000" w:rsidRPr="00000000">
              <w:rPr>
                <w:rtl w:val="0"/>
              </w:rPr>
            </w:r>
          </w:p>
        </w:tc>
      </w:tr>
      <w:tr>
        <w:trPr>
          <w:trHeight w:val="540" w:hRule="atLeast"/>
        </w:trPr>
        <w:tc>
          <w:tcPr>
            <w:shd w:fill="f2f2f2" w:val="clear"/>
            <w:vAlign w:val="center"/>
          </w:tcPr>
          <w:p w:rsidR="00000000" w:rsidDel="00000000" w:rsidP="00000000" w:rsidRDefault="00000000" w:rsidRPr="00000000" w14:paraId="0000001E">
            <w:pPr>
              <w:spacing w:line="240" w:lineRule="auto"/>
              <w:rPr>
                <w:b w:val="1"/>
                <w:sz w:val="24"/>
                <w:szCs w:val="24"/>
              </w:rPr>
            </w:pPr>
            <w:r w:rsidDel="00000000" w:rsidR="00000000" w:rsidRPr="00000000">
              <w:rPr>
                <w:b w:val="1"/>
                <w:sz w:val="24"/>
                <w:szCs w:val="24"/>
                <w:rtl w:val="0"/>
              </w:rPr>
              <w:t xml:space="preserve">Link:</w:t>
            </w:r>
          </w:p>
        </w:tc>
        <w:tc>
          <w:tcPr>
            <w:gridSpan w:val="3"/>
            <w:shd w:fill="auto" w:val="clear"/>
            <w:vAlign w:val="center"/>
          </w:tcPr>
          <w:p w:rsidR="00000000" w:rsidDel="00000000" w:rsidP="00000000" w:rsidRDefault="00000000" w:rsidRPr="00000000" w14:paraId="0000001F">
            <w:pPr>
              <w:spacing w:line="240" w:lineRule="auto"/>
              <w:rPr>
                <w:sz w:val="24"/>
                <w:szCs w:val="24"/>
              </w:rPr>
            </w:pPr>
            <w:r w:rsidDel="00000000" w:rsidR="00000000" w:rsidRPr="00000000">
              <w:rPr>
                <w:rtl w:val="0"/>
              </w:rPr>
              <w:t xml:space="preserve">[Do not complete; Web Content Operations Team will insert URL]</w:t>
            </w:r>
            <w:r w:rsidDel="00000000" w:rsidR="00000000" w:rsidRPr="00000000">
              <w:rPr>
                <w:rtl w:val="0"/>
              </w:rPr>
            </w:r>
          </w:p>
        </w:tc>
      </w:tr>
    </w:tbl>
    <w:p w:rsidR="00000000" w:rsidDel="00000000" w:rsidP="00000000" w:rsidRDefault="00000000" w:rsidRPr="00000000" w14:paraId="00000022">
      <w:pPr>
        <w:pBdr>
          <w:top w:color="000000" w:space="1" w:sz="6" w:val="single"/>
        </w:pBdr>
        <w:spacing w:line="276" w:lineRule="auto"/>
        <w:jc w:val="center"/>
        <w:rPr>
          <w:rFonts w:ascii="Calibri" w:cs="Calibri" w:eastAsia="Calibri" w:hAnsi="Calibri"/>
        </w:rPr>
      </w:pPr>
      <w:r w:rsidDel="00000000" w:rsidR="00000000" w:rsidRPr="00000000">
        <w:rPr>
          <w:rFonts w:ascii="Calibri" w:cs="Calibri" w:eastAsia="Calibri" w:hAnsi="Calibri"/>
          <w:rtl w:val="0"/>
        </w:rPr>
        <w:t xml:space="preserve">Bottom of Form</w:t>
      </w:r>
    </w:p>
    <w:p w:rsidR="00000000" w:rsidDel="00000000" w:rsidP="00000000" w:rsidRDefault="00000000" w:rsidRPr="00000000" w14:paraId="00000023">
      <w:pPr>
        <w:spacing w:line="240" w:lineRule="auto"/>
        <w:rPr>
          <w:b w:val="1"/>
          <w:sz w:val="24"/>
          <w:szCs w:val="24"/>
          <w:u w:val="single"/>
        </w:rPr>
      </w:pPr>
      <w:r w:rsidDel="00000000" w:rsidR="00000000" w:rsidRPr="00000000">
        <w:rPr>
          <w:rtl w:val="0"/>
        </w:rPr>
      </w:r>
    </w:p>
    <w:p w:rsidR="00000000" w:rsidDel="00000000" w:rsidP="00000000" w:rsidRDefault="00000000" w:rsidRPr="00000000" w14:paraId="00000024">
      <w:pPr>
        <w:spacing w:line="240" w:lineRule="auto"/>
        <w:rPr>
          <w:b w:val="1"/>
          <w:color w:val="c00000"/>
          <w:sz w:val="36"/>
          <w:szCs w:val="36"/>
          <w:u w:val="single"/>
        </w:rPr>
      </w:pPr>
      <w:r w:rsidDel="00000000" w:rsidR="00000000" w:rsidRPr="00000000">
        <w:rPr>
          <w:b w:val="1"/>
          <w:color w:val="c00000"/>
          <w:sz w:val="36"/>
          <w:szCs w:val="36"/>
          <w:rtl w:val="0"/>
        </w:rPr>
        <w:t xml:space="preserve">Part B: Public Comment Proceeding Details</w:t>
        <w:br w:type="textWrapping"/>
      </w:r>
      <w:r w:rsidDel="00000000" w:rsidR="00000000" w:rsidRPr="00000000">
        <w:rPr>
          <w:rtl w:val="0"/>
        </w:rPr>
      </w:r>
    </w:p>
    <w:p w:rsidR="00000000" w:rsidDel="00000000" w:rsidP="00000000" w:rsidRDefault="00000000" w:rsidRPr="00000000" w14:paraId="00000025">
      <w:pPr>
        <w:pBdr>
          <w:top w:color="000000" w:space="1" w:sz="4" w:val="single"/>
          <w:left w:color="000000" w:space="4" w:sz="4" w:val="single"/>
          <w:bottom w:color="000000" w:space="1" w:sz="4" w:val="single"/>
          <w:right w:color="000000" w:space="4" w:sz="4" w:val="single"/>
        </w:pBdr>
        <w:spacing w:line="240" w:lineRule="auto"/>
        <w:rPr>
          <w:sz w:val="24"/>
          <w:szCs w:val="24"/>
        </w:rPr>
      </w:pPr>
      <w:r w:rsidDel="00000000" w:rsidR="00000000" w:rsidRPr="00000000">
        <w:rPr>
          <w:b w:val="1"/>
          <w:sz w:val="24"/>
          <w:szCs w:val="24"/>
          <w:rtl w:val="0"/>
        </w:rPr>
        <w:t xml:space="preserve">Note</w:t>
      </w:r>
      <w:r w:rsidDel="00000000" w:rsidR="00000000" w:rsidRPr="00000000">
        <w:rPr>
          <w:sz w:val="24"/>
          <w:szCs w:val="24"/>
          <w:rtl w:val="0"/>
        </w:rPr>
        <w:t xml:space="preserve">: This information will appear on the landing page of the proceeding, accessible from </w:t>
      </w:r>
      <w:hyperlink r:id="rId7">
        <w:r w:rsidDel="00000000" w:rsidR="00000000" w:rsidRPr="00000000">
          <w:rPr>
            <w:color w:val="0000ff"/>
            <w:sz w:val="24"/>
            <w:szCs w:val="24"/>
            <w:u w:val="single"/>
            <w:rtl w:val="0"/>
          </w:rPr>
          <w:t xml:space="preserve">https://www.icann.org/public-comments</w:t>
        </w:r>
      </w:hyperlink>
      <w:r w:rsidDel="00000000" w:rsidR="00000000" w:rsidRPr="00000000">
        <w:rPr>
          <w:sz w:val="24"/>
          <w:szCs w:val="24"/>
          <w:rtl w:val="0"/>
        </w:rPr>
        <w:t xml:space="preserve">.</w:t>
      </w:r>
    </w:p>
    <w:p w:rsidR="00000000" w:rsidDel="00000000" w:rsidP="00000000" w:rsidRDefault="00000000" w:rsidRPr="00000000" w14:paraId="00000026">
      <w:pPr>
        <w:spacing w:line="240" w:lineRule="auto"/>
        <w:rPr>
          <w:sz w:val="24"/>
          <w:szCs w:val="24"/>
        </w:rPr>
      </w:pPr>
      <w:r w:rsidDel="00000000" w:rsidR="00000000" w:rsidRPr="00000000">
        <w:rPr>
          <w:rtl w:val="0"/>
        </w:rPr>
      </w:r>
    </w:p>
    <w:tbl>
      <w:tblPr>
        <w:tblStyle w:val="Table2"/>
        <w:tblW w:w="1092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60"/>
        <w:gridCol w:w="1120"/>
        <w:gridCol w:w="2760"/>
        <w:gridCol w:w="220"/>
        <w:gridCol w:w="1340"/>
        <w:gridCol w:w="4100"/>
        <w:gridCol w:w="20"/>
        <w:tblGridChange w:id="0">
          <w:tblGrid>
            <w:gridCol w:w="1360"/>
            <w:gridCol w:w="1120"/>
            <w:gridCol w:w="2760"/>
            <w:gridCol w:w="220"/>
            <w:gridCol w:w="1340"/>
            <w:gridCol w:w="4100"/>
            <w:gridCol w:w="20"/>
          </w:tblGrid>
        </w:tblGridChange>
      </w:tblGrid>
      <w:tr>
        <w:trPr>
          <w:trHeight w:val="720" w:hRule="atLeast"/>
        </w:trPr>
        <w:tc>
          <w:tcPr>
            <w:gridSpan w:val="7"/>
            <w:shd w:fill="17365d" w:val="clear"/>
            <w:vAlign w:val="center"/>
          </w:tcPr>
          <w:p w:rsidR="00000000" w:rsidDel="00000000" w:rsidP="00000000" w:rsidRDefault="00000000" w:rsidRPr="00000000" w14:paraId="00000027">
            <w:pPr>
              <w:spacing w:line="240" w:lineRule="auto"/>
              <w:rPr>
                <w:b w:val="1"/>
                <w:sz w:val="32"/>
                <w:szCs w:val="32"/>
              </w:rPr>
            </w:pPr>
            <w:r w:rsidDel="00000000" w:rsidR="00000000" w:rsidRPr="00000000">
              <w:rPr>
                <w:b w:val="1"/>
                <w:color w:val="ffffff"/>
                <w:sz w:val="32"/>
                <w:szCs w:val="32"/>
                <w:rtl w:val="0"/>
              </w:rPr>
              <w:t xml:space="preserve">Proposed Changes to the Protection of IGO &amp; INGO Identifiers in All gTLDs Policy</w:t>
            </w:r>
            <w:r w:rsidDel="00000000" w:rsidR="00000000" w:rsidRPr="00000000">
              <w:rPr>
                <w:rtl w:val="0"/>
              </w:rPr>
            </w:r>
          </w:p>
        </w:tc>
      </w:tr>
      <w:tr>
        <w:trPr>
          <w:trHeight w:val="2320" w:hRule="atLeast"/>
        </w:trPr>
        <w:tc>
          <w:tcPr>
            <w:gridSpan w:val="4"/>
            <w:tcBorders>
              <w:bottom w:color="000000" w:space="0" w:sz="4" w:val="single"/>
            </w:tcBorders>
            <w:shd w:fill="auto" w:val="clear"/>
            <w:vAlign w:val="center"/>
          </w:tcPr>
          <w:p w:rsidR="00000000" w:rsidDel="00000000" w:rsidP="00000000" w:rsidRDefault="00000000" w:rsidRPr="00000000" w14:paraId="0000002E">
            <w:pPr>
              <w:widowControl w:val="0"/>
              <w:rPr>
                <w:b w:val="1"/>
                <w:sz w:val="32"/>
                <w:szCs w:val="32"/>
              </w:rPr>
            </w:pPr>
            <w:r w:rsidDel="00000000" w:rsidR="00000000" w:rsidRPr="00000000">
              <w:rPr>
                <w:rtl w:val="0"/>
              </w:rPr>
            </w:r>
          </w:p>
          <w:tbl>
            <w:tblPr>
              <w:tblStyle w:val="Table3"/>
              <w:tblW w:w="6120.0" w:type="dxa"/>
              <w:jc w:val="left"/>
              <w:tblInd w:w="8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40"/>
              <w:gridCol w:w="3780"/>
              <w:tblGridChange w:id="0">
                <w:tblGrid>
                  <w:gridCol w:w="2340"/>
                  <w:gridCol w:w="3780"/>
                </w:tblGrid>
              </w:tblGridChange>
            </w:tblGrid>
            <w:tr>
              <w:trPr>
                <w:trHeight w:val="360" w:hRule="atLeast"/>
              </w:trPr>
              <w:tc>
                <w:tcPr>
                  <w:gridSpan w:val="2"/>
                  <w:shd w:fill="f2f2f2" w:val="clear"/>
                </w:tcPr>
                <w:p w:rsidR="00000000" w:rsidDel="00000000" w:rsidP="00000000" w:rsidRDefault="00000000" w:rsidRPr="00000000" w14:paraId="0000002F">
                  <w:pPr>
                    <w:spacing w:line="240" w:lineRule="auto"/>
                    <w:ind w:right="162"/>
                    <w:rPr>
                      <w:b w:val="1"/>
                      <w:color w:val="c00000"/>
                      <w:sz w:val="28"/>
                      <w:szCs w:val="28"/>
                    </w:rPr>
                  </w:pPr>
                  <w:r w:rsidDel="00000000" w:rsidR="00000000" w:rsidRPr="00000000">
                    <w:rPr>
                      <w:b w:val="1"/>
                      <w:color w:val="c00000"/>
                      <w:sz w:val="28"/>
                      <w:szCs w:val="28"/>
                      <w:rtl w:val="0"/>
                    </w:rPr>
                    <w:t xml:space="preserve">PUBLIC COMMENT PROCEEDING</w:t>
                  </w:r>
                </w:p>
              </w:tc>
            </w:tr>
            <w:tr>
              <w:trPr>
                <w:trHeight w:val="280" w:hRule="atLeast"/>
              </w:trPr>
              <w:tc>
                <w:tcPr>
                  <w:tcBorders>
                    <w:bottom w:color="000000" w:space="0" w:sz="4" w:val="single"/>
                  </w:tcBorders>
                  <w:shd w:fill="f2f2f2" w:val="clear"/>
                </w:tcPr>
                <w:p w:rsidR="00000000" w:rsidDel="00000000" w:rsidP="00000000" w:rsidRDefault="00000000" w:rsidRPr="00000000" w14:paraId="00000031">
                  <w:pPr>
                    <w:spacing w:line="240" w:lineRule="auto"/>
                    <w:rPr>
                      <w:sz w:val="24"/>
                      <w:szCs w:val="24"/>
                    </w:rPr>
                  </w:pPr>
                  <w:r w:rsidDel="00000000" w:rsidR="00000000" w:rsidRPr="00000000">
                    <w:rPr>
                      <w:sz w:val="24"/>
                      <w:szCs w:val="24"/>
                      <w:rtl w:val="0"/>
                    </w:rPr>
                    <w:t xml:space="preserve">Open Date:</w:t>
                  </w:r>
                </w:p>
              </w:tc>
              <w:tc>
                <w:tcPr>
                  <w:tcBorders>
                    <w:bottom w:color="000000" w:space="0" w:sz="4" w:val="single"/>
                  </w:tcBorders>
                  <w:shd w:fill="auto" w:val="clear"/>
                </w:tcPr>
                <w:p w:rsidR="00000000" w:rsidDel="00000000" w:rsidP="00000000" w:rsidRDefault="00000000" w:rsidRPr="00000000" w14:paraId="00000032">
                  <w:pPr>
                    <w:spacing w:line="240" w:lineRule="auto"/>
                    <w:jc w:val="center"/>
                    <w:rPr>
                      <w:sz w:val="24"/>
                      <w:szCs w:val="24"/>
                    </w:rPr>
                  </w:pPr>
                  <w:r w:rsidDel="00000000" w:rsidR="00000000" w:rsidRPr="00000000">
                    <w:rPr>
                      <w:sz w:val="24"/>
                      <w:szCs w:val="24"/>
                      <w:rtl w:val="0"/>
                    </w:rPr>
                    <w:t xml:space="preserve">18 September  2019</w:t>
                  </w:r>
                </w:p>
              </w:tc>
            </w:tr>
            <w:tr>
              <w:trPr>
                <w:trHeight w:val="280" w:hRule="atLeast"/>
              </w:trPr>
              <w:tc>
                <w:tcPr>
                  <w:shd w:fill="f2f2f2" w:val="clear"/>
                </w:tcPr>
                <w:p w:rsidR="00000000" w:rsidDel="00000000" w:rsidP="00000000" w:rsidRDefault="00000000" w:rsidRPr="00000000" w14:paraId="00000033">
                  <w:pPr>
                    <w:spacing w:line="240" w:lineRule="auto"/>
                    <w:rPr>
                      <w:sz w:val="24"/>
                      <w:szCs w:val="24"/>
                    </w:rPr>
                  </w:pPr>
                  <w:r w:rsidDel="00000000" w:rsidR="00000000" w:rsidRPr="00000000">
                    <w:rPr>
                      <w:sz w:val="24"/>
                      <w:szCs w:val="24"/>
                      <w:rtl w:val="0"/>
                    </w:rPr>
                    <w:t xml:space="preserve">Close Date:</w:t>
                  </w:r>
                </w:p>
              </w:tc>
              <w:tc>
                <w:tcPr>
                  <w:shd w:fill="auto" w:val="clear"/>
                </w:tcPr>
                <w:p w:rsidR="00000000" w:rsidDel="00000000" w:rsidP="00000000" w:rsidRDefault="00000000" w:rsidRPr="00000000" w14:paraId="00000034">
                  <w:pPr>
                    <w:spacing w:line="240" w:lineRule="auto"/>
                    <w:jc w:val="center"/>
                    <w:rPr>
                      <w:sz w:val="24"/>
                      <w:szCs w:val="24"/>
                    </w:rPr>
                  </w:pPr>
                  <w:r w:rsidDel="00000000" w:rsidR="00000000" w:rsidRPr="00000000">
                    <w:rPr>
                      <w:sz w:val="24"/>
                      <w:szCs w:val="24"/>
                      <w:rtl w:val="0"/>
                    </w:rPr>
                    <w:t xml:space="preserve">28 October  2019</w:t>
                  </w:r>
                </w:p>
              </w:tc>
            </w:tr>
            <w:tr>
              <w:trPr>
                <w:trHeight w:val="620" w:hRule="atLeast"/>
              </w:trPr>
              <w:tc>
                <w:tcPr>
                  <w:shd w:fill="f2f2f2" w:val="clear"/>
                </w:tcPr>
                <w:p w:rsidR="00000000" w:rsidDel="00000000" w:rsidP="00000000" w:rsidRDefault="00000000" w:rsidRPr="00000000" w14:paraId="00000035">
                  <w:pPr>
                    <w:spacing w:line="240" w:lineRule="auto"/>
                    <w:rPr>
                      <w:sz w:val="24"/>
                      <w:szCs w:val="24"/>
                    </w:rPr>
                  </w:pPr>
                  <w:r w:rsidDel="00000000" w:rsidR="00000000" w:rsidRPr="00000000">
                    <w:rPr>
                      <w:sz w:val="24"/>
                      <w:szCs w:val="24"/>
                      <w:rtl w:val="0"/>
                    </w:rPr>
                    <w:t xml:space="preserve">Summary Report </w:t>
                    <w:br w:type="textWrapping"/>
                    <w:t xml:space="preserve">Due Date:</w:t>
                  </w:r>
                </w:p>
              </w:tc>
              <w:tc>
                <w:tcPr>
                  <w:shd w:fill="auto" w:val="clear"/>
                </w:tcPr>
                <w:p w:rsidR="00000000" w:rsidDel="00000000" w:rsidP="00000000" w:rsidRDefault="00000000" w:rsidRPr="00000000" w14:paraId="00000036">
                  <w:pPr>
                    <w:spacing w:line="240" w:lineRule="auto"/>
                    <w:jc w:val="center"/>
                    <w:rPr>
                      <w:sz w:val="24"/>
                      <w:szCs w:val="24"/>
                    </w:rPr>
                  </w:pPr>
                  <w:r w:rsidDel="00000000" w:rsidR="00000000" w:rsidRPr="00000000">
                    <w:rPr>
                      <w:sz w:val="24"/>
                      <w:szCs w:val="24"/>
                      <w:rtl w:val="0"/>
                    </w:rPr>
                    <w:t xml:space="preserve">15 November  2019</w:t>
                  </w:r>
                </w:p>
              </w:tc>
            </w:tr>
          </w:tbl>
          <w:p w:rsidR="00000000" w:rsidDel="00000000" w:rsidP="00000000" w:rsidRDefault="00000000" w:rsidRPr="00000000" w14:paraId="00000037">
            <w:pPr>
              <w:spacing w:after="200" w:line="276" w:lineRule="auto"/>
              <w:rPr>
                <w:sz w:val="24"/>
                <w:szCs w:val="24"/>
              </w:rPr>
            </w:pPr>
            <w:r w:rsidDel="00000000" w:rsidR="00000000" w:rsidRPr="00000000">
              <w:rPr>
                <w:rtl w:val="0"/>
              </w:rPr>
            </w:r>
          </w:p>
        </w:tc>
        <w:tc>
          <w:tcPr>
            <w:gridSpan w:val="2"/>
            <w:tcBorders>
              <w:bottom w:color="000000" w:space="0" w:sz="4" w:val="single"/>
            </w:tcBorders>
            <w:shd w:fill="auto" w:val="clear"/>
            <w:vAlign w:val="center"/>
          </w:tcPr>
          <w:p w:rsidR="00000000" w:rsidDel="00000000" w:rsidP="00000000" w:rsidRDefault="00000000" w:rsidRPr="00000000" w14:paraId="0000003B">
            <w:pPr>
              <w:widowControl w:val="0"/>
              <w:rPr>
                <w:sz w:val="24"/>
                <w:szCs w:val="24"/>
              </w:rPr>
            </w:pPr>
            <w:r w:rsidDel="00000000" w:rsidR="00000000" w:rsidRPr="00000000">
              <w:rPr>
                <w:rtl w:val="0"/>
              </w:rPr>
            </w:r>
          </w:p>
          <w:tbl>
            <w:tblPr>
              <w:tblStyle w:val="Table4"/>
              <w:tblW w:w="601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015"/>
              <w:tblGridChange w:id="0">
                <w:tblGrid>
                  <w:gridCol w:w="6015"/>
                </w:tblGrid>
              </w:tblGridChange>
            </w:tblGrid>
            <w:tr>
              <w:trPr>
                <w:trHeight w:val="420" w:hRule="atLeast"/>
              </w:trPr>
              <w:tc>
                <w:tcPr>
                  <w:shd w:fill="f2f2f2" w:val="clear"/>
                </w:tcPr>
                <w:p w:rsidR="00000000" w:rsidDel="00000000" w:rsidP="00000000" w:rsidRDefault="00000000" w:rsidRPr="00000000" w14:paraId="0000003C">
                  <w:pPr>
                    <w:spacing w:line="240" w:lineRule="auto"/>
                    <w:ind w:left="181"/>
                    <w:jc w:val="center"/>
                    <w:rPr>
                      <w:b w:val="1"/>
                      <w:color w:val="c00000"/>
                      <w:sz w:val="28"/>
                      <w:szCs w:val="28"/>
                    </w:rPr>
                  </w:pPr>
                  <w:r w:rsidDel="00000000" w:rsidR="00000000" w:rsidRPr="00000000">
                    <w:rPr>
                      <w:b w:val="1"/>
                      <w:color w:val="c00000"/>
                      <w:sz w:val="28"/>
                      <w:szCs w:val="28"/>
                      <w:rtl w:val="0"/>
                    </w:rPr>
                    <w:t xml:space="preserve">IMPORTANT INFORMATION LINKS</w:t>
                  </w:r>
                </w:p>
              </w:tc>
            </w:tr>
            <w:tr>
              <w:trPr>
                <w:trHeight w:val="1380" w:hRule="atLeast"/>
              </w:trPr>
              <w:tc>
                <w:tcPr>
                  <w:shd w:fill="auto" w:val="clear"/>
                </w:tcPr>
                <w:p w:rsidR="00000000" w:rsidDel="00000000" w:rsidP="00000000" w:rsidRDefault="00000000" w:rsidRPr="00000000" w14:paraId="0000003D">
                  <w:pPr>
                    <w:spacing w:line="240" w:lineRule="auto"/>
                    <w:ind w:left="181"/>
                    <w:rPr>
                      <w:sz w:val="24"/>
                      <w:szCs w:val="24"/>
                    </w:rPr>
                  </w:pPr>
                  <w:r w:rsidDel="00000000" w:rsidR="00000000" w:rsidRPr="00000000">
                    <w:rPr>
                      <w:rtl w:val="0"/>
                    </w:rPr>
                  </w:r>
                </w:p>
                <w:p w:rsidR="00000000" w:rsidDel="00000000" w:rsidP="00000000" w:rsidRDefault="00000000" w:rsidRPr="00000000" w14:paraId="0000003E">
                  <w:pPr>
                    <w:spacing w:line="240" w:lineRule="auto"/>
                    <w:ind w:left="181"/>
                    <w:rPr>
                      <w:sz w:val="24"/>
                      <w:szCs w:val="24"/>
                    </w:rPr>
                  </w:pPr>
                  <w:r w:rsidDel="00000000" w:rsidR="00000000" w:rsidRPr="00000000">
                    <w:rPr>
                      <w:sz w:val="24"/>
                      <w:szCs w:val="24"/>
                      <w:rtl w:val="0"/>
                    </w:rPr>
                    <w:t xml:space="preserve">[This section will be completed by the Web Content Operations Team]</w:t>
                  </w:r>
                </w:p>
              </w:tc>
            </w:tr>
          </w:tbl>
          <w:p w:rsidR="00000000" w:rsidDel="00000000" w:rsidP="00000000" w:rsidRDefault="00000000" w:rsidRPr="00000000" w14:paraId="0000003F">
            <w:pPr>
              <w:spacing w:after="200" w:line="276" w:lineRule="auto"/>
              <w:rPr>
                <w:sz w:val="24"/>
                <w:szCs w:val="24"/>
              </w:rPr>
            </w:pPr>
            <w:r w:rsidDel="00000000" w:rsidR="00000000" w:rsidRPr="00000000">
              <w:rPr>
                <w:rtl w:val="0"/>
              </w:rPr>
            </w:r>
          </w:p>
        </w:tc>
      </w:tr>
      <w:tr>
        <w:trPr>
          <w:trHeight w:val="360" w:hRule="atLeast"/>
        </w:trPr>
        <w:tc>
          <w:tcPr>
            <w:gridSpan w:val="7"/>
            <w:shd w:fill="f2f2f2" w:val="clear"/>
            <w:vAlign w:val="center"/>
          </w:tcPr>
          <w:p w:rsidR="00000000" w:rsidDel="00000000" w:rsidP="00000000" w:rsidRDefault="00000000" w:rsidRPr="00000000" w14:paraId="00000041">
            <w:pPr>
              <w:spacing w:after="200" w:line="276" w:lineRule="auto"/>
              <w:rPr>
                <w:b w:val="1"/>
                <w:color w:val="c00000"/>
                <w:sz w:val="28"/>
                <w:szCs w:val="28"/>
              </w:rPr>
            </w:pPr>
            <w:r w:rsidDel="00000000" w:rsidR="00000000" w:rsidRPr="00000000">
              <w:rPr>
                <w:b w:val="1"/>
                <w:color w:val="c00000"/>
                <w:sz w:val="28"/>
                <w:szCs w:val="28"/>
                <w:rtl w:val="0"/>
              </w:rPr>
              <w:t xml:space="preserve">BRIEF OVERVIEW</w:t>
            </w:r>
          </w:p>
        </w:tc>
      </w:tr>
      <w:tr>
        <w:trPr>
          <w:trHeight w:val="740" w:hRule="atLeast"/>
        </w:trPr>
        <w:tc>
          <w:tcPr>
            <w:gridSpan w:val="2"/>
            <w:shd w:fill="f2f2f2" w:val="clear"/>
            <w:vAlign w:val="center"/>
          </w:tcPr>
          <w:p w:rsidR="00000000" w:rsidDel="00000000" w:rsidP="00000000" w:rsidRDefault="00000000" w:rsidRPr="00000000" w14:paraId="00000048">
            <w:pPr>
              <w:spacing w:line="240" w:lineRule="auto"/>
              <w:rPr>
                <w:b w:val="1"/>
                <w:sz w:val="24"/>
                <w:szCs w:val="24"/>
              </w:rPr>
            </w:pPr>
            <w:r w:rsidDel="00000000" w:rsidR="00000000" w:rsidRPr="00000000">
              <w:rPr>
                <w:b w:val="1"/>
                <w:sz w:val="24"/>
                <w:szCs w:val="24"/>
                <w:rtl w:val="0"/>
              </w:rPr>
              <w:t xml:space="preserve">Originating Organization:</w:t>
            </w:r>
          </w:p>
        </w:tc>
        <w:tc>
          <w:tcPr>
            <w:gridSpan w:val="5"/>
            <w:shd w:fill="auto" w:val="clear"/>
            <w:vAlign w:val="center"/>
          </w:tcPr>
          <w:p w:rsidR="00000000" w:rsidDel="00000000" w:rsidP="00000000" w:rsidRDefault="00000000" w:rsidRPr="00000000" w14:paraId="0000004A">
            <w:pPr>
              <w:spacing w:after="200" w:line="276" w:lineRule="auto"/>
              <w:rPr>
                <w:sz w:val="24"/>
                <w:szCs w:val="24"/>
              </w:rPr>
            </w:pPr>
            <w:r w:rsidDel="00000000" w:rsidR="00000000" w:rsidRPr="00000000">
              <w:rPr>
                <w:sz w:val="24"/>
                <w:szCs w:val="24"/>
                <w:rtl w:val="0"/>
              </w:rPr>
              <w:t xml:space="preserve">Global Domains Division</w:t>
            </w:r>
          </w:p>
        </w:tc>
      </w:tr>
      <w:tr>
        <w:trPr>
          <w:trHeight w:val="360" w:hRule="atLeast"/>
        </w:trPr>
        <w:tc>
          <w:tcPr>
            <w:gridSpan w:val="2"/>
            <w:shd w:fill="f2f2f2" w:val="clear"/>
            <w:vAlign w:val="center"/>
          </w:tcPr>
          <w:p w:rsidR="00000000" w:rsidDel="00000000" w:rsidP="00000000" w:rsidRDefault="00000000" w:rsidRPr="00000000" w14:paraId="0000004F">
            <w:pPr>
              <w:spacing w:line="240" w:lineRule="auto"/>
              <w:rPr>
                <w:b w:val="1"/>
                <w:sz w:val="24"/>
                <w:szCs w:val="24"/>
              </w:rPr>
            </w:pPr>
            <w:r w:rsidDel="00000000" w:rsidR="00000000" w:rsidRPr="00000000">
              <w:rPr>
                <w:b w:val="1"/>
                <w:sz w:val="24"/>
                <w:szCs w:val="24"/>
                <w:rtl w:val="0"/>
              </w:rPr>
              <w:t xml:space="preserve">Categories/Tags:</w:t>
            </w:r>
          </w:p>
        </w:tc>
        <w:tc>
          <w:tcPr>
            <w:gridSpan w:val="5"/>
            <w:shd w:fill="auto" w:val="clear"/>
            <w:vAlign w:val="center"/>
          </w:tcPr>
          <w:p w:rsidR="00000000" w:rsidDel="00000000" w:rsidP="00000000" w:rsidRDefault="00000000" w:rsidRPr="00000000" w14:paraId="00000051">
            <w:pPr>
              <w:spacing w:line="240" w:lineRule="auto"/>
              <w:rPr>
                <w:sz w:val="24"/>
                <w:szCs w:val="24"/>
              </w:rPr>
            </w:pPr>
            <w:r w:rsidDel="00000000" w:rsidR="00000000" w:rsidRPr="00000000">
              <w:rPr>
                <w:sz w:val="24"/>
                <w:szCs w:val="24"/>
                <w:rtl w:val="0"/>
              </w:rPr>
              <w:t xml:space="preserve">Consensus Policy Implementation</w:t>
            </w:r>
          </w:p>
        </w:tc>
      </w:tr>
      <w:tr>
        <w:trPr>
          <w:trHeight w:val="360" w:hRule="atLeast"/>
        </w:trPr>
        <w:tc>
          <w:tcPr>
            <w:gridSpan w:val="2"/>
            <w:shd w:fill="f2f2f2" w:val="clear"/>
            <w:vAlign w:val="center"/>
          </w:tcPr>
          <w:p w:rsidR="00000000" w:rsidDel="00000000" w:rsidP="00000000" w:rsidRDefault="00000000" w:rsidRPr="00000000" w14:paraId="00000056">
            <w:pPr>
              <w:spacing w:line="240" w:lineRule="auto"/>
              <w:rPr>
                <w:b w:val="1"/>
                <w:sz w:val="24"/>
                <w:szCs w:val="24"/>
              </w:rPr>
            </w:pPr>
            <w:r w:rsidDel="00000000" w:rsidR="00000000" w:rsidRPr="00000000">
              <w:rPr>
                <w:b w:val="1"/>
                <w:sz w:val="24"/>
                <w:szCs w:val="24"/>
                <w:rtl w:val="0"/>
              </w:rPr>
              <w:t xml:space="preserve">Brief Overview: </w:t>
            </w:r>
          </w:p>
        </w:tc>
        <w:tc>
          <w:tcPr>
            <w:gridSpan w:val="5"/>
            <w:shd w:fill="auto" w:val="clear"/>
            <w:vAlign w:val="center"/>
          </w:tcPr>
          <w:p w:rsidR="00000000" w:rsidDel="00000000" w:rsidP="00000000" w:rsidRDefault="00000000" w:rsidRPr="00000000" w14:paraId="00000058">
            <w:pPr>
              <w:spacing w:line="240" w:lineRule="auto"/>
              <w:rPr>
                <w:sz w:val="24"/>
                <w:szCs w:val="24"/>
              </w:rPr>
            </w:pPr>
            <w:r w:rsidDel="00000000" w:rsidR="00000000" w:rsidRPr="00000000">
              <w:rPr>
                <w:b w:val="1"/>
                <w:i w:val="1"/>
                <w:sz w:val="24"/>
                <w:szCs w:val="24"/>
                <w:rtl w:val="0"/>
              </w:rPr>
              <w:t xml:space="preserve">Purpose: </w:t>
            </w:r>
            <w:r w:rsidDel="00000000" w:rsidR="00000000" w:rsidRPr="00000000">
              <w:rPr>
                <w:sz w:val="24"/>
                <w:szCs w:val="24"/>
                <w:highlight w:val="white"/>
                <w:rtl w:val="0"/>
              </w:rPr>
              <w:t xml:space="preserve">This public comment forum is intended to gather community feedback on the proposed policy changes related to the 191 full names of the National Red Cross or Red Crescent Societies, the International Committee of the Red Cross, and the International Federation of Red Cross and Red Crescent Societies, which are to be placed into </w:t>
            </w:r>
            <w:hyperlink r:id="rId8">
              <w:r w:rsidDel="00000000" w:rsidR="00000000" w:rsidRPr="00000000">
                <w:rPr>
                  <w:color w:val="1155cc"/>
                  <w:sz w:val="24"/>
                  <w:szCs w:val="24"/>
                  <w:highlight w:val="white"/>
                  <w:u w:val="single"/>
                  <w:rtl w:val="0"/>
                </w:rPr>
                <w:t xml:space="preserve">Reserved Names</w:t>
              </w:r>
            </w:hyperlink>
            <w:r w:rsidDel="00000000" w:rsidR="00000000" w:rsidRPr="00000000">
              <w:rPr>
                <w:sz w:val="24"/>
                <w:szCs w:val="24"/>
                <w:highlight w:val="white"/>
                <w:rtl w:val="0"/>
              </w:rPr>
              <w:t xml:space="preserve"> List. Note that these recommendations relate to protection of full names at the second-level only and do not</w:t>
            </w:r>
            <w:r w:rsidDel="00000000" w:rsidR="00000000" w:rsidRPr="00000000">
              <w:rPr>
                <w:sz w:val="24"/>
                <w:szCs w:val="24"/>
                <w:rtl w:val="0"/>
              </w:rPr>
              <w:t xml:space="preserve"> </w:t>
            </w:r>
            <w:r w:rsidDel="00000000" w:rsidR="00000000" w:rsidRPr="00000000">
              <w:rPr>
                <w:sz w:val="24"/>
                <w:szCs w:val="24"/>
                <w:highlight w:val="white"/>
                <w:rtl w:val="0"/>
              </w:rPr>
              <w:t xml:space="preserve">extend to the issue of protecting the acronyms of the International Committee of the Red Cross or of the International Federation of Red Cross and Red Crescent Societies, which will remain reserved pending further deliberations. For cases where the relevant Red Cross or Red Crescent Organization wishes to apply for its protected string(s) at the second level, registration will be allowed by the existing exception procedure, which was created with the implementation of the Protection of IGO and INGO Identifiers in All gTLDs Policy consensus policy is available. This new consensus policy is intended to supplement the previously-adopted Protection of IGO and INGO Identifiers in All gTLDs Policy by which the specific terms Red Cross, Red Crescent, Red Lion &amp; Sun and Red Crystal were withheld from registration.</w:t>
            </w:r>
            <w:r w:rsidDel="00000000" w:rsidR="00000000" w:rsidRPr="00000000">
              <w:rPr>
                <w:rtl w:val="0"/>
              </w:rPr>
            </w:r>
          </w:p>
          <w:p w:rsidR="00000000" w:rsidDel="00000000" w:rsidP="00000000" w:rsidRDefault="00000000" w:rsidRPr="00000000" w14:paraId="00000059">
            <w:pPr>
              <w:spacing w:line="240" w:lineRule="auto"/>
              <w:rPr>
                <w:sz w:val="24"/>
                <w:szCs w:val="24"/>
              </w:rPr>
            </w:pPr>
            <w:r w:rsidDel="00000000" w:rsidR="00000000" w:rsidRPr="00000000">
              <w:rPr>
                <w:rtl w:val="0"/>
              </w:rPr>
            </w:r>
          </w:p>
          <w:p w:rsidR="00000000" w:rsidDel="00000000" w:rsidP="00000000" w:rsidRDefault="00000000" w:rsidRPr="00000000" w14:paraId="0000005A">
            <w:pPr>
              <w:spacing w:line="240" w:lineRule="auto"/>
              <w:rPr>
                <w:sz w:val="24"/>
                <w:szCs w:val="24"/>
              </w:rPr>
            </w:pPr>
            <w:r w:rsidDel="00000000" w:rsidR="00000000" w:rsidRPr="00000000">
              <w:rPr>
                <w:b w:val="1"/>
                <w:i w:val="1"/>
                <w:sz w:val="24"/>
                <w:szCs w:val="24"/>
                <w:rtl w:val="0"/>
              </w:rPr>
              <w:t xml:space="preserve">Current Status: </w:t>
            </w:r>
            <w:r w:rsidDel="00000000" w:rsidR="00000000" w:rsidRPr="00000000">
              <w:rPr>
                <w:sz w:val="24"/>
                <w:szCs w:val="24"/>
                <w:rtl w:val="0"/>
              </w:rPr>
              <w:t xml:space="preserve">ICANN</w:t>
            </w:r>
            <w:r w:rsidDel="00000000" w:rsidR="00000000" w:rsidRPr="00000000">
              <w:rPr>
                <w:sz w:val="24"/>
                <w:szCs w:val="24"/>
                <w:highlight w:val="white"/>
                <w:rtl w:val="0"/>
              </w:rPr>
              <w:t xml:space="preserve"> organization worked with the community-based Implementation Review Team (IRT</w:t>
            </w:r>
            <w:r w:rsidDel="00000000" w:rsidR="00000000" w:rsidRPr="00000000">
              <w:rPr>
                <w:sz w:val="24"/>
                <w:szCs w:val="24"/>
                <w:rtl w:val="0"/>
              </w:rPr>
              <w:t xml:space="preserve">) to produce the proposed changes to the</w:t>
            </w:r>
            <w:hyperlink r:id="rId9">
              <w:r w:rsidDel="00000000" w:rsidR="00000000" w:rsidRPr="00000000">
                <w:rPr>
                  <w:sz w:val="24"/>
                  <w:szCs w:val="24"/>
                  <w:rtl w:val="0"/>
                </w:rPr>
                <w:t xml:space="preserve"> </w:t>
              </w:r>
            </w:hyperlink>
            <w:hyperlink r:id="rId10">
              <w:r w:rsidDel="00000000" w:rsidR="00000000" w:rsidRPr="00000000">
                <w:rPr>
                  <w:color w:val="1155cc"/>
                  <w:sz w:val="24"/>
                  <w:szCs w:val="24"/>
                  <w:u w:val="single"/>
                  <w:rtl w:val="0"/>
                </w:rPr>
                <w:t xml:space="preserve">Protection of IGO and INGO Identifiers in All gTLDs Policy consensus policy</w:t>
              </w:r>
            </w:hyperlink>
            <w:r w:rsidDel="00000000" w:rsidR="00000000" w:rsidRPr="00000000">
              <w:rPr>
                <w:sz w:val="24"/>
                <w:szCs w:val="24"/>
                <w:rtl w:val="0"/>
              </w:rPr>
              <w:t xml:space="preserve">, which was published in January 2018, and to the existing</w:t>
            </w:r>
            <w:hyperlink r:id="rId11">
              <w:r w:rsidDel="00000000" w:rsidR="00000000" w:rsidRPr="00000000">
                <w:rPr>
                  <w:sz w:val="24"/>
                  <w:szCs w:val="24"/>
                  <w:rtl w:val="0"/>
                </w:rPr>
                <w:t xml:space="preserve"> </w:t>
              </w:r>
            </w:hyperlink>
            <w:hyperlink r:id="rId12">
              <w:r w:rsidDel="00000000" w:rsidR="00000000" w:rsidRPr="00000000">
                <w:rPr>
                  <w:color w:val="1155cc"/>
                  <w:sz w:val="24"/>
                  <w:szCs w:val="24"/>
                  <w:u w:val="single"/>
                  <w:rtl w:val="0"/>
                </w:rPr>
                <w:t xml:space="preserve">list</w:t>
              </w:r>
            </w:hyperlink>
            <w:r w:rsidDel="00000000" w:rsidR="00000000" w:rsidRPr="00000000">
              <w:rPr>
                <w:sz w:val="24"/>
                <w:szCs w:val="24"/>
                <w:rtl w:val="0"/>
              </w:rPr>
              <w:t xml:space="preserve"> of IOC, Red Cross, and IGO reserved names for new gTLDs.</w:t>
            </w:r>
          </w:p>
          <w:p w:rsidR="00000000" w:rsidDel="00000000" w:rsidP="00000000" w:rsidRDefault="00000000" w:rsidRPr="00000000" w14:paraId="0000005B">
            <w:pPr>
              <w:spacing w:line="240" w:lineRule="auto"/>
              <w:rPr>
                <w:sz w:val="24"/>
                <w:szCs w:val="24"/>
              </w:rPr>
            </w:pPr>
            <w:r w:rsidDel="00000000" w:rsidR="00000000" w:rsidRPr="00000000">
              <w:rPr>
                <w:rtl w:val="0"/>
              </w:rPr>
            </w:r>
          </w:p>
          <w:p w:rsidR="00000000" w:rsidDel="00000000" w:rsidP="00000000" w:rsidRDefault="00000000" w:rsidRPr="00000000" w14:paraId="0000005C">
            <w:pPr>
              <w:spacing w:line="240" w:lineRule="auto"/>
              <w:rPr>
                <w:sz w:val="24"/>
                <w:szCs w:val="24"/>
              </w:rPr>
            </w:pPr>
            <w:r w:rsidDel="00000000" w:rsidR="00000000" w:rsidRPr="00000000">
              <w:rPr>
                <w:b w:val="1"/>
                <w:i w:val="1"/>
                <w:sz w:val="24"/>
                <w:szCs w:val="24"/>
                <w:rtl w:val="0"/>
              </w:rPr>
              <w:t xml:space="preserve">Next Steps: </w:t>
            </w:r>
            <w:r w:rsidDel="00000000" w:rsidR="00000000" w:rsidRPr="00000000">
              <w:rPr>
                <w:sz w:val="24"/>
                <w:szCs w:val="24"/>
                <w:rtl w:val="0"/>
              </w:rPr>
              <w:t xml:space="preserve">ICANN organization will prepare a public comment summary report at the conclusion of the comment period. ICANN organization and the IRT will consider those comments in preparation of the implementation of the updated</w:t>
            </w:r>
            <w:hyperlink r:id="rId13">
              <w:r w:rsidDel="00000000" w:rsidR="00000000" w:rsidRPr="00000000">
                <w:rPr>
                  <w:color w:val="333333"/>
                  <w:sz w:val="24"/>
                  <w:szCs w:val="24"/>
                  <w:highlight w:val="white"/>
                  <w:rtl w:val="0"/>
                </w:rPr>
                <w:t xml:space="preserve"> </w:t>
              </w:r>
            </w:hyperlink>
            <w:hyperlink r:id="rId14">
              <w:r w:rsidDel="00000000" w:rsidR="00000000" w:rsidRPr="00000000">
                <w:rPr>
                  <w:color w:val="1155cc"/>
                  <w:sz w:val="24"/>
                  <w:szCs w:val="24"/>
                  <w:highlight w:val="white"/>
                  <w:u w:val="single"/>
                  <w:rtl w:val="0"/>
                </w:rPr>
                <w:t xml:space="preserve">Protection of IGO and INGO Identifiers in All gTLDs Policy consensus policy</w:t>
              </w:r>
            </w:hyperlink>
            <w:r w:rsidDel="00000000" w:rsidR="00000000" w:rsidRPr="00000000">
              <w:rPr>
                <w:color w:val="333333"/>
                <w:sz w:val="24"/>
                <w:szCs w:val="24"/>
                <w:highlight w:val="white"/>
                <w:rtl w:val="0"/>
              </w:rPr>
              <w:t xml:space="preserve"> </w:t>
            </w:r>
            <w:r w:rsidDel="00000000" w:rsidR="00000000" w:rsidRPr="00000000">
              <w:rPr>
                <w:sz w:val="24"/>
                <w:szCs w:val="24"/>
                <w:highlight w:val="white"/>
                <w:rtl w:val="0"/>
              </w:rPr>
              <w:t xml:space="preserve">and the reservations protection for the additional the Red Cross and Red Crescent names.</w:t>
            </w:r>
            <w:r w:rsidDel="00000000" w:rsidR="00000000" w:rsidRPr="00000000">
              <w:rPr>
                <w:sz w:val="24"/>
                <w:szCs w:val="24"/>
                <w:rtl w:val="0"/>
              </w:rPr>
              <w:t xml:space="preserve"> After the implementation plan has been finalized, ICANN's Contracted Parties will be notified of the implementation/compliance deadlines.</w:t>
            </w:r>
          </w:p>
        </w:tc>
      </w:tr>
      <w:tr>
        <w:trPr>
          <w:trHeight w:val="360" w:hRule="atLeast"/>
        </w:trPr>
        <w:tc>
          <w:tcPr>
            <w:gridSpan w:val="7"/>
            <w:shd w:fill="f2f2f2" w:val="clear"/>
            <w:vAlign w:val="center"/>
          </w:tcPr>
          <w:p w:rsidR="00000000" w:rsidDel="00000000" w:rsidP="00000000" w:rsidRDefault="00000000" w:rsidRPr="00000000" w14:paraId="00000061">
            <w:pPr>
              <w:spacing w:line="240" w:lineRule="auto"/>
              <w:rPr>
                <w:b w:val="1"/>
                <w:color w:val="c00000"/>
                <w:sz w:val="28"/>
                <w:szCs w:val="28"/>
              </w:rPr>
            </w:pPr>
            <w:r w:rsidDel="00000000" w:rsidR="00000000" w:rsidRPr="00000000">
              <w:rPr>
                <w:b w:val="1"/>
                <w:color w:val="c00000"/>
                <w:sz w:val="28"/>
                <w:szCs w:val="28"/>
                <w:rtl w:val="0"/>
              </w:rPr>
              <w:t xml:space="preserve">DETAILED INFORMATION</w:t>
            </w:r>
          </w:p>
        </w:tc>
      </w:tr>
      <w:tr>
        <w:trPr>
          <w:trHeight w:val="360" w:hRule="atLeast"/>
        </w:trPr>
        <w:tc>
          <w:tcPr>
            <w:gridSpan w:val="7"/>
            <w:shd w:fill="f2f2f2" w:val="clear"/>
            <w:vAlign w:val="center"/>
          </w:tcPr>
          <w:p w:rsidR="00000000" w:rsidDel="00000000" w:rsidP="00000000" w:rsidRDefault="00000000" w:rsidRPr="00000000" w14:paraId="00000068">
            <w:pPr>
              <w:spacing w:line="240" w:lineRule="auto"/>
              <w:rPr>
                <w:b w:val="1"/>
                <w:sz w:val="24"/>
                <w:szCs w:val="24"/>
              </w:rPr>
            </w:pPr>
            <w:r w:rsidDel="00000000" w:rsidR="00000000" w:rsidRPr="00000000">
              <w:rPr>
                <w:b w:val="1"/>
                <w:sz w:val="24"/>
                <w:szCs w:val="24"/>
                <w:rtl w:val="0"/>
              </w:rPr>
              <w:t xml:space="preserve">Section I: Description and Explanation</w:t>
            </w:r>
          </w:p>
        </w:tc>
      </w:tr>
      <w:tr>
        <w:trPr>
          <w:trHeight w:val="360" w:hRule="atLeast"/>
        </w:trPr>
        <w:tc>
          <w:tcPr>
            <w:gridSpan w:val="7"/>
            <w:shd w:fill="auto" w:val="clear"/>
            <w:vAlign w:val="center"/>
          </w:tcPr>
          <w:p w:rsidR="00000000" w:rsidDel="00000000" w:rsidP="00000000" w:rsidRDefault="00000000" w:rsidRPr="00000000" w14:paraId="0000006F">
            <w:pPr>
              <w:spacing w:line="240" w:lineRule="auto"/>
              <w:rPr>
                <w:sz w:val="24"/>
                <w:szCs w:val="24"/>
                <w:highlight w:val="white"/>
              </w:rPr>
            </w:pPr>
            <w:r w:rsidDel="00000000" w:rsidR="00000000" w:rsidRPr="00000000">
              <w:rPr>
                <w:color w:val="333333"/>
                <w:sz w:val="24"/>
                <w:szCs w:val="24"/>
                <w:highlight w:val="white"/>
                <w:rtl w:val="0"/>
              </w:rPr>
              <w:t xml:space="preserve">The</w:t>
            </w:r>
            <w:hyperlink r:id="rId15">
              <w:r w:rsidDel="00000000" w:rsidR="00000000" w:rsidRPr="00000000">
                <w:rPr>
                  <w:color w:val="333333"/>
                  <w:sz w:val="24"/>
                  <w:szCs w:val="24"/>
                  <w:highlight w:val="white"/>
                  <w:rtl w:val="0"/>
                </w:rPr>
                <w:t xml:space="preserve"> </w:t>
              </w:r>
            </w:hyperlink>
            <w:hyperlink r:id="rId16">
              <w:r w:rsidDel="00000000" w:rsidR="00000000" w:rsidRPr="00000000">
                <w:rPr>
                  <w:color w:val="1155cc"/>
                  <w:sz w:val="24"/>
                  <w:szCs w:val="24"/>
                  <w:highlight w:val="white"/>
                  <w:u w:val="single"/>
                  <w:rtl w:val="0"/>
                </w:rPr>
                <w:t xml:space="preserve">Protection of IGO and INGO Identifiers in All gTLDs Policy</w:t>
              </w:r>
            </w:hyperlink>
            <w:r w:rsidDel="00000000" w:rsidR="00000000" w:rsidRPr="00000000">
              <w:rPr>
                <w:color w:val="333333"/>
                <w:sz w:val="24"/>
                <w:szCs w:val="24"/>
                <w:highlight w:val="white"/>
                <w:rtl w:val="0"/>
              </w:rPr>
              <w:t xml:space="preserve"> published in January 2018, </w:t>
            </w:r>
            <w:r w:rsidDel="00000000" w:rsidR="00000000" w:rsidRPr="00000000">
              <w:rPr>
                <w:sz w:val="24"/>
                <w:szCs w:val="24"/>
                <w:highlight w:val="white"/>
                <w:rtl w:val="0"/>
              </w:rPr>
              <w:t xml:space="preserve">requires generic Top Level Domain (gTLD) operators to implement certain protections for International Governmental Organizations (IGOs) and International Non-Governmental Organizations (INGOs), including reserving the names from registration by third parties. The updated consensus policy being posted for public comment is intended to supplement the previously-adopted</w:t>
            </w:r>
            <w:hyperlink r:id="rId17">
              <w:r w:rsidDel="00000000" w:rsidR="00000000" w:rsidRPr="00000000">
                <w:rPr>
                  <w:sz w:val="24"/>
                  <w:szCs w:val="24"/>
                  <w:highlight w:val="white"/>
                  <w:rtl w:val="0"/>
                </w:rPr>
                <w:t xml:space="preserve"> </w:t>
              </w:r>
            </w:hyperlink>
            <w:hyperlink r:id="rId18">
              <w:r w:rsidDel="00000000" w:rsidR="00000000" w:rsidRPr="00000000">
                <w:rPr>
                  <w:color w:val="1155cc"/>
                  <w:sz w:val="24"/>
                  <w:szCs w:val="24"/>
                  <w:highlight w:val="white"/>
                  <w:u w:val="single"/>
                  <w:rtl w:val="0"/>
                </w:rPr>
                <w:t xml:space="preserve">Protection of IGO and INGO Identifiers in All gTLDs Policy</w:t>
              </w:r>
            </w:hyperlink>
            <w:r w:rsidDel="00000000" w:rsidR="00000000" w:rsidRPr="00000000">
              <w:rPr>
                <w:sz w:val="24"/>
                <w:szCs w:val="24"/>
                <w:highlight w:val="white"/>
                <w:rtl w:val="0"/>
              </w:rPr>
              <w:t xml:space="preserve"> by which the specific terms Red Cross, Red Crescent, Red Lion &amp; Sun and Red Crystal were withheld from registration. The policy changes that are being proposed for implementation include:</w:t>
            </w:r>
          </w:p>
          <w:p w:rsidR="00000000" w:rsidDel="00000000" w:rsidP="00000000" w:rsidRDefault="00000000" w:rsidRPr="00000000" w14:paraId="00000070">
            <w:pPr>
              <w:spacing w:line="240" w:lineRule="auto"/>
              <w:ind w:left="720" w:firstLine="0"/>
              <w:rPr>
                <w:sz w:val="24"/>
                <w:szCs w:val="24"/>
                <w:highlight w:val="white"/>
              </w:rPr>
            </w:pPr>
            <w:r w:rsidDel="00000000" w:rsidR="00000000" w:rsidRPr="00000000">
              <w:rPr>
                <w:rtl w:val="0"/>
              </w:rPr>
            </w:r>
          </w:p>
          <w:p w:rsidR="00000000" w:rsidDel="00000000" w:rsidP="00000000" w:rsidRDefault="00000000" w:rsidRPr="00000000" w14:paraId="00000071">
            <w:pPr>
              <w:numPr>
                <w:ilvl w:val="0"/>
                <w:numId w:val="1"/>
              </w:numPr>
              <w:spacing w:line="240" w:lineRule="auto"/>
              <w:ind w:left="720" w:hanging="360"/>
              <w:rPr>
                <w:rFonts w:ascii="Calibri" w:cs="Calibri" w:eastAsia="Calibri" w:hAnsi="Calibri"/>
                <w:highlight w:val="white"/>
              </w:rPr>
            </w:pPr>
            <w:r w:rsidDel="00000000" w:rsidR="00000000" w:rsidRPr="00000000">
              <w:rPr>
                <w:sz w:val="24"/>
                <w:szCs w:val="24"/>
                <w:highlight w:val="white"/>
                <w:rtl w:val="0"/>
              </w:rPr>
              <w:t xml:space="preserve">A finite list of the full names of the 191 National Red Cross and Red Crescent Societies, the International Committee of the Red Cross and the International Federation of Red Cross and Red Crescent Societies are to be reserved at the second-level and added to the list that are protected by this new policy.</w:t>
            </w:r>
          </w:p>
          <w:p w:rsidR="00000000" w:rsidDel="00000000" w:rsidP="00000000" w:rsidRDefault="00000000" w:rsidRPr="00000000" w14:paraId="00000072">
            <w:pPr>
              <w:numPr>
                <w:ilvl w:val="0"/>
                <w:numId w:val="1"/>
              </w:numPr>
              <w:spacing w:line="240" w:lineRule="auto"/>
              <w:ind w:left="720" w:hanging="360"/>
              <w:rPr>
                <w:rFonts w:ascii="Calibri" w:cs="Calibri" w:eastAsia="Calibri" w:hAnsi="Calibri"/>
                <w:highlight w:val="white"/>
              </w:rPr>
            </w:pPr>
            <w:r w:rsidDel="00000000" w:rsidR="00000000" w:rsidRPr="00000000">
              <w:rPr>
                <w:sz w:val="24"/>
                <w:szCs w:val="24"/>
                <w:highlight w:val="white"/>
                <w:rtl w:val="0"/>
              </w:rPr>
              <w:t xml:space="preserve">The existing exception procedure will be made available for cases where the relevant Red Cross and Red Crescent Movement Organization wishes to register for its protected string(s) at the second level.</w:t>
            </w:r>
          </w:p>
          <w:p w:rsidR="00000000" w:rsidDel="00000000" w:rsidP="00000000" w:rsidRDefault="00000000" w:rsidRPr="00000000" w14:paraId="00000073">
            <w:pPr>
              <w:numPr>
                <w:ilvl w:val="0"/>
                <w:numId w:val="1"/>
              </w:numPr>
              <w:spacing w:line="240" w:lineRule="auto"/>
              <w:ind w:left="720" w:hanging="360"/>
              <w:rPr>
                <w:rFonts w:ascii="Calibri" w:cs="Calibri" w:eastAsia="Calibri" w:hAnsi="Calibri"/>
                <w:highlight w:val="white"/>
              </w:rPr>
            </w:pPr>
            <w:r w:rsidDel="00000000" w:rsidR="00000000" w:rsidRPr="00000000">
              <w:rPr>
                <w:sz w:val="24"/>
                <w:szCs w:val="24"/>
                <w:highlight w:val="white"/>
                <w:rtl w:val="0"/>
              </w:rPr>
              <w:t xml:space="preserve">Future error corrections, additions to and deletions of any entries in the list of reserved names and their agreed variants should be made only in accordance with certain criteria developed by the IGO-INGO Working Group.</w:t>
            </w:r>
          </w:p>
          <w:p w:rsidR="00000000" w:rsidDel="00000000" w:rsidP="00000000" w:rsidRDefault="00000000" w:rsidRPr="00000000" w14:paraId="00000074">
            <w:pPr>
              <w:numPr>
                <w:ilvl w:val="0"/>
                <w:numId w:val="1"/>
              </w:numPr>
              <w:spacing w:line="240" w:lineRule="auto"/>
              <w:ind w:left="720" w:hanging="360"/>
              <w:rPr>
                <w:rFonts w:ascii="Calibri" w:cs="Calibri" w:eastAsia="Calibri" w:hAnsi="Calibri"/>
                <w:highlight w:val="white"/>
              </w:rPr>
            </w:pPr>
            <w:r w:rsidDel="00000000" w:rsidR="00000000" w:rsidRPr="00000000">
              <w:rPr>
                <w:sz w:val="24"/>
                <w:szCs w:val="24"/>
                <w:highlight w:val="white"/>
                <w:rtl w:val="0"/>
              </w:rPr>
              <w:t xml:space="preserve">Any and all future changes to the finite list should be made only in accordance with the variant criteria as defined by the IGO-INGO Working Group.</w:t>
            </w:r>
          </w:p>
          <w:p w:rsidR="00000000" w:rsidDel="00000000" w:rsidP="00000000" w:rsidRDefault="00000000" w:rsidRPr="00000000" w14:paraId="00000075">
            <w:pPr>
              <w:spacing w:line="240" w:lineRule="auto"/>
              <w:rPr>
                <w:sz w:val="24"/>
                <w:szCs w:val="24"/>
                <w:highlight w:val="white"/>
              </w:rPr>
            </w:pPr>
            <w:r w:rsidDel="00000000" w:rsidR="00000000" w:rsidRPr="00000000">
              <w:rPr>
                <w:rtl w:val="0"/>
              </w:rPr>
            </w:r>
          </w:p>
          <w:p w:rsidR="00000000" w:rsidDel="00000000" w:rsidP="00000000" w:rsidRDefault="00000000" w:rsidRPr="00000000" w14:paraId="00000076">
            <w:pPr>
              <w:spacing w:line="240" w:lineRule="auto"/>
              <w:rPr>
                <w:color w:val="333333"/>
                <w:sz w:val="24"/>
                <w:szCs w:val="24"/>
                <w:highlight w:val="white"/>
              </w:rPr>
            </w:pPr>
            <w:r w:rsidDel="00000000" w:rsidR="00000000" w:rsidRPr="00000000">
              <w:rPr>
                <w:sz w:val="24"/>
                <w:szCs w:val="24"/>
                <w:highlight w:val="white"/>
                <w:rtl w:val="0"/>
              </w:rPr>
              <w:t xml:space="preserve">We also invite feedback on the following changes that are being proposed for clarity purposes which concern the titles and lists of the three categories of Red Cross and Red Crescent identifiers found on the IOC, Red Cross, and IGO reserved names for new gTLDs</w:t>
            </w:r>
            <w:hyperlink r:id="rId19">
              <w:r w:rsidDel="00000000" w:rsidR="00000000" w:rsidRPr="00000000">
                <w:rPr>
                  <w:sz w:val="24"/>
                  <w:szCs w:val="24"/>
                  <w:highlight w:val="white"/>
                  <w:rtl w:val="0"/>
                </w:rPr>
                <w:t xml:space="preserve"> </w:t>
              </w:r>
            </w:hyperlink>
            <w:hyperlink r:id="rId20">
              <w:r w:rsidDel="00000000" w:rsidR="00000000" w:rsidRPr="00000000">
                <w:rPr>
                  <w:color w:val="1155cc"/>
                  <w:sz w:val="24"/>
                  <w:szCs w:val="24"/>
                  <w:highlight w:val="white"/>
                  <w:u w:val="single"/>
                  <w:rtl w:val="0"/>
                </w:rPr>
                <w:t xml:space="preserve">page</w:t>
              </w:r>
            </w:hyperlink>
            <w:r w:rsidDel="00000000" w:rsidR="00000000" w:rsidRPr="00000000">
              <w:rPr>
                <w:color w:val="333333"/>
                <w:sz w:val="24"/>
                <w:szCs w:val="24"/>
                <w:highlight w:val="white"/>
                <w:rtl w:val="0"/>
              </w:rPr>
              <w:t xml:space="preserve">:</w:t>
            </w:r>
          </w:p>
          <w:p w:rsidR="00000000" w:rsidDel="00000000" w:rsidP="00000000" w:rsidRDefault="00000000" w:rsidRPr="00000000" w14:paraId="00000077">
            <w:pPr>
              <w:numPr>
                <w:ilvl w:val="0"/>
                <w:numId w:val="2"/>
              </w:numPr>
              <w:spacing w:after="0" w:afterAutospacing="0" w:line="240" w:lineRule="auto"/>
              <w:ind w:left="720" w:hanging="360"/>
              <w:rPr>
                <w:rFonts w:ascii="Calibri" w:cs="Calibri" w:eastAsia="Calibri" w:hAnsi="Calibri"/>
                <w:highlight w:val="white"/>
              </w:rPr>
            </w:pPr>
            <w:r w:rsidDel="00000000" w:rsidR="00000000" w:rsidRPr="00000000">
              <w:rPr>
                <w:sz w:val="24"/>
                <w:szCs w:val="24"/>
                <w:highlight w:val="white"/>
                <w:rtl w:val="0"/>
              </w:rPr>
              <w:t xml:space="preserve">Rename the “Specific Identifiers of Red Cross and Red Crescent Movement” list to “</w:t>
            </w:r>
            <w:r w:rsidDel="00000000" w:rsidR="00000000" w:rsidRPr="00000000">
              <w:rPr>
                <w:b w:val="1"/>
                <w:sz w:val="24"/>
                <w:szCs w:val="24"/>
                <w:highlight w:val="white"/>
                <w:rtl w:val="0"/>
              </w:rPr>
              <w:t xml:space="preserve">1. Red Cross: Specific Designations protected under the 1949 Geneva Conventions and their Additional Protocols</w:t>
            </w:r>
            <w:r w:rsidDel="00000000" w:rsidR="00000000" w:rsidRPr="00000000">
              <w:rPr>
                <w:sz w:val="24"/>
                <w:szCs w:val="24"/>
                <w:highlight w:val="white"/>
                <w:rtl w:val="0"/>
              </w:rPr>
              <w:t xml:space="preserve">” list (</w:t>
            </w:r>
            <w:r w:rsidDel="00000000" w:rsidR="00000000" w:rsidRPr="00000000">
              <w:rPr>
                <w:i w:val="1"/>
                <w:sz w:val="24"/>
                <w:szCs w:val="24"/>
                <w:highlight w:val="white"/>
                <w:rtl w:val="0"/>
              </w:rPr>
              <w:t xml:space="preserve">note that this is a title change only, not a change to the list</w:t>
            </w:r>
            <w:r w:rsidDel="00000000" w:rsidR="00000000" w:rsidRPr="00000000">
              <w:rPr>
                <w:sz w:val="24"/>
                <w:szCs w:val="24"/>
                <w:highlight w:val="white"/>
                <w:rtl w:val="0"/>
              </w:rPr>
              <w:t xml:space="preserve">).</w:t>
            </w:r>
          </w:p>
          <w:p w:rsidR="00000000" w:rsidDel="00000000" w:rsidP="00000000" w:rsidRDefault="00000000" w:rsidRPr="00000000" w14:paraId="00000078">
            <w:pPr>
              <w:numPr>
                <w:ilvl w:val="1"/>
                <w:numId w:val="2"/>
              </w:numPr>
              <w:spacing w:after="0" w:afterAutospacing="0" w:line="240" w:lineRule="auto"/>
              <w:ind w:left="1440" w:hanging="360"/>
              <w:rPr>
                <w:rFonts w:ascii="Calibri" w:cs="Calibri" w:eastAsia="Calibri" w:hAnsi="Calibri"/>
                <w:highlight w:val="white"/>
              </w:rPr>
            </w:pPr>
            <w:r w:rsidDel="00000000" w:rsidR="00000000" w:rsidRPr="00000000">
              <w:rPr>
                <w:sz w:val="24"/>
                <w:szCs w:val="24"/>
                <w:highlight w:val="white"/>
                <w:rtl w:val="0"/>
              </w:rPr>
              <w:t xml:space="preserve">This list includes the designations protected under the 1949 Geneva Conventions and their 3rd Additional Protocol in the 6 UN languages (“Red Cross”, “Red Crescent”, “Red Lion and Sun” and “Red Crystal”).</w:t>
              <w:br w:type="textWrapping"/>
            </w:r>
          </w:p>
          <w:p w:rsidR="00000000" w:rsidDel="00000000" w:rsidP="00000000" w:rsidRDefault="00000000" w:rsidRPr="00000000" w14:paraId="00000079">
            <w:pPr>
              <w:numPr>
                <w:ilvl w:val="0"/>
                <w:numId w:val="2"/>
              </w:numPr>
              <w:spacing w:after="0" w:afterAutospacing="0" w:line="240" w:lineRule="auto"/>
              <w:ind w:left="720" w:right="-30" w:hanging="360"/>
              <w:rPr>
                <w:rFonts w:ascii="Calibri" w:cs="Calibri" w:eastAsia="Calibri" w:hAnsi="Calibri"/>
                <w:highlight w:val="white"/>
              </w:rPr>
            </w:pPr>
            <w:r w:rsidDel="00000000" w:rsidR="00000000" w:rsidRPr="00000000">
              <w:rPr>
                <w:sz w:val="24"/>
                <w:szCs w:val="24"/>
                <w:highlight w:val="white"/>
                <w:rtl w:val="0"/>
              </w:rPr>
              <w:t xml:space="preserve">Dissolve the “International Red Cross and Red Crescent Movement - National Red Cross and Red Crescent Societies Names” list and create the “</w:t>
            </w:r>
            <w:r w:rsidDel="00000000" w:rsidR="00000000" w:rsidRPr="00000000">
              <w:rPr>
                <w:b w:val="1"/>
                <w:sz w:val="24"/>
                <w:szCs w:val="24"/>
                <w:highlight w:val="white"/>
                <w:rtl w:val="0"/>
              </w:rPr>
              <w:t xml:space="preserve">2. Red Cross: Acronyms</w:t>
            </w:r>
            <w:r w:rsidDel="00000000" w:rsidR="00000000" w:rsidRPr="00000000">
              <w:rPr>
                <w:sz w:val="24"/>
                <w:szCs w:val="24"/>
                <w:highlight w:val="white"/>
                <w:rtl w:val="0"/>
              </w:rPr>
              <w:t xml:space="preserve">” list.</w:t>
            </w:r>
          </w:p>
          <w:p w:rsidR="00000000" w:rsidDel="00000000" w:rsidP="00000000" w:rsidRDefault="00000000" w:rsidRPr="00000000" w14:paraId="0000007A">
            <w:pPr>
              <w:numPr>
                <w:ilvl w:val="1"/>
                <w:numId w:val="2"/>
              </w:numPr>
              <w:spacing w:after="0" w:afterAutospacing="0" w:line="240" w:lineRule="auto"/>
              <w:ind w:left="1440" w:hanging="360"/>
              <w:rPr>
                <w:rFonts w:ascii="Calibri" w:cs="Calibri" w:eastAsia="Calibri" w:hAnsi="Calibri"/>
                <w:highlight w:val="white"/>
              </w:rPr>
            </w:pPr>
            <w:r w:rsidDel="00000000" w:rsidR="00000000" w:rsidRPr="00000000">
              <w:rPr>
                <w:sz w:val="24"/>
                <w:szCs w:val="24"/>
                <w:highlight w:val="white"/>
                <w:rtl w:val="0"/>
              </w:rPr>
              <w:t xml:space="preserve">This list includes any acronym (ICRC, CICR, IFRC, FICR) relating to the Movement and IFRC Societies (MKKK, МФКК, SPR, FRK, CVTL, НОКПТ, TGÝMJ, TЧХУ, ОКПУ), which will remain temporarily reserved pending further deliberation.</w:t>
            </w:r>
          </w:p>
          <w:p w:rsidR="00000000" w:rsidDel="00000000" w:rsidP="00000000" w:rsidRDefault="00000000" w:rsidRPr="00000000" w14:paraId="0000007B">
            <w:pPr>
              <w:numPr>
                <w:ilvl w:val="1"/>
                <w:numId w:val="2"/>
              </w:numPr>
              <w:spacing w:after="0" w:afterAutospacing="0" w:line="240" w:lineRule="auto"/>
              <w:ind w:left="1440" w:hanging="360"/>
              <w:rPr>
                <w:rFonts w:ascii="Calibri" w:cs="Calibri" w:eastAsia="Calibri" w:hAnsi="Calibri"/>
                <w:highlight w:val="white"/>
              </w:rPr>
            </w:pPr>
            <w:r w:rsidDel="00000000" w:rsidR="00000000" w:rsidRPr="00000000">
              <w:rPr>
                <w:sz w:val="24"/>
                <w:szCs w:val="24"/>
                <w:highlight w:val="white"/>
                <w:rtl w:val="0"/>
              </w:rPr>
              <w:t xml:space="preserve">The</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first</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four</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identifiers</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Magen</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David</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Adom</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Red</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Star</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of</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David</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Lion</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et</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Soleil</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Rouges</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and</w:t>
            </w:r>
            <w:r w:rsidDel="00000000" w:rsidR="00000000" w:rsidRPr="00000000">
              <w:rPr>
                <w:sz w:val="24"/>
                <w:szCs w:val="24"/>
                <w:highlight w:val="white"/>
                <w:rtl w:val="0"/>
              </w:rPr>
              <w:t xml:space="preserve"> </w:t>
            </w:r>
            <w:r w:rsidDel="00000000" w:rsidR="00000000" w:rsidRPr="00000000">
              <w:rPr>
                <w:sz w:val="24"/>
                <w:szCs w:val="24"/>
                <w:highlight w:val="white"/>
                <w:rtl w:val="1"/>
              </w:rPr>
              <w:t xml:space="preserve">מגן</w:t>
            </w:r>
            <w:r w:rsidDel="00000000" w:rsidR="00000000" w:rsidRPr="00000000">
              <w:rPr>
                <w:sz w:val="24"/>
                <w:szCs w:val="24"/>
                <w:highlight w:val="white"/>
                <w:rtl w:val="1"/>
              </w:rPr>
              <w:t xml:space="preserve"> </w:t>
            </w:r>
            <w:r w:rsidDel="00000000" w:rsidR="00000000" w:rsidRPr="00000000">
              <w:rPr>
                <w:sz w:val="24"/>
                <w:szCs w:val="24"/>
                <w:highlight w:val="white"/>
                <w:rtl w:val="1"/>
              </w:rPr>
              <w:t xml:space="preserve">דוד</w:t>
            </w:r>
            <w:r w:rsidDel="00000000" w:rsidR="00000000" w:rsidRPr="00000000">
              <w:rPr>
                <w:sz w:val="24"/>
                <w:szCs w:val="24"/>
                <w:highlight w:val="white"/>
                <w:rtl w:val="1"/>
              </w:rPr>
              <w:t xml:space="preserve"> </w:t>
            </w:r>
            <w:r w:rsidDel="00000000" w:rsidR="00000000" w:rsidRPr="00000000">
              <w:rPr>
                <w:sz w:val="24"/>
                <w:szCs w:val="24"/>
                <w:highlight w:val="white"/>
                <w:rtl w:val="1"/>
              </w:rPr>
              <w:t xml:space="preserve">אדום</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have</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been</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included</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in</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the</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list</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below</w:t>
            </w:r>
            <w:r w:rsidDel="00000000" w:rsidR="00000000" w:rsidRPr="00000000">
              <w:rPr>
                <w:sz w:val="24"/>
                <w:szCs w:val="24"/>
                <w:highlight w:val="white"/>
                <w:rtl w:val="0"/>
              </w:rPr>
              <w:t xml:space="preserve">.</w:t>
              <w:br w:type="textWrapping"/>
            </w:r>
          </w:p>
          <w:p w:rsidR="00000000" w:rsidDel="00000000" w:rsidP="00000000" w:rsidRDefault="00000000" w:rsidRPr="00000000" w14:paraId="0000007C">
            <w:pPr>
              <w:numPr>
                <w:ilvl w:val="0"/>
                <w:numId w:val="2"/>
              </w:numPr>
              <w:spacing w:after="0" w:afterAutospacing="0" w:line="240" w:lineRule="auto"/>
              <w:ind w:left="720" w:hanging="360"/>
              <w:rPr>
                <w:rFonts w:ascii="Calibri" w:cs="Calibri" w:eastAsia="Calibri" w:hAnsi="Calibri"/>
                <w:highlight w:val="white"/>
              </w:rPr>
            </w:pPr>
            <w:r w:rsidDel="00000000" w:rsidR="00000000" w:rsidRPr="00000000">
              <w:rPr>
                <w:sz w:val="24"/>
                <w:szCs w:val="24"/>
                <w:highlight w:val="white"/>
                <w:rtl w:val="0"/>
              </w:rPr>
              <w:t xml:space="preserve">Rename “International Red Cross and Red Crescent Movement - International Committee of the Red Cross and the International Federation of the Red Cross and Red Crescent Societies Names” list to “</w:t>
            </w:r>
            <w:r w:rsidDel="00000000" w:rsidR="00000000" w:rsidRPr="00000000">
              <w:rPr>
                <w:b w:val="1"/>
                <w:sz w:val="24"/>
                <w:szCs w:val="24"/>
                <w:highlight w:val="white"/>
                <w:rtl w:val="0"/>
              </w:rPr>
              <w:t xml:space="preserve">3. Red Cross: The International Red Cross and Red Crescent Movement and its components</w:t>
            </w:r>
            <w:r w:rsidDel="00000000" w:rsidR="00000000" w:rsidRPr="00000000">
              <w:rPr>
                <w:sz w:val="24"/>
                <w:szCs w:val="24"/>
                <w:highlight w:val="white"/>
                <w:rtl w:val="0"/>
              </w:rPr>
              <w:t xml:space="preserve">”</w:t>
            </w:r>
            <w:r w:rsidDel="00000000" w:rsidR="00000000" w:rsidRPr="00000000">
              <w:rPr>
                <w:sz w:val="24"/>
                <w:szCs w:val="24"/>
                <w:highlight w:val="white"/>
                <w:rtl w:val="0"/>
              </w:rPr>
              <w:t xml:space="preserve"> list.</w:t>
            </w:r>
          </w:p>
          <w:p w:rsidR="00000000" w:rsidDel="00000000" w:rsidP="00000000" w:rsidRDefault="00000000" w:rsidRPr="00000000" w14:paraId="0000007D">
            <w:pPr>
              <w:numPr>
                <w:ilvl w:val="1"/>
                <w:numId w:val="2"/>
              </w:numPr>
              <w:spacing w:after="0" w:afterAutospacing="0" w:line="240" w:lineRule="auto"/>
              <w:ind w:left="1440" w:hanging="360"/>
              <w:rPr>
                <w:rFonts w:ascii="Calibri" w:cs="Calibri" w:eastAsia="Calibri" w:hAnsi="Calibri"/>
                <w:highlight w:val="white"/>
              </w:rPr>
            </w:pPr>
            <w:r w:rsidDel="00000000" w:rsidR="00000000" w:rsidRPr="00000000">
              <w:rPr>
                <w:sz w:val="24"/>
                <w:szCs w:val="24"/>
                <w:highlight w:val="white"/>
                <w:rtl w:val="0"/>
              </w:rPr>
              <w:t xml:space="preserve">This list includes the names of the International Red Cross and Red Crescent Movement and of its respective components including the exact match names of the International Red Cross and Red Crescent Movement, the International Committee of the Red Cross and the International Federation in the six United Nations languages and of the National Red Cross and Red Crescent Societies.</w:t>
            </w:r>
          </w:p>
          <w:p w:rsidR="00000000" w:rsidDel="00000000" w:rsidP="00000000" w:rsidRDefault="00000000" w:rsidRPr="00000000" w14:paraId="0000007E">
            <w:pPr>
              <w:numPr>
                <w:ilvl w:val="1"/>
                <w:numId w:val="2"/>
              </w:numPr>
              <w:spacing w:after="220" w:line="240" w:lineRule="auto"/>
              <w:ind w:left="1440" w:hanging="360"/>
              <w:rPr>
                <w:rFonts w:ascii="Calibri" w:cs="Calibri" w:eastAsia="Calibri" w:hAnsi="Calibri"/>
                <w:highlight w:val="white"/>
              </w:rPr>
            </w:pPr>
            <w:r w:rsidDel="00000000" w:rsidR="00000000" w:rsidRPr="00000000">
              <w:rPr>
                <w:sz w:val="24"/>
                <w:szCs w:val="24"/>
                <w:highlight w:val="white"/>
                <w:rtl w:val="0"/>
              </w:rPr>
              <w:t xml:space="preserve">After the Board resolution approving the implementation of the finite list of names from the PDP WG, the implementation team was informed that the official name of the “</w:t>
            </w:r>
            <w:r w:rsidDel="00000000" w:rsidR="00000000" w:rsidRPr="00000000">
              <w:rPr>
                <w:b w:val="1"/>
                <w:i w:val="1"/>
                <w:sz w:val="24"/>
                <w:szCs w:val="24"/>
                <w:highlight w:val="white"/>
                <w:rtl w:val="0"/>
              </w:rPr>
              <w:t xml:space="preserve">Baphalali Swaziland Red Cross Society</w:t>
            </w:r>
            <w:r w:rsidDel="00000000" w:rsidR="00000000" w:rsidRPr="00000000">
              <w:rPr>
                <w:sz w:val="24"/>
                <w:szCs w:val="24"/>
                <w:highlight w:val="white"/>
                <w:rtl w:val="0"/>
              </w:rPr>
              <w:t xml:space="preserve">” was changed to “</w:t>
            </w:r>
            <w:r w:rsidDel="00000000" w:rsidR="00000000" w:rsidRPr="00000000">
              <w:rPr>
                <w:b w:val="1"/>
                <w:i w:val="1"/>
                <w:sz w:val="24"/>
                <w:szCs w:val="24"/>
                <w:highlight w:val="white"/>
                <w:rtl w:val="0"/>
              </w:rPr>
              <w:t xml:space="preserve">Baphalali eSwatini Red Cross Society.” </w:t>
            </w:r>
            <w:r w:rsidDel="00000000" w:rsidR="00000000" w:rsidRPr="00000000">
              <w:rPr>
                <w:sz w:val="24"/>
                <w:szCs w:val="24"/>
                <w:highlight w:val="white"/>
                <w:rtl w:val="0"/>
              </w:rPr>
              <w:t xml:space="preserve">The Red Cross representative on the IRT brought forth a request to add the new names to the reserved list. The IRT reviewed the request and the supporting documentation and agreed to add the following 12 names: Red Cross of Baphalali Eswatini, The Red Cross of Baphalali Eswatini, Red Cross Society of Baphalali Eswatini, The Red Cross Society of Baphalali Eswatini, Eswatini Red Cross, The Eswatini Red Cross Eswatini, Red Cross Society, The Eswatini Red Cross Society, Red Cross Society of Eswatini, The Red Cross of Eswatini, Red Cross Society of Eswatini, The Red Cross Society of Eswatini. The IRT also agreed to maintain the original names for </w:t>
            </w:r>
            <w:r w:rsidDel="00000000" w:rsidR="00000000" w:rsidRPr="00000000">
              <w:rPr>
                <w:b w:val="1"/>
                <w:i w:val="1"/>
                <w:sz w:val="24"/>
                <w:szCs w:val="24"/>
                <w:highlight w:val="white"/>
                <w:rtl w:val="0"/>
              </w:rPr>
              <w:t xml:space="preserve">Baphalali Swaziland Red Cross Society</w:t>
            </w:r>
            <w:r w:rsidDel="00000000" w:rsidR="00000000" w:rsidRPr="00000000">
              <w:rPr>
                <w:sz w:val="24"/>
                <w:szCs w:val="24"/>
                <w:highlight w:val="white"/>
                <w:rtl w:val="0"/>
              </w:rPr>
              <w:t xml:space="preserve"> as they are still in use by the official organization to support the organization with the transition time to the new names.</w:t>
            </w:r>
          </w:p>
        </w:tc>
      </w:tr>
      <w:tr>
        <w:trPr>
          <w:trHeight w:val="360" w:hRule="atLeast"/>
        </w:trPr>
        <w:tc>
          <w:tcPr>
            <w:gridSpan w:val="7"/>
            <w:shd w:fill="f2f2f2" w:val="clear"/>
            <w:vAlign w:val="center"/>
          </w:tcPr>
          <w:p w:rsidR="00000000" w:rsidDel="00000000" w:rsidP="00000000" w:rsidRDefault="00000000" w:rsidRPr="00000000" w14:paraId="00000085">
            <w:pPr>
              <w:spacing w:line="240" w:lineRule="auto"/>
              <w:rPr>
                <w:b w:val="1"/>
                <w:sz w:val="24"/>
                <w:szCs w:val="24"/>
              </w:rPr>
            </w:pPr>
            <w:r w:rsidDel="00000000" w:rsidR="00000000" w:rsidRPr="00000000">
              <w:rPr>
                <w:b w:val="1"/>
                <w:sz w:val="24"/>
                <w:szCs w:val="24"/>
                <w:rtl w:val="0"/>
              </w:rPr>
              <w:t xml:space="preserve">Section II: Background</w:t>
            </w:r>
          </w:p>
        </w:tc>
      </w:tr>
      <w:tr>
        <w:trPr>
          <w:trHeight w:val="360" w:hRule="atLeast"/>
        </w:trPr>
        <w:tc>
          <w:tcPr>
            <w:gridSpan w:val="7"/>
            <w:shd w:fill="auto" w:val="clear"/>
            <w:vAlign w:val="center"/>
          </w:tcPr>
          <w:p w:rsidR="00000000" w:rsidDel="00000000" w:rsidP="00000000" w:rsidRDefault="00000000" w:rsidRPr="00000000" w14:paraId="0000008C">
            <w:pPr>
              <w:spacing w:line="240" w:lineRule="auto"/>
              <w:rPr>
                <w:sz w:val="24"/>
                <w:szCs w:val="24"/>
                <w:highlight w:val="white"/>
              </w:rPr>
            </w:pPr>
            <w:r w:rsidDel="00000000" w:rsidR="00000000" w:rsidRPr="00000000">
              <w:rPr>
                <w:sz w:val="24"/>
                <w:szCs w:val="24"/>
                <w:highlight w:val="white"/>
                <w:rtl w:val="0"/>
              </w:rPr>
              <w:t xml:space="preserve">In November 2013, the GNSO completed a Policy Development Process which resulted in a number of consensus recommendations for protecting the identifiers of International Governmental Organizations and International Non-Governmental Organizations, including the Movement, at the top and second level in all gTLDs.</w:t>
            </w:r>
          </w:p>
          <w:p w:rsidR="00000000" w:rsidDel="00000000" w:rsidP="00000000" w:rsidRDefault="00000000" w:rsidRPr="00000000" w14:paraId="0000008D">
            <w:pPr>
              <w:spacing w:line="240" w:lineRule="auto"/>
              <w:rPr>
                <w:sz w:val="24"/>
                <w:szCs w:val="24"/>
                <w:highlight w:val="white"/>
              </w:rPr>
            </w:pPr>
            <w:r w:rsidDel="00000000" w:rsidR="00000000" w:rsidRPr="00000000">
              <w:rPr>
                <w:rtl w:val="0"/>
              </w:rPr>
            </w:r>
          </w:p>
          <w:p w:rsidR="00000000" w:rsidDel="00000000" w:rsidP="00000000" w:rsidRDefault="00000000" w:rsidRPr="00000000" w14:paraId="0000008E">
            <w:pPr>
              <w:spacing w:line="240" w:lineRule="auto"/>
              <w:rPr>
                <w:sz w:val="24"/>
                <w:szCs w:val="24"/>
              </w:rPr>
            </w:pPr>
            <w:r w:rsidDel="00000000" w:rsidR="00000000" w:rsidRPr="00000000">
              <w:rPr>
                <w:sz w:val="24"/>
                <w:szCs w:val="24"/>
                <w:rtl w:val="0"/>
              </w:rPr>
              <w:t xml:space="preserve">On 30 April 2014 the Board adopted those of the GNSO’s PDP recommendations set forth in</w:t>
            </w:r>
            <w:hyperlink r:id="rId21">
              <w:r w:rsidDel="00000000" w:rsidR="00000000" w:rsidRPr="00000000">
                <w:rPr>
                  <w:color w:val="333333"/>
                  <w:sz w:val="24"/>
                  <w:szCs w:val="24"/>
                  <w:rtl w:val="0"/>
                </w:rPr>
                <w:t xml:space="preserve"> </w:t>
              </w:r>
            </w:hyperlink>
            <w:hyperlink r:id="rId22">
              <w:r w:rsidDel="00000000" w:rsidR="00000000" w:rsidRPr="00000000">
                <w:rPr>
                  <w:color w:val="047bc1"/>
                  <w:sz w:val="24"/>
                  <w:szCs w:val="24"/>
                  <w:highlight w:val="white"/>
                  <w:u w:val="single"/>
                  <w:rtl w:val="0"/>
                </w:rPr>
                <w:t xml:space="preserve">Annex A</w:t>
              </w:r>
            </w:hyperlink>
            <w:r w:rsidDel="00000000" w:rsidR="00000000" w:rsidRPr="00000000">
              <w:rPr>
                <w:sz w:val="24"/>
                <w:szCs w:val="24"/>
                <w:highlight w:val="white"/>
                <w:rtl w:val="0"/>
              </w:rPr>
              <w:t xml:space="preserve"> [PDF, 74 KB] </w:t>
            </w:r>
            <w:r w:rsidDel="00000000" w:rsidR="00000000" w:rsidRPr="00000000">
              <w:rPr>
                <w:sz w:val="24"/>
                <w:szCs w:val="24"/>
                <w:rtl w:val="0"/>
              </w:rPr>
              <w:t xml:space="preserve">of the Board resolution that were consistent with GAC advice on the topic, which in relation to the Movement were only for specific the terms “Red Cross”, “Red Crescent”, “Red Crystal”, and “Red Lion &amp; Sun” (referred to as “Scope 1 Identifiers” by the PDP Working Group) to be reserved at the top and second levels, with an Exception Procedure to be designed for the affected organization. In addition, the Board requested additional time to consider the GNSO Council's remaining unanimous recommendations on the protection of IGO-INGO Identifiers in all gTLDs as set forth in</w:t>
            </w:r>
            <w:r w:rsidDel="00000000" w:rsidR="00000000" w:rsidRPr="00000000">
              <w:rPr>
                <w:color w:val="333333"/>
                <w:sz w:val="24"/>
                <w:szCs w:val="24"/>
                <w:rtl w:val="0"/>
              </w:rPr>
              <w:t xml:space="preserve"> </w:t>
            </w:r>
            <w:r w:rsidDel="00000000" w:rsidR="00000000" w:rsidRPr="00000000">
              <w:rPr>
                <w:color w:val="333333"/>
                <w:sz w:val="24"/>
                <w:szCs w:val="24"/>
                <w:highlight w:val="white"/>
                <w:rtl w:val="0"/>
              </w:rPr>
              <w:t xml:space="preserve"> </w:t>
            </w:r>
            <w:hyperlink r:id="rId23">
              <w:r w:rsidDel="00000000" w:rsidR="00000000" w:rsidRPr="00000000">
                <w:rPr>
                  <w:color w:val="0098d5"/>
                  <w:sz w:val="24"/>
                  <w:szCs w:val="24"/>
                  <w:highlight w:val="white"/>
                  <w:u w:val="single"/>
                  <w:rtl w:val="0"/>
                </w:rPr>
                <w:t xml:space="preserve">Annex B</w:t>
              </w:r>
            </w:hyperlink>
            <w:r w:rsidDel="00000000" w:rsidR="00000000" w:rsidRPr="00000000">
              <w:rPr>
                <w:color w:val="333333"/>
                <w:sz w:val="24"/>
                <w:szCs w:val="24"/>
                <w:highlight w:val="white"/>
                <w:rtl w:val="0"/>
              </w:rPr>
              <w:t xml:space="preserve"> </w:t>
            </w:r>
            <w:r w:rsidDel="00000000" w:rsidR="00000000" w:rsidRPr="00000000">
              <w:rPr>
                <w:sz w:val="24"/>
                <w:szCs w:val="24"/>
                <w:highlight w:val="white"/>
                <w:rtl w:val="0"/>
              </w:rPr>
              <w:t xml:space="preserve">[PDF, 90 KB] </w:t>
            </w:r>
            <w:r w:rsidDel="00000000" w:rsidR="00000000" w:rsidRPr="00000000">
              <w:rPr>
                <w:sz w:val="24"/>
                <w:szCs w:val="24"/>
                <w:rtl w:val="0"/>
              </w:rPr>
              <w:t xml:space="preserve">of the Board resolution.</w:t>
            </w:r>
          </w:p>
          <w:p w:rsidR="00000000" w:rsidDel="00000000" w:rsidP="00000000" w:rsidRDefault="00000000" w:rsidRPr="00000000" w14:paraId="0000008F">
            <w:pPr>
              <w:spacing w:line="240" w:lineRule="auto"/>
              <w:rPr>
                <w:sz w:val="24"/>
                <w:szCs w:val="24"/>
              </w:rPr>
            </w:pPr>
            <w:r w:rsidDel="00000000" w:rsidR="00000000" w:rsidRPr="00000000">
              <w:rPr>
                <w:rtl w:val="0"/>
              </w:rPr>
            </w:r>
          </w:p>
          <w:p w:rsidR="00000000" w:rsidDel="00000000" w:rsidP="00000000" w:rsidRDefault="00000000" w:rsidRPr="00000000" w14:paraId="00000090">
            <w:pPr>
              <w:spacing w:line="240" w:lineRule="auto"/>
              <w:rPr>
                <w:sz w:val="24"/>
                <w:szCs w:val="24"/>
                <w:highlight w:val="white"/>
              </w:rPr>
            </w:pPr>
            <w:r w:rsidDel="00000000" w:rsidR="00000000" w:rsidRPr="00000000">
              <w:rPr>
                <w:sz w:val="24"/>
                <w:szCs w:val="24"/>
                <w:highlight w:val="white"/>
                <w:rtl w:val="0"/>
              </w:rPr>
              <w:t xml:space="preserve">Between June 2014 and January 2015 the Board and the GNSO Council engaged in discussions of the remaining inconsistencies between GAC advice and GNSO policy, which in relation to the Movement concerned the names of the then-189 National Red Cross and Red Crescent Societies, and the names and acronyms of the International Committee of the Red Cross and International Federation of the Red Cross and Red Crescent Societies (referred to as “Scope 2 Identifiers”).</w:t>
            </w:r>
          </w:p>
          <w:p w:rsidR="00000000" w:rsidDel="00000000" w:rsidP="00000000" w:rsidRDefault="00000000" w:rsidRPr="00000000" w14:paraId="00000091">
            <w:pPr>
              <w:spacing w:line="240" w:lineRule="auto"/>
              <w:rPr>
                <w:sz w:val="24"/>
                <w:szCs w:val="24"/>
                <w:highlight w:val="white"/>
              </w:rPr>
            </w:pPr>
            <w:r w:rsidDel="00000000" w:rsidR="00000000" w:rsidRPr="00000000">
              <w:rPr>
                <w:rtl w:val="0"/>
              </w:rPr>
            </w:r>
          </w:p>
          <w:p w:rsidR="00000000" w:rsidDel="00000000" w:rsidP="00000000" w:rsidRDefault="00000000" w:rsidRPr="00000000" w14:paraId="00000092">
            <w:pPr>
              <w:spacing w:line="240" w:lineRule="auto"/>
              <w:rPr>
                <w:sz w:val="24"/>
                <w:szCs w:val="24"/>
                <w:highlight w:val="white"/>
              </w:rPr>
            </w:pPr>
            <w:r w:rsidDel="00000000" w:rsidR="00000000" w:rsidRPr="00000000">
              <w:rPr>
                <w:sz w:val="24"/>
                <w:szCs w:val="24"/>
                <w:highlight w:val="white"/>
                <w:rtl w:val="0"/>
              </w:rPr>
              <w:t xml:space="preserve">In November 2016 the Board proposed that the GAC and the GNSO engage in a facilitated, good faith discussion to attempt to resolve the remaining inconsistencies between GAC public policy advice and GNSO consensus policy recommendations regarding the “Scope 2 Identifiers” of the Movement. Following the GAC-GNSO discussion, the Board passed a resolution on 16 March 2017 requesting that the GNSO initiate its process for Amendments or Modifications of Approved Policies, to consider amending the GNSO’s approved policy concerning the specific names of the Red Cross and Red Crescent National Societies and the specific names of the International Committee of the Red Cross and of the International Federation of Red Cross and Red Crescent Societies.</w:t>
            </w:r>
          </w:p>
          <w:p w:rsidR="00000000" w:rsidDel="00000000" w:rsidP="00000000" w:rsidRDefault="00000000" w:rsidRPr="00000000" w14:paraId="00000093">
            <w:pPr>
              <w:spacing w:line="240" w:lineRule="auto"/>
              <w:rPr>
                <w:sz w:val="24"/>
                <w:szCs w:val="24"/>
                <w:highlight w:val="white"/>
              </w:rPr>
            </w:pPr>
            <w:r w:rsidDel="00000000" w:rsidR="00000000" w:rsidRPr="00000000">
              <w:rPr>
                <w:rtl w:val="0"/>
              </w:rPr>
            </w:r>
          </w:p>
          <w:p w:rsidR="00000000" w:rsidDel="00000000" w:rsidP="00000000" w:rsidRDefault="00000000" w:rsidRPr="00000000" w14:paraId="00000094">
            <w:pPr>
              <w:spacing w:line="240" w:lineRule="auto"/>
              <w:rPr>
                <w:sz w:val="24"/>
                <w:szCs w:val="24"/>
                <w:highlight w:val="white"/>
              </w:rPr>
            </w:pPr>
            <w:r w:rsidDel="00000000" w:rsidR="00000000" w:rsidRPr="00000000">
              <w:rPr>
                <w:sz w:val="24"/>
                <w:szCs w:val="24"/>
                <w:highlight w:val="white"/>
                <w:rtl w:val="0"/>
              </w:rPr>
              <w:t xml:space="preserve">On 3 May 2017, the GNSO Council reconvened a Policy Development Process and tasked the IGO-INGO Working Group with reviewing prior consensus recommendations that were adopted by the Council, but later returned back by the ICANN Board for further consideration as it related to prior GAC advice. Following its analysis, the Working Group then developed variant principles in developing the finite list of National Red Cross and Red Crescent Societies names to be reserved. The Working Group arrived at a set of final recommendations, with consensus levels being determined.</w:t>
            </w:r>
          </w:p>
          <w:p w:rsidR="00000000" w:rsidDel="00000000" w:rsidP="00000000" w:rsidRDefault="00000000" w:rsidRPr="00000000" w14:paraId="00000095">
            <w:pPr>
              <w:spacing w:line="240" w:lineRule="auto"/>
              <w:rPr>
                <w:color w:val="333333"/>
                <w:sz w:val="24"/>
                <w:szCs w:val="24"/>
                <w:highlight w:val="white"/>
              </w:rPr>
            </w:pPr>
            <w:r w:rsidDel="00000000" w:rsidR="00000000" w:rsidRPr="00000000">
              <w:rPr>
                <w:rtl w:val="0"/>
              </w:rPr>
            </w:r>
          </w:p>
          <w:p w:rsidR="00000000" w:rsidDel="00000000" w:rsidP="00000000" w:rsidRDefault="00000000" w:rsidRPr="00000000" w14:paraId="00000096">
            <w:pPr>
              <w:spacing w:line="240" w:lineRule="auto"/>
              <w:rPr>
                <w:sz w:val="24"/>
                <w:szCs w:val="24"/>
              </w:rPr>
            </w:pPr>
            <w:r w:rsidDel="00000000" w:rsidR="00000000" w:rsidRPr="00000000">
              <w:rPr>
                <w:sz w:val="24"/>
                <w:szCs w:val="24"/>
                <w:rtl w:val="0"/>
              </w:rPr>
              <w:t xml:space="preserve">A Consensus Policy Implementation Team was formed to begin work on the implementation plan. An IRT consisting of members of the PDP Working Group and interested community members was also formed to work with the Consensus Policy Implementation Team in line with the </w:t>
            </w:r>
            <w:r w:rsidDel="00000000" w:rsidR="00000000" w:rsidRPr="00000000">
              <w:rPr>
                <w:color w:val="333333"/>
                <w:sz w:val="24"/>
                <w:szCs w:val="24"/>
                <w:highlight w:val="white"/>
                <w:rtl w:val="0"/>
              </w:rPr>
              <w:t xml:space="preserve"> </w:t>
            </w:r>
            <w:hyperlink r:id="rId24">
              <w:r w:rsidDel="00000000" w:rsidR="00000000" w:rsidRPr="00000000">
                <w:rPr>
                  <w:color w:val="0098d5"/>
                  <w:sz w:val="24"/>
                  <w:szCs w:val="24"/>
                  <w:highlight w:val="white"/>
                  <w:u w:val="single"/>
                  <w:rtl w:val="0"/>
                </w:rPr>
                <w:t xml:space="preserve">Consensus Policy Implementation Framework</w:t>
              </w:r>
            </w:hyperlink>
            <w:r w:rsidDel="00000000" w:rsidR="00000000" w:rsidRPr="00000000">
              <w:rPr>
                <w:sz w:val="24"/>
                <w:szCs w:val="24"/>
                <w:highlight w:val="white"/>
                <w:rtl w:val="0"/>
              </w:rPr>
              <w:t xml:space="preserve"> [PDF, 594 KB] </w:t>
            </w:r>
            <w:r w:rsidDel="00000000" w:rsidR="00000000" w:rsidRPr="00000000">
              <w:rPr>
                <w:sz w:val="24"/>
                <w:szCs w:val="24"/>
                <w:rtl w:val="0"/>
              </w:rPr>
              <w:t xml:space="preserve">developed by ICANN's Global Domains Division and adopted by the GNSO Council following the work of its</w:t>
            </w:r>
            <w:hyperlink r:id="rId25">
              <w:r w:rsidDel="00000000" w:rsidR="00000000" w:rsidRPr="00000000">
                <w:rPr>
                  <w:sz w:val="24"/>
                  <w:szCs w:val="24"/>
                  <w:rtl w:val="0"/>
                </w:rPr>
                <w:t xml:space="preserve"> </w:t>
              </w:r>
            </w:hyperlink>
            <w:hyperlink r:id="rId26">
              <w:r w:rsidDel="00000000" w:rsidR="00000000" w:rsidRPr="00000000">
                <w:rPr>
                  <w:color w:val="0098d5"/>
                  <w:sz w:val="24"/>
                  <w:szCs w:val="24"/>
                  <w:highlight w:val="white"/>
                  <w:u w:val="single"/>
                  <w:rtl w:val="0"/>
                </w:rPr>
                <w:t xml:space="preserve">Policy &amp; Implementation Working Group</w:t>
              </w:r>
            </w:hyperlink>
            <w:r w:rsidDel="00000000" w:rsidR="00000000" w:rsidRPr="00000000">
              <w:rPr>
                <w:color w:val="333333"/>
                <w:sz w:val="24"/>
                <w:szCs w:val="24"/>
                <w:rtl w:val="0"/>
              </w:rPr>
              <w:t xml:space="preserve">. </w:t>
            </w:r>
            <w:r w:rsidDel="00000000" w:rsidR="00000000" w:rsidRPr="00000000">
              <w:rPr>
                <w:sz w:val="24"/>
                <w:szCs w:val="24"/>
                <w:rtl w:val="0"/>
              </w:rPr>
              <w:t xml:space="preserve">The IRT has been serving as a resource to implementation staff on questions related to the adopted policy and technical implementation issues. The IRT has also served as a resource to ICANN organization on the background and rationale of the policy recommendations as well as assisting the implementation team in the planning for the technical implementation of a policy change.</w:t>
            </w:r>
          </w:p>
        </w:tc>
      </w:tr>
      <w:tr>
        <w:trPr>
          <w:trHeight w:val="360" w:hRule="atLeast"/>
        </w:trPr>
        <w:tc>
          <w:tcPr>
            <w:gridSpan w:val="7"/>
            <w:shd w:fill="f2f2f2" w:val="clear"/>
            <w:vAlign w:val="center"/>
          </w:tcPr>
          <w:p w:rsidR="00000000" w:rsidDel="00000000" w:rsidP="00000000" w:rsidRDefault="00000000" w:rsidRPr="00000000" w14:paraId="0000009D">
            <w:pPr>
              <w:spacing w:line="240" w:lineRule="auto"/>
              <w:rPr>
                <w:b w:val="1"/>
                <w:sz w:val="24"/>
                <w:szCs w:val="24"/>
              </w:rPr>
            </w:pPr>
            <w:r w:rsidDel="00000000" w:rsidR="00000000" w:rsidRPr="00000000">
              <w:rPr>
                <w:b w:val="1"/>
                <w:sz w:val="24"/>
                <w:szCs w:val="24"/>
                <w:rtl w:val="0"/>
              </w:rPr>
              <w:t xml:space="preserve">Section III: Document and Resource Links</w:t>
            </w:r>
          </w:p>
        </w:tc>
      </w:tr>
      <w:tr>
        <w:trPr>
          <w:trHeight w:val="360" w:hRule="atLeast"/>
        </w:trPr>
        <w:tc>
          <w:tcPr>
            <w:gridSpan w:val="7"/>
            <w:shd w:fill="auto" w:val="clear"/>
            <w:vAlign w:val="center"/>
          </w:tcPr>
          <w:p w:rsidR="00000000" w:rsidDel="00000000" w:rsidP="00000000" w:rsidRDefault="00000000" w:rsidRPr="00000000" w14:paraId="000000A4">
            <w:pPr>
              <w:spacing w:line="240" w:lineRule="auto"/>
              <w:rPr>
                <w:sz w:val="24"/>
                <w:szCs w:val="24"/>
              </w:rPr>
            </w:pPr>
            <w:r w:rsidDel="00000000" w:rsidR="00000000" w:rsidRPr="00000000">
              <w:rPr>
                <w:rtl w:val="0"/>
              </w:rPr>
            </w:r>
          </w:p>
          <w:p w:rsidR="00000000" w:rsidDel="00000000" w:rsidP="00000000" w:rsidRDefault="00000000" w:rsidRPr="00000000" w14:paraId="000000A5">
            <w:pPr>
              <w:numPr>
                <w:ilvl w:val="0"/>
                <w:numId w:val="3"/>
              </w:numPr>
              <w:spacing w:line="240" w:lineRule="auto"/>
              <w:ind w:left="720" w:hanging="360"/>
              <w:rPr>
                <w:sz w:val="24"/>
                <w:szCs w:val="24"/>
              </w:rPr>
            </w:pPr>
            <w:r w:rsidDel="00000000" w:rsidR="00000000" w:rsidRPr="00000000">
              <w:rPr>
                <w:sz w:val="24"/>
                <w:szCs w:val="24"/>
                <w:rtl w:val="0"/>
              </w:rPr>
              <w:t xml:space="preserve">Updated reserved names for Red Cross: </w:t>
            </w:r>
            <w:hyperlink r:id="rId27">
              <w:r w:rsidDel="00000000" w:rsidR="00000000" w:rsidRPr="00000000">
                <w:rPr>
                  <w:color w:val="1155cc"/>
                  <w:sz w:val="24"/>
                  <w:szCs w:val="24"/>
                  <w:u w:val="single"/>
                  <w:rtl w:val="0"/>
                </w:rPr>
                <w:t xml:space="preserve">https://community.icann.org/display/IIPIRT/Red+Cross+Identifier+List+-+Draft+Page+for+IRT+Use+Only</w:t>
              </w:r>
            </w:hyperlink>
            <w:r w:rsidDel="00000000" w:rsidR="00000000" w:rsidRPr="00000000">
              <w:rPr>
                <w:rtl w:val="0"/>
              </w:rPr>
            </w:r>
          </w:p>
          <w:p w:rsidR="00000000" w:rsidDel="00000000" w:rsidP="00000000" w:rsidRDefault="00000000" w:rsidRPr="00000000" w14:paraId="000000A6">
            <w:pPr>
              <w:numPr>
                <w:ilvl w:val="0"/>
                <w:numId w:val="3"/>
              </w:numPr>
              <w:spacing w:line="240" w:lineRule="auto"/>
              <w:ind w:left="720" w:hanging="360"/>
              <w:rPr>
                <w:sz w:val="24"/>
                <w:szCs w:val="24"/>
              </w:rPr>
            </w:pPr>
            <w:r w:rsidDel="00000000" w:rsidR="00000000" w:rsidRPr="00000000">
              <w:rPr>
                <w:sz w:val="24"/>
                <w:szCs w:val="24"/>
                <w:rtl w:val="0"/>
              </w:rPr>
              <w:t xml:space="preserve">Protection of IGO and INGO Identifiers Protection for all gTLDs Policy </w:t>
            </w:r>
            <w:hyperlink r:id="rId28">
              <w:r w:rsidDel="00000000" w:rsidR="00000000" w:rsidRPr="00000000">
                <w:rPr>
                  <w:color w:val="1155cc"/>
                  <w:sz w:val="24"/>
                  <w:szCs w:val="24"/>
                  <w:u w:val="single"/>
                  <w:rtl w:val="0"/>
                </w:rPr>
                <w:t xml:space="preserve">https://www.icann.org/resources/pages/igo-ingo-protection-policy-2018-01-16-en</w:t>
              </w:r>
            </w:hyperlink>
            <w:r w:rsidDel="00000000" w:rsidR="00000000" w:rsidRPr="00000000">
              <w:rPr>
                <w:rtl w:val="0"/>
              </w:rPr>
            </w:r>
          </w:p>
          <w:p w:rsidR="00000000" w:rsidDel="00000000" w:rsidP="00000000" w:rsidRDefault="00000000" w:rsidRPr="00000000" w14:paraId="000000A7">
            <w:pPr>
              <w:spacing w:line="240" w:lineRule="auto"/>
              <w:rPr>
                <w:sz w:val="24"/>
                <w:szCs w:val="24"/>
              </w:rPr>
            </w:pPr>
            <w:r w:rsidDel="00000000" w:rsidR="00000000" w:rsidRPr="00000000">
              <w:rPr>
                <w:rtl w:val="0"/>
              </w:rPr>
            </w:r>
          </w:p>
        </w:tc>
      </w:tr>
      <w:tr>
        <w:trPr>
          <w:trHeight w:val="360" w:hRule="atLeast"/>
        </w:trPr>
        <w:tc>
          <w:tcPr>
            <w:gridSpan w:val="7"/>
            <w:shd w:fill="f2f2f2" w:val="clear"/>
            <w:vAlign w:val="center"/>
          </w:tcPr>
          <w:p w:rsidR="00000000" w:rsidDel="00000000" w:rsidP="00000000" w:rsidRDefault="00000000" w:rsidRPr="00000000" w14:paraId="000000AE">
            <w:pPr>
              <w:spacing w:line="240" w:lineRule="auto"/>
              <w:rPr>
                <w:sz w:val="24"/>
                <w:szCs w:val="24"/>
              </w:rPr>
            </w:pPr>
            <w:r w:rsidDel="00000000" w:rsidR="00000000" w:rsidRPr="00000000">
              <w:rPr>
                <w:b w:val="1"/>
                <w:sz w:val="24"/>
                <w:szCs w:val="24"/>
                <w:rtl w:val="0"/>
              </w:rPr>
              <w:t xml:space="preserve">Section IV: Additional Information</w:t>
            </w:r>
            <w:r w:rsidDel="00000000" w:rsidR="00000000" w:rsidRPr="00000000">
              <w:rPr>
                <w:rtl w:val="0"/>
              </w:rPr>
            </w:r>
          </w:p>
        </w:tc>
      </w:tr>
      <w:tr>
        <w:trPr>
          <w:trHeight w:val="360" w:hRule="atLeast"/>
        </w:trPr>
        <w:tc>
          <w:tcPr>
            <w:gridSpan w:val="7"/>
            <w:shd w:fill="auto" w:val="clear"/>
            <w:vAlign w:val="center"/>
          </w:tcPr>
          <w:p w:rsidR="00000000" w:rsidDel="00000000" w:rsidP="00000000" w:rsidRDefault="00000000" w:rsidRPr="00000000" w14:paraId="000000B5">
            <w:pPr>
              <w:spacing w:line="240" w:lineRule="auto"/>
              <w:rPr>
                <w:sz w:val="24"/>
                <w:szCs w:val="24"/>
              </w:rPr>
            </w:pPr>
            <w:r w:rsidDel="00000000" w:rsidR="00000000" w:rsidRPr="00000000">
              <w:rPr>
                <w:rtl w:val="0"/>
              </w:rPr>
            </w:r>
          </w:p>
        </w:tc>
      </w:tr>
      <w:tr>
        <w:trPr>
          <w:trHeight w:val="360" w:hRule="atLeast"/>
        </w:trPr>
        <w:tc>
          <w:tcPr>
            <w:shd w:fill="f2f2f2" w:val="clear"/>
            <w:vAlign w:val="center"/>
          </w:tcPr>
          <w:p w:rsidR="00000000" w:rsidDel="00000000" w:rsidP="00000000" w:rsidRDefault="00000000" w:rsidRPr="00000000" w14:paraId="000000BC">
            <w:pPr>
              <w:spacing w:line="240" w:lineRule="auto"/>
              <w:rPr>
                <w:b w:val="1"/>
                <w:sz w:val="24"/>
                <w:szCs w:val="24"/>
              </w:rPr>
            </w:pPr>
            <w:r w:rsidDel="00000000" w:rsidR="00000000" w:rsidRPr="00000000">
              <w:rPr>
                <w:b w:val="1"/>
                <w:sz w:val="24"/>
                <w:szCs w:val="24"/>
                <w:rtl w:val="0"/>
              </w:rPr>
              <w:t xml:space="preserve">Proceeding Facilitator:</w:t>
            </w:r>
          </w:p>
        </w:tc>
        <w:tc>
          <w:tcPr>
            <w:gridSpan w:val="2"/>
            <w:shd w:fill="auto" w:val="clear"/>
            <w:vAlign w:val="center"/>
          </w:tcPr>
          <w:p w:rsidR="00000000" w:rsidDel="00000000" w:rsidP="00000000" w:rsidRDefault="00000000" w:rsidRPr="00000000" w14:paraId="000000BD">
            <w:pPr>
              <w:spacing w:line="240" w:lineRule="auto"/>
              <w:rPr>
                <w:sz w:val="24"/>
                <w:szCs w:val="24"/>
              </w:rPr>
            </w:pPr>
            <w:r w:rsidDel="00000000" w:rsidR="00000000" w:rsidRPr="00000000">
              <w:rPr>
                <w:rtl w:val="0"/>
              </w:rPr>
            </w:r>
          </w:p>
        </w:tc>
        <w:tc>
          <w:tcPr>
            <w:gridSpan w:val="2"/>
            <w:shd w:fill="f2f2f2" w:val="clear"/>
            <w:vAlign w:val="center"/>
          </w:tcPr>
          <w:p w:rsidR="00000000" w:rsidDel="00000000" w:rsidP="00000000" w:rsidRDefault="00000000" w:rsidRPr="00000000" w14:paraId="000000BF">
            <w:pPr>
              <w:spacing w:line="240" w:lineRule="auto"/>
              <w:rPr>
                <w:b w:val="1"/>
                <w:sz w:val="24"/>
                <w:szCs w:val="24"/>
              </w:rPr>
            </w:pPr>
            <w:r w:rsidDel="00000000" w:rsidR="00000000" w:rsidRPr="00000000">
              <w:rPr>
                <w:b w:val="1"/>
                <w:sz w:val="24"/>
                <w:szCs w:val="24"/>
                <w:rtl w:val="0"/>
              </w:rPr>
              <w:t xml:space="preserve">Email Address:</w:t>
            </w:r>
          </w:p>
        </w:tc>
        <w:tc>
          <w:tcPr>
            <w:gridSpan w:val="2"/>
            <w:shd w:fill="auto" w:val="clear"/>
            <w:vAlign w:val="center"/>
          </w:tcPr>
          <w:p w:rsidR="00000000" w:rsidDel="00000000" w:rsidP="00000000" w:rsidRDefault="00000000" w:rsidRPr="00000000" w14:paraId="000000C1">
            <w:pPr>
              <w:spacing w:line="240" w:lineRule="auto"/>
              <w:rPr>
                <w:sz w:val="24"/>
                <w:szCs w:val="24"/>
              </w:rPr>
            </w:pPr>
            <w:r w:rsidDel="00000000" w:rsidR="00000000" w:rsidRPr="00000000">
              <w:rPr>
                <w:rtl w:val="0"/>
              </w:rPr>
            </w:r>
          </w:p>
        </w:tc>
      </w:tr>
    </w:tbl>
    <w:p w:rsidR="00000000" w:rsidDel="00000000" w:rsidP="00000000" w:rsidRDefault="00000000" w:rsidRPr="00000000" w14:paraId="000000C3">
      <w:pPr>
        <w:spacing w:line="240" w:lineRule="auto"/>
        <w:rPr>
          <w:sz w:val="24"/>
          <w:szCs w:val="24"/>
        </w:rPr>
      </w:pPr>
      <w:r w:rsidDel="00000000" w:rsidR="00000000" w:rsidRPr="00000000">
        <w:rPr>
          <w:rtl w:val="0"/>
        </w:rPr>
      </w:r>
    </w:p>
    <w:p w:rsidR="00000000" w:rsidDel="00000000" w:rsidP="00000000" w:rsidRDefault="00000000" w:rsidRPr="00000000" w14:paraId="000000C4">
      <w:pPr>
        <w:spacing w:line="240" w:lineRule="auto"/>
        <w:rPr>
          <w:sz w:val="24"/>
          <w:szCs w:val="24"/>
        </w:rPr>
      </w:pPr>
      <w:r w:rsidDel="00000000" w:rsidR="00000000" w:rsidRPr="00000000">
        <w:rPr>
          <w:rtl w:val="0"/>
        </w:rPr>
      </w:r>
    </w:p>
    <w:p w:rsidR="00000000" w:rsidDel="00000000" w:rsidP="00000000" w:rsidRDefault="00000000" w:rsidRPr="00000000" w14:paraId="000000C5">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icann.org/sites/default/files/packages/reserved-names/ReservedNames.xml" TargetMode="External"/><Relationship Id="rId22" Type="http://schemas.openxmlformats.org/officeDocument/2006/relationships/hyperlink" Target="https://www.icann.org/en/groups/board/documents/resolutions-annex-a-30apr14-en.pdf" TargetMode="External"/><Relationship Id="rId21" Type="http://schemas.openxmlformats.org/officeDocument/2006/relationships/hyperlink" Target="https://www.icann.org/en/groups/board/documents/resolutions-annex-a-30apr14-en.pdf" TargetMode="External"/><Relationship Id="rId24" Type="http://schemas.openxmlformats.org/officeDocument/2006/relationships/hyperlink" Target="https://www.icann.org/en/system/files/files/gdd-consensus-policy-implementation-framework-31may15-en.pdf" TargetMode="External"/><Relationship Id="rId23" Type="http://schemas.openxmlformats.org/officeDocument/2006/relationships/hyperlink" Target="https://www.icann.org/en/groups/board/documents/resolutions-annex-b-30apr14-en.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icann.org/resources/pages/igo-ingo-protection-policy-2018-01-16-en" TargetMode="External"/><Relationship Id="rId26" Type="http://schemas.openxmlformats.org/officeDocument/2006/relationships/hyperlink" Target="http://gnso.icann.org/en/group-activities/active/policy-implementation" TargetMode="External"/><Relationship Id="rId25" Type="http://schemas.openxmlformats.org/officeDocument/2006/relationships/hyperlink" Target="http://gnso.icann.org/en/group-activities/active/policy-implementation" TargetMode="External"/><Relationship Id="rId28" Type="http://schemas.openxmlformats.org/officeDocument/2006/relationships/hyperlink" Target="https://www.icann.org/resources/pages/igo-ingo-protection-policy-2018-01-16-en" TargetMode="External"/><Relationship Id="rId27" Type="http://schemas.openxmlformats.org/officeDocument/2006/relationships/hyperlink" Target="https://community.icann.org/display/IIPIRT/Red+Cross+Identifier+Lists+-+For+Public+Comment" TargetMode="External"/><Relationship Id="rId5" Type="http://schemas.openxmlformats.org/officeDocument/2006/relationships/styles" Target="styles.xml"/><Relationship Id="rId6" Type="http://schemas.openxmlformats.org/officeDocument/2006/relationships/hyperlink" Target="https://www.icann.org/news/announcements" TargetMode="External"/><Relationship Id="rId7" Type="http://schemas.openxmlformats.org/officeDocument/2006/relationships/hyperlink" Target="https://www.icann.org/public-comments" TargetMode="External"/><Relationship Id="rId8" Type="http://schemas.openxmlformats.org/officeDocument/2006/relationships/hyperlink" Target="https://www.icann.org/resources/pages/reserved-2013-07-08-en" TargetMode="External"/><Relationship Id="rId11" Type="http://schemas.openxmlformats.org/officeDocument/2006/relationships/hyperlink" Target="https://www.icann.org/sites/default/files/packages/reserved-names/ReservedNames.xml" TargetMode="External"/><Relationship Id="rId10" Type="http://schemas.openxmlformats.org/officeDocument/2006/relationships/hyperlink" Target="https://www.icann.org/resources/pages/igo-ingo-protection-policy-2018-01-16-en" TargetMode="External"/><Relationship Id="rId13" Type="http://schemas.openxmlformats.org/officeDocument/2006/relationships/hyperlink" Target="https://www.icann.org/resources/pages/igo-ingo-protection-policy-2018-01-16-en" TargetMode="External"/><Relationship Id="rId12" Type="http://schemas.openxmlformats.org/officeDocument/2006/relationships/hyperlink" Target="https://www.icann.org/sites/default/files/packages/reserved-names/ReservedNames.xml" TargetMode="External"/><Relationship Id="rId15" Type="http://schemas.openxmlformats.org/officeDocument/2006/relationships/hyperlink" Target="https://www.icann.org/resources/pages/igo-ingo-protection-policy-2018-01-16-en" TargetMode="External"/><Relationship Id="rId14" Type="http://schemas.openxmlformats.org/officeDocument/2006/relationships/hyperlink" Target="https://www.icann.org/resources/pages/igo-ingo-protection-policy-2018-01-16-en" TargetMode="External"/><Relationship Id="rId17" Type="http://schemas.openxmlformats.org/officeDocument/2006/relationships/hyperlink" Target="https://www.icann.org/resources/pages/igo-ingo-protection-policy-2018-01-16-en" TargetMode="External"/><Relationship Id="rId16" Type="http://schemas.openxmlformats.org/officeDocument/2006/relationships/hyperlink" Target="https://www.icann.org/resources/pages/igo-ingo-protection-policy-2018-01-16-en" TargetMode="External"/><Relationship Id="rId19" Type="http://schemas.openxmlformats.org/officeDocument/2006/relationships/hyperlink" Target="https://www.icann.org/sites/default/files/packages/reserved-names/ReservedNames.xml" TargetMode="External"/><Relationship Id="rId18" Type="http://schemas.openxmlformats.org/officeDocument/2006/relationships/hyperlink" Target="https://www.icann.org/resources/pages/igo-ingo-protection-policy-2018-01-16-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