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C8B45" w14:textId="6B3F4F23" w:rsidR="007C1B96" w:rsidRPr="007C1B96" w:rsidRDefault="007C1B96" w:rsidP="007C1B96">
      <w:pPr>
        <w:rPr>
          <w:rFonts w:ascii="Calibri" w:hAnsi="Calibri"/>
          <w:b/>
        </w:rPr>
      </w:pPr>
      <w:r w:rsidRPr="00271977">
        <w:rPr>
          <w:rFonts w:ascii="Calibri" w:hAnsi="Calibri"/>
          <w:b/>
        </w:rPr>
        <w:t xml:space="preserve">Public Comment </w:t>
      </w:r>
      <w:r>
        <w:rPr>
          <w:rFonts w:ascii="Calibri" w:hAnsi="Calibri"/>
          <w:b/>
        </w:rPr>
        <w:t>Review</w:t>
      </w:r>
      <w:r w:rsidRPr="00271977">
        <w:rPr>
          <w:rFonts w:ascii="Calibri" w:hAnsi="Calibri"/>
          <w:b/>
        </w:rPr>
        <w:t xml:space="preserve"> Tool – </w:t>
      </w:r>
      <w:r w:rsidRPr="007C1B96">
        <w:rPr>
          <w:rFonts w:ascii="Calibri" w:hAnsi="Calibri"/>
          <w:b/>
        </w:rPr>
        <w:t>Proposed</w:t>
      </w:r>
      <w:r>
        <w:rPr>
          <w:rFonts w:ascii="Calibri" w:hAnsi="Calibri"/>
          <w:b/>
        </w:rPr>
        <w:t xml:space="preserve"> </w:t>
      </w:r>
      <w:r w:rsidRPr="007C1B96">
        <w:rPr>
          <w:rFonts w:ascii="Calibri" w:hAnsi="Calibri"/>
          <w:b/>
        </w:rPr>
        <w:t>Implementation</w:t>
      </w:r>
      <w:r>
        <w:rPr>
          <w:rFonts w:ascii="Calibri" w:hAnsi="Calibri"/>
          <w:b/>
        </w:rPr>
        <w:t xml:space="preserve"> </w:t>
      </w:r>
      <w:r w:rsidRPr="007C1B96">
        <w:rPr>
          <w:rFonts w:ascii="Calibri" w:hAnsi="Calibri"/>
          <w:b/>
        </w:rPr>
        <w:t>of</w:t>
      </w:r>
      <w:r>
        <w:rPr>
          <w:rFonts w:ascii="Calibri" w:hAnsi="Calibri"/>
          <w:b/>
        </w:rPr>
        <w:t xml:space="preserve"> </w:t>
      </w:r>
      <w:r w:rsidRPr="007C1B96">
        <w:rPr>
          <w:rFonts w:ascii="Calibri" w:hAnsi="Calibri"/>
          <w:b/>
        </w:rPr>
        <w:t>GNSO</w:t>
      </w:r>
      <w:r>
        <w:rPr>
          <w:rFonts w:ascii="Calibri" w:hAnsi="Calibri"/>
          <w:b/>
        </w:rPr>
        <w:t xml:space="preserve"> </w:t>
      </w:r>
      <w:r w:rsidRPr="007C1B96">
        <w:rPr>
          <w:rFonts w:ascii="Calibri" w:hAnsi="Calibri"/>
          <w:b/>
        </w:rPr>
        <w:t>PDP</w:t>
      </w:r>
      <w:r>
        <w:rPr>
          <w:rFonts w:ascii="Calibri" w:hAnsi="Calibri"/>
          <w:b/>
        </w:rPr>
        <w:t xml:space="preserve"> </w:t>
      </w:r>
      <w:r w:rsidRPr="007C1B96">
        <w:rPr>
          <w:rFonts w:ascii="Calibri" w:hAnsi="Calibri"/>
          <w:b/>
        </w:rPr>
        <w:t>Recommendations</w:t>
      </w:r>
      <w:r>
        <w:rPr>
          <w:rFonts w:ascii="Calibri" w:hAnsi="Calibri"/>
          <w:b/>
        </w:rPr>
        <w:t xml:space="preserve"> on Inter-Registrar Transfer Policy (IRTP) Part C</w:t>
      </w:r>
    </w:p>
    <w:p w14:paraId="260795E8" w14:textId="77777777" w:rsidR="007C1B96" w:rsidRPr="00271977" w:rsidRDefault="007C1B96" w:rsidP="007C1B96">
      <w:pPr>
        <w:pBdr>
          <w:bottom w:val="single" w:sz="4" w:space="1" w:color="auto"/>
        </w:pBdr>
        <w:rPr>
          <w:rFonts w:ascii="Calibri" w:hAnsi="Calibri"/>
          <w:i/>
        </w:rPr>
      </w:pPr>
      <w:r>
        <w:rPr>
          <w:rFonts w:ascii="Calibri" w:hAnsi="Calibri"/>
          <w:i/>
        </w:rPr>
        <w:t>19 May 2015</w:t>
      </w:r>
    </w:p>
    <w:p w14:paraId="0C0EB5D5" w14:textId="77777777" w:rsidR="007C1B96" w:rsidRDefault="007C1B96" w:rsidP="007C1B96"/>
    <w:tbl>
      <w:tblPr>
        <w:tblW w:w="14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8703"/>
        <w:gridCol w:w="1668"/>
        <w:gridCol w:w="3102"/>
        <w:gridCol w:w="264"/>
        <w:gridCol w:w="10"/>
      </w:tblGrid>
      <w:tr w:rsidR="004840D0" w:rsidRPr="009203EA" w14:paraId="359DAEFE" w14:textId="77777777" w:rsidTr="004840D0">
        <w:trPr>
          <w:gridAfter w:val="1"/>
          <w:wAfter w:w="10" w:type="dxa"/>
          <w:cantSplit/>
          <w:tblHeader/>
        </w:trPr>
        <w:tc>
          <w:tcPr>
            <w:tcW w:w="675" w:type="dxa"/>
            <w:tcBorders>
              <w:bottom w:val="single" w:sz="4" w:space="0" w:color="000000"/>
            </w:tcBorders>
            <w:shd w:val="clear" w:color="auto" w:fill="CCCCCC"/>
          </w:tcPr>
          <w:p w14:paraId="2B6269F9" w14:textId="77777777" w:rsidR="007C1B96" w:rsidRPr="009203EA" w:rsidRDefault="007C1B96" w:rsidP="00FD5E93">
            <w:pPr>
              <w:contextualSpacing/>
              <w:rPr>
                <w:rFonts w:ascii="Calibri" w:hAnsi="Calibri"/>
                <w:b/>
                <w:sz w:val="22"/>
              </w:rPr>
            </w:pPr>
            <w:r w:rsidRPr="009203EA">
              <w:rPr>
                <w:rFonts w:ascii="Calibri" w:hAnsi="Calibri"/>
                <w:b/>
                <w:sz w:val="22"/>
              </w:rPr>
              <w:t>#</w:t>
            </w:r>
          </w:p>
        </w:tc>
        <w:tc>
          <w:tcPr>
            <w:tcW w:w="8703" w:type="dxa"/>
            <w:tcBorders>
              <w:bottom w:val="single" w:sz="4" w:space="0" w:color="000000"/>
            </w:tcBorders>
            <w:shd w:val="clear" w:color="auto" w:fill="CCCCCC"/>
          </w:tcPr>
          <w:p w14:paraId="798834C5" w14:textId="77777777" w:rsidR="007C1B96" w:rsidRPr="009203EA" w:rsidRDefault="007C1B96" w:rsidP="00FD5E93">
            <w:pPr>
              <w:contextualSpacing/>
              <w:rPr>
                <w:rFonts w:ascii="Calibri" w:hAnsi="Calibri"/>
                <w:b/>
                <w:sz w:val="22"/>
              </w:rPr>
            </w:pPr>
            <w:r w:rsidRPr="009203EA">
              <w:rPr>
                <w:rFonts w:ascii="Calibri" w:hAnsi="Calibri"/>
                <w:b/>
                <w:sz w:val="22"/>
              </w:rPr>
              <w:t>Comment</w:t>
            </w:r>
            <w:r>
              <w:rPr>
                <w:rFonts w:ascii="Calibri" w:hAnsi="Calibri"/>
                <w:b/>
                <w:sz w:val="22"/>
              </w:rPr>
              <w:t xml:space="preserve"> and/or suggested changes</w:t>
            </w:r>
          </w:p>
        </w:tc>
        <w:tc>
          <w:tcPr>
            <w:tcW w:w="1668" w:type="dxa"/>
            <w:tcBorders>
              <w:bottom w:val="single" w:sz="4" w:space="0" w:color="000000"/>
            </w:tcBorders>
            <w:shd w:val="clear" w:color="auto" w:fill="CCCCCC"/>
          </w:tcPr>
          <w:p w14:paraId="795D560F" w14:textId="77777777" w:rsidR="007C1B96" w:rsidRPr="009203EA" w:rsidRDefault="007C1B96" w:rsidP="00FD5E93">
            <w:pPr>
              <w:contextualSpacing/>
              <w:rPr>
                <w:rFonts w:ascii="Calibri" w:hAnsi="Calibri"/>
                <w:b/>
                <w:sz w:val="22"/>
              </w:rPr>
            </w:pPr>
            <w:r>
              <w:rPr>
                <w:rFonts w:ascii="Calibri" w:hAnsi="Calibri"/>
                <w:b/>
                <w:sz w:val="22"/>
              </w:rPr>
              <w:t>By</w:t>
            </w:r>
          </w:p>
        </w:tc>
        <w:tc>
          <w:tcPr>
            <w:tcW w:w="3102" w:type="dxa"/>
            <w:tcBorders>
              <w:bottom w:val="single" w:sz="4" w:space="0" w:color="000000"/>
            </w:tcBorders>
            <w:shd w:val="clear" w:color="auto" w:fill="CCCCCC"/>
          </w:tcPr>
          <w:p w14:paraId="0CBB7E41" w14:textId="60DF25EF" w:rsidR="007C1B96" w:rsidRPr="009203EA" w:rsidRDefault="007C1B96" w:rsidP="00FD5E93">
            <w:pPr>
              <w:contextualSpacing/>
              <w:rPr>
                <w:rFonts w:ascii="Calibri" w:hAnsi="Calibri"/>
                <w:b/>
                <w:sz w:val="22"/>
              </w:rPr>
            </w:pPr>
          </w:p>
        </w:tc>
        <w:tc>
          <w:tcPr>
            <w:tcW w:w="264" w:type="dxa"/>
            <w:tcBorders>
              <w:bottom w:val="single" w:sz="4" w:space="0" w:color="000000"/>
            </w:tcBorders>
            <w:shd w:val="clear" w:color="auto" w:fill="CCCCCC"/>
          </w:tcPr>
          <w:p w14:paraId="0FE74062" w14:textId="463DB725" w:rsidR="007C1B96" w:rsidRPr="009203EA" w:rsidRDefault="007C1B96" w:rsidP="0064157F">
            <w:pPr>
              <w:contextualSpacing/>
              <w:rPr>
                <w:rFonts w:ascii="Calibri" w:hAnsi="Calibri"/>
                <w:b/>
                <w:sz w:val="22"/>
              </w:rPr>
            </w:pPr>
          </w:p>
        </w:tc>
      </w:tr>
      <w:tr w:rsidR="007C1B96" w:rsidRPr="009203EA" w14:paraId="5DA72031" w14:textId="77777777" w:rsidTr="004840D0">
        <w:trPr>
          <w:cantSplit/>
        </w:trPr>
        <w:tc>
          <w:tcPr>
            <w:tcW w:w="14422" w:type="dxa"/>
            <w:gridSpan w:val="6"/>
            <w:shd w:val="clear" w:color="auto" w:fill="E0E0E0"/>
          </w:tcPr>
          <w:p w14:paraId="7D4F135F" w14:textId="77777777" w:rsidR="007C1B96" w:rsidRPr="009203EA" w:rsidRDefault="007C1B96" w:rsidP="00FD5E93">
            <w:pPr>
              <w:contextualSpacing/>
              <w:rPr>
                <w:rFonts w:ascii="Calibri" w:hAnsi="Calibri"/>
                <w:b/>
                <w:sz w:val="22"/>
                <w:szCs w:val="22"/>
              </w:rPr>
            </w:pPr>
            <w:r>
              <w:rPr>
                <w:rFonts w:ascii="Calibri" w:hAnsi="Calibri"/>
                <w:b/>
                <w:sz w:val="22"/>
                <w:szCs w:val="22"/>
              </w:rPr>
              <w:t xml:space="preserve">Related to </w:t>
            </w:r>
            <w:r w:rsidR="00FD5E93">
              <w:rPr>
                <w:rFonts w:ascii="Calibri" w:hAnsi="Calibri"/>
                <w:b/>
                <w:sz w:val="22"/>
                <w:szCs w:val="22"/>
              </w:rPr>
              <w:t>IRTP Section 1</w:t>
            </w:r>
            <w:r>
              <w:rPr>
                <w:rFonts w:ascii="Calibri" w:hAnsi="Calibri"/>
                <w:b/>
                <w:sz w:val="22"/>
                <w:szCs w:val="22"/>
              </w:rPr>
              <w:t xml:space="preserve"> </w:t>
            </w:r>
          </w:p>
        </w:tc>
      </w:tr>
      <w:tr w:rsidR="004840D0" w:rsidRPr="009203EA" w14:paraId="6E068E43" w14:textId="77777777" w:rsidTr="004840D0">
        <w:trPr>
          <w:gridAfter w:val="1"/>
          <w:wAfter w:w="10" w:type="dxa"/>
          <w:cantSplit/>
        </w:trPr>
        <w:tc>
          <w:tcPr>
            <w:tcW w:w="675" w:type="dxa"/>
          </w:tcPr>
          <w:p w14:paraId="6F8ADB3A" w14:textId="77777777" w:rsidR="007C1B96" w:rsidRPr="009203EA" w:rsidRDefault="007C1B96" w:rsidP="00FD5E93">
            <w:pPr>
              <w:numPr>
                <w:ilvl w:val="0"/>
                <w:numId w:val="1"/>
              </w:numPr>
              <w:contextualSpacing/>
              <w:rPr>
                <w:rFonts w:ascii="Calibri" w:hAnsi="Calibri"/>
                <w:b/>
                <w:sz w:val="22"/>
              </w:rPr>
            </w:pPr>
          </w:p>
        </w:tc>
        <w:tc>
          <w:tcPr>
            <w:tcW w:w="8703" w:type="dxa"/>
          </w:tcPr>
          <w:p w14:paraId="3D0941B2" w14:textId="77777777" w:rsidR="007C1B96" w:rsidRDefault="00FD5E93" w:rsidP="00FD5E93">
            <w:pPr>
              <w:pStyle w:val="ListParagraph"/>
              <w:ind w:left="0"/>
              <w:rPr>
                <w:rFonts w:ascii="Calibri" w:hAnsi="Calibri"/>
                <w:sz w:val="22"/>
              </w:rPr>
            </w:pPr>
            <w:r w:rsidRPr="00FD5E93">
              <w:rPr>
                <w:rFonts w:ascii="Calibri" w:hAnsi="Calibri"/>
                <w:sz w:val="22"/>
              </w:rPr>
              <w:t>Registries do not have access to the RADAR system, thus preventing communication with the TEAC.</w:t>
            </w:r>
          </w:p>
        </w:tc>
        <w:tc>
          <w:tcPr>
            <w:tcW w:w="1668" w:type="dxa"/>
          </w:tcPr>
          <w:p w14:paraId="272A2CCC" w14:textId="77777777" w:rsidR="007C1B96" w:rsidRPr="009203EA" w:rsidRDefault="00FD5E93" w:rsidP="00FD5E93">
            <w:pPr>
              <w:contextualSpacing/>
              <w:rPr>
                <w:rFonts w:ascii="Calibri" w:hAnsi="Calibri"/>
                <w:sz w:val="22"/>
              </w:rPr>
            </w:pPr>
            <w:r>
              <w:rPr>
                <w:rFonts w:ascii="Calibri" w:hAnsi="Calibri"/>
                <w:sz w:val="22"/>
              </w:rPr>
              <w:t>Donuts</w:t>
            </w:r>
          </w:p>
        </w:tc>
        <w:tc>
          <w:tcPr>
            <w:tcW w:w="3102" w:type="dxa"/>
          </w:tcPr>
          <w:p w14:paraId="18054D80" w14:textId="699C2F9D" w:rsidR="007C1B96" w:rsidRDefault="007C1B96" w:rsidP="0064157F">
            <w:pPr>
              <w:contextualSpacing/>
              <w:rPr>
                <w:rFonts w:ascii="Calibri" w:hAnsi="Calibri"/>
                <w:sz w:val="22"/>
              </w:rPr>
            </w:pPr>
          </w:p>
        </w:tc>
        <w:tc>
          <w:tcPr>
            <w:tcW w:w="264" w:type="dxa"/>
          </w:tcPr>
          <w:p w14:paraId="1E7AF49B" w14:textId="77777777" w:rsidR="007C1B96" w:rsidRPr="009203EA" w:rsidRDefault="007C1B96" w:rsidP="00FD5E93">
            <w:pPr>
              <w:contextualSpacing/>
              <w:rPr>
                <w:rFonts w:ascii="Calibri" w:hAnsi="Calibri"/>
                <w:b/>
                <w:sz w:val="22"/>
              </w:rPr>
            </w:pPr>
          </w:p>
        </w:tc>
      </w:tr>
      <w:tr w:rsidR="004840D0" w:rsidRPr="009203EA" w14:paraId="182924FD" w14:textId="77777777" w:rsidTr="004840D0">
        <w:trPr>
          <w:gridAfter w:val="1"/>
          <w:wAfter w:w="10" w:type="dxa"/>
          <w:cantSplit/>
        </w:trPr>
        <w:tc>
          <w:tcPr>
            <w:tcW w:w="675" w:type="dxa"/>
          </w:tcPr>
          <w:p w14:paraId="0C8C83C6" w14:textId="77777777" w:rsidR="007C1B96" w:rsidRPr="009203EA" w:rsidRDefault="007C1B96" w:rsidP="00FD5E93">
            <w:pPr>
              <w:numPr>
                <w:ilvl w:val="0"/>
                <w:numId w:val="1"/>
              </w:numPr>
              <w:contextualSpacing/>
              <w:rPr>
                <w:rFonts w:ascii="Calibri" w:hAnsi="Calibri"/>
                <w:b/>
                <w:sz w:val="22"/>
              </w:rPr>
            </w:pPr>
          </w:p>
        </w:tc>
        <w:tc>
          <w:tcPr>
            <w:tcW w:w="8703" w:type="dxa"/>
          </w:tcPr>
          <w:p w14:paraId="05A7F7E8" w14:textId="77777777" w:rsidR="007C1B96" w:rsidRPr="00A41A64" w:rsidRDefault="00FD5E93" w:rsidP="00FD5E93">
            <w:pPr>
              <w:pStyle w:val="ListParagraph"/>
              <w:ind w:left="0"/>
              <w:rPr>
                <w:rFonts w:ascii="Calibri" w:hAnsi="Calibri"/>
                <w:sz w:val="22"/>
              </w:rPr>
            </w:pPr>
            <w:r w:rsidRPr="00FD5E93">
              <w:rPr>
                <w:rFonts w:ascii="Calibri" w:hAnsi="Calibri"/>
                <w:sz w:val="22"/>
              </w:rPr>
              <w:t>When a losing registrar does not respond within four hours, it is not defined what a registry is expected to do.</w:t>
            </w:r>
          </w:p>
        </w:tc>
        <w:tc>
          <w:tcPr>
            <w:tcW w:w="1668" w:type="dxa"/>
          </w:tcPr>
          <w:p w14:paraId="17DE42DF" w14:textId="77777777" w:rsidR="007C1B96" w:rsidRPr="009203EA" w:rsidRDefault="00FD5E93" w:rsidP="00FD5E93">
            <w:pPr>
              <w:contextualSpacing/>
              <w:rPr>
                <w:rFonts w:ascii="Calibri" w:hAnsi="Calibri"/>
                <w:sz w:val="22"/>
              </w:rPr>
            </w:pPr>
            <w:r>
              <w:rPr>
                <w:rFonts w:ascii="Calibri" w:hAnsi="Calibri"/>
                <w:sz w:val="22"/>
              </w:rPr>
              <w:t>Donuts</w:t>
            </w:r>
          </w:p>
        </w:tc>
        <w:tc>
          <w:tcPr>
            <w:tcW w:w="3102" w:type="dxa"/>
          </w:tcPr>
          <w:p w14:paraId="44B81258" w14:textId="2B68EDFC" w:rsidR="007C1B96" w:rsidRPr="009203EA" w:rsidRDefault="007C1B96" w:rsidP="0064157F">
            <w:pPr>
              <w:contextualSpacing/>
              <w:rPr>
                <w:rFonts w:ascii="Calibri" w:hAnsi="Calibri"/>
                <w:sz w:val="22"/>
              </w:rPr>
            </w:pPr>
          </w:p>
        </w:tc>
        <w:tc>
          <w:tcPr>
            <w:tcW w:w="264" w:type="dxa"/>
          </w:tcPr>
          <w:p w14:paraId="64A48FAF" w14:textId="77777777" w:rsidR="007C1B96" w:rsidRPr="009203EA" w:rsidRDefault="007C1B96" w:rsidP="00FD5E93">
            <w:pPr>
              <w:contextualSpacing/>
              <w:rPr>
                <w:rFonts w:ascii="Calibri" w:hAnsi="Calibri"/>
                <w:b/>
                <w:sz w:val="22"/>
              </w:rPr>
            </w:pPr>
          </w:p>
        </w:tc>
      </w:tr>
      <w:tr w:rsidR="004840D0" w:rsidRPr="009203EA" w14:paraId="567B57D1" w14:textId="77777777" w:rsidTr="004840D0">
        <w:trPr>
          <w:gridAfter w:val="1"/>
          <w:wAfter w:w="10" w:type="dxa"/>
          <w:cantSplit/>
        </w:trPr>
        <w:tc>
          <w:tcPr>
            <w:tcW w:w="675" w:type="dxa"/>
          </w:tcPr>
          <w:p w14:paraId="7D7CAD69" w14:textId="77777777" w:rsidR="007C1B96" w:rsidRPr="009203EA" w:rsidRDefault="007C1B96" w:rsidP="00FD5E93">
            <w:pPr>
              <w:numPr>
                <w:ilvl w:val="0"/>
                <w:numId w:val="1"/>
              </w:numPr>
              <w:contextualSpacing/>
              <w:rPr>
                <w:rFonts w:ascii="Calibri" w:hAnsi="Calibri"/>
                <w:b/>
                <w:sz w:val="22"/>
              </w:rPr>
            </w:pPr>
          </w:p>
        </w:tc>
        <w:tc>
          <w:tcPr>
            <w:tcW w:w="8703" w:type="dxa"/>
          </w:tcPr>
          <w:p w14:paraId="33159B7E" w14:textId="77777777" w:rsidR="007C1B96" w:rsidRPr="001D5EB5" w:rsidRDefault="00FD5E93" w:rsidP="00FD5E93">
            <w:pPr>
              <w:pStyle w:val="ListParagraph"/>
              <w:ind w:left="0"/>
              <w:rPr>
                <w:rFonts w:ascii="Calibri" w:eastAsia="Times New Roman" w:hAnsi="Calibri"/>
                <w:color w:val="000000"/>
                <w:sz w:val="22"/>
                <w:szCs w:val="22"/>
              </w:rPr>
            </w:pPr>
            <w:r w:rsidRPr="00FD5E93">
              <w:rPr>
                <w:rFonts w:ascii="Calibri" w:eastAsia="Times New Roman" w:hAnsi="Calibri"/>
                <w:color w:val="000000"/>
                <w:sz w:val="22"/>
                <w:szCs w:val="22"/>
              </w:rPr>
              <w:t>The policy proposal calls for the arbitrary assignment of fees for transfers involving more than 50,000 names. Donuts does not believe fees should be a built-in part of a policy; it is more appropriate for each registry operator to negotiate a fee</w:t>
            </w:r>
            <w:r>
              <w:rPr>
                <w:rFonts w:ascii="Calibri" w:eastAsia="Times New Roman" w:hAnsi="Calibri"/>
                <w:color w:val="000000"/>
                <w:sz w:val="22"/>
                <w:szCs w:val="22"/>
              </w:rPr>
              <w:t>.</w:t>
            </w:r>
          </w:p>
        </w:tc>
        <w:tc>
          <w:tcPr>
            <w:tcW w:w="1668" w:type="dxa"/>
          </w:tcPr>
          <w:p w14:paraId="5EFAFE79" w14:textId="77777777" w:rsidR="007C1B96" w:rsidRDefault="00FD5E93" w:rsidP="00FD5E93">
            <w:pPr>
              <w:contextualSpacing/>
              <w:rPr>
                <w:rFonts w:ascii="Calibri" w:hAnsi="Calibri"/>
                <w:sz w:val="22"/>
              </w:rPr>
            </w:pPr>
            <w:r>
              <w:rPr>
                <w:rFonts w:ascii="Calibri" w:hAnsi="Calibri"/>
                <w:sz w:val="22"/>
              </w:rPr>
              <w:t>Donuts</w:t>
            </w:r>
          </w:p>
        </w:tc>
        <w:tc>
          <w:tcPr>
            <w:tcW w:w="3102" w:type="dxa"/>
          </w:tcPr>
          <w:p w14:paraId="5E014FA8" w14:textId="5D4D7AF9" w:rsidR="007C1B96" w:rsidRPr="009203EA" w:rsidRDefault="007C1B96" w:rsidP="0064157F">
            <w:pPr>
              <w:contextualSpacing/>
              <w:rPr>
                <w:rFonts w:ascii="Calibri" w:hAnsi="Calibri"/>
                <w:sz w:val="22"/>
              </w:rPr>
            </w:pPr>
          </w:p>
        </w:tc>
        <w:tc>
          <w:tcPr>
            <w:tcW w:w="264" w:type="dxa"/>
          </w:tcPr>
          <w:p w14:paraId="7359C8DA" w14:textId="77777777" w:rsidR="007C1B96" w:rsidRPr="009203EA" w:rsidRDefault="007C1B96" w:rsidP="00FD5E93">
            <w:pPr>
              <w:contextualSpacing/>
              <w:rPr>
                <w:rFonts w:ascii="Calibri" w:hAnsi="Calibri"/>
                <w:b/>
                <w:sz w:val="22"/>
              </w:rPr>
            </w:pPr>
          </w:p>
        </w:tc>
      </w:tr>
      <w:tr w:rsidR="004840D0" w:rsidRPr="009203EA" w14:paraId="5C33DC22" w14:textId="77777777" w:rsidTr="004840D0">
        <w:trPr>
          <w:gridAfter w:val="1"/>
          <w:wAfter w:w="10" w:type="dxa"/>
          <w:cantSplit/>
        </w:trPr>
        <w:tc>
          <w:tcPr>
            <w:tcW w:w="675" w:type="dxa"/>
          </w:tcPr>
          <w:p w14:paraId="54E4DA3F" w14:textId="77777777" w:rsidR="007C1B96" w:rsidRPr="009203EA" w:rsidRDefault="007C1B96" w:rsidP="00FD5E93">
            <w:pPr>
              <w:numPr>
                <w:ilvl w:val="0"/>
                <w:numId w:val="1"/>
              </w:numPr>
              <w:contextualSpacing/>
              <w:rPr>
                <w:rFonts w:ascii="Calibri" w:hAnsi="Calibri"/>
                <w:b/>
                <w:sz w:val="22"/>
              </w:rPr>
            </w:pPr>
          </w:p>
        </w:tc>
        <w:tc>
          <w:tcPr>
            <w:tcW w:w="8703" w:type="dxa"/>
          </w:tcPr>
          <w:p w14:paraId="6A957D3F" w14:textId="77777777" w:rsidR="007C1B96" w:rsidRPr="001D5EB5" w:rsidRDefault="00FD5E93" w:rsidP="00FD5E93">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 xml:space="preserve">Time Limiting of FOAs - </w:t>
            </w:r>
            <w:r w:rsidRPr="00FD5E93">
              <w:rPr>
                <w:rFonts w:ascii="Calibri" w:eastAsia="Times New Roman" w:hAnsi="Calibri"/>
                <w:color w:val="000000"/>
                <w:sz w:val="22"/>
                <w:szCs w:val="22"/>
              </w:rPr>
              <w:t>In some situations, the expiration of the FOA may result in an ambiguous situation.  It is unclear from the proposed language what a registrar should do in the event that the FOA expires b/w the transmission of the “transfer” command and the completion of the transfer process.  Suggestion: if the FOA expires pursuant to one of the aforementioned circumstances described in 2.2.3(a) – 2.2.3(c), prior to submitting the “transfer” request to the registry, the gaining registrar must re-authorize the transfer request via a new FOA.</w:t>
            </w:r>
          </w:p>
        </w:tc>
        <w:tc>
          <w:tcPr>
            <w:tcW w:w="1668" w:type="dxa"/>
          </w:tcPr>
          <w:p w14:paraId="03F2DC57" w14:textId="77777777" w:rsidR="007C1B96" w:rsidRDefault="00FD5E93" w:rsidP="00FD5E93">
            <w:pPr>
              <w:contextualSpacing/>
              <w:rPr>
                <w:rFonts w:ascii="Calibri" w:hAnsi="Calibri"/>
                <w:sz w:val="22"/>
              </w:rPr>
            </w:pPr>
            <w:r>
              <w:rPr>
                <w:rFonts w:ascii="Calibri" w:hAnsi="Calibri"/>
                <w:sz w:val="22"/>
              </w:rPr>
              <w:t>Google</w:t>
            </w:r>
          </w:p>
        </w:tc>
        <w:tc>
          <w:tcPr>
            <w:tcW w:w="3102" w:type="dxa"/>
          </w:tcPr>
          <w:p w14:paraId="16FBB226" w14:textId="77777777" w:rsidR="007C1B96" w:rsidRPr="009203EA" w:rsidRDefault="007C1B96" w:rsidP="00FD5E93">
            <w:pPr>
              <w:contextualSpacing/>
              <w:rPr>
                <w:rFonts w:ascii="Calibri" w:hAnsi="Calibri"/>
                <w:sz w:val="22"/>
              </w:rPr>
            </w:pPr>
          </w:p>
        </w:tc>
        <w:tc>
          <w:tcPr>
            <w:tcW w:w="264" w:type="dxa"/>
          </w:tcPr>
          <w:p w14:paraId="50EE2CA7" w14:textId="77777777" w:rsidR="007C1B96" w:rsidRPr="009203EA" w:rsidRDefault="007C1B96" w:rsidP="00FD5E93">
            <w:pPr>
              <w:contextualSpacing/>
              <w:rPr>
                <w:rFonts w:ascii="Calibri" w:hAnsi="Calibri"/>
                <w:b/>
                <w:sz w:val="22"/>
              </w:rPr>
            </w:pPr>
          </w:p>
        </w:tc>
      </w:tr>
      <w:tr w:rsidR="007C1B96" w:rsidRPr="009203EA" w14:paraId="6BF6977D" w14:textId="77777777" w:rsidTr="004840D0">
        <w:trPr>
          <w:cantSplit/>
        </w:trPr>
        <w:tc>
          <w:tcPr>
            <w:tcW w:w="14422" w:type="dxa"/>
            <w:gridSpan w:val="6"/>
            <w:shd w:val="clear" w:color="auto" w:fill="E0E0E0"/>
          </w:tcPr>
          <w:p w14:paraId="4C90D98B" w14:textId="77777777" w:rsidR="007C1B96" w:rsidRPr="009203EA" w:rsidRDefault="007C1B96" w:rsidP="00FD5E93">
            <w:pPr>
              <w:contextualSpacing/>
              <w:rPr>
                <w:rFonts w:ascii="Calibri" w:hAnsi="Calibri"/>
                <w:b/>
                <w:sz w:val="22"/>
                <w:szCs w:val="22"/>
              </w:rPr>
            </w:pPr>
            <w:r>
              <w:rPr>
                <w:rFonts w:ascii="Calibri" w:hAnsi="Calibri"/>
                <w:b/>
                <w:sz w:val="22"/>
                <w:szCs w:val="22"/>
              </w:rPr>
              <w:t xml:space="preserve">Related to </w:t>
            </w:r>
            <w:r w:rsidR="00FD5E93">
              <w:rPr>
                <w:rFonts w:ascii="Calibri" w:hAnsi="Calibri"/>
                <w:b/>
                <w:sz w:val="22"/>
                <w:szCs w:val="22"/>
              </w:rPr>
              <w:t>Definition of Change of Registrant</w:t>
            </w:r>
          </w:p>
        </w:tc>
      </w:tr>
      <w:tr w:rsidR="004840D0" w:rsidRPr="009203EA" w14:paraId="67332BFF" w14:textId="77777777" w:rsidTr="004840D0">
        <w:trPr>
          <w:gridAfter w:val="1"/>
          <w:wAfter w:w="10" w:type="dxa"/>
          <w:cantSplit/>
        </w:trPr>
        <w:tc>
          <w:tcPr>
            <w:tcW w:w="675" w:type="dxa"/>
          </w:tcPr>
          <w:p w14:paraId="6E1E891F" w14:textId="77777777" w:rsidR="007C1B96" w:rsidRPr="009203EA" w:rsidRDefault="007C1B96" w:rsidP="00FD5E93">
            <w:pPr>
              <w:numPr>
                <w:ilvl w:val="0"/>
                <w:numId w:val="1"/>
              </w:numPr>
              <w:contextualSpacing/>
              <w:rPr>
                <w:rFonts w:ascii="Calibri" w:hAnsi="Calibri"/>
                <w:b/>
                <w:sz w:val="22"/>
              </w:rPr>
            </w:pPr>
          </w:p>
        </w:tc>
        <w:tc>
          <w:tcPr>
            <w:tcW w:w="8703" w:type="dxa"/>
          </w:tcPr>
          <w:p w14:paraId="247F6E10" w14:textId="77777777" w:rsidR="00FD5E93" w:rsidRPr="00FD5E93" w:rsidRDefault="00FD5E93" w:rsidP="00FD5E93">
            <w:pPr>
              <w:rPr>
                <w:rFonts w:asciiTheme="majorHAnsi" w:hAnsiTheme="majorHAnsi"/>
                <w:sz w:val="22"/>
                <w:szCs w:val="22"/>
              </w:rPr>
            </w:pPr>
            <w:r w:rsidRPr="00FD5E93">
              <w:rPr>
                <w:rFonts w:asciiTheme="majorHAnsi" w:hAnsiTheme="majorHAnsi"/>
                <w:sz w:val="22"/>
                <w:szCs w:val="22"/>
              </w:rPr>
              <w:t>The current definition of a change of registrant is too broad and would likely cause an undue burden on registrars and lead to customer service issues if implemented as written. This will involve a huge undertaking would require system changes or manual intervention for each change. (Pushes b/w reseller accounts would trigger this policy even if the registrant remains the same.)  eNom suggests leaving the change of registrant definition up to the individual registrar so long as it follows ICANN guidelines. (definition was clear in the Final Report)</w:t>
            </w:r>
          </w:p>
          <w:p w14:paraId="47AE22C5" w14:textId="77777777" w:rsidR="007C1B96" w:rsidRPr="00E3587C" w:rsidRDefault="007C1B96" w:rsidP="00FD5E93">
            <w:pPr>
              <w:pStyle w:val="ListParagraph"/>
              <w:ind w:left="0"/>
              <w:rPr>
                <w:rFonts w:ascii="Calibri" w:hAnsi="Calibri"/>
                <w:sz w:val="22"/>
              </w:rPr>
            </w:pPr>
          </w:p>
        </w:tc>
        <w:tc>
          <w:tcPr>
            <w:tcW w:w="1668" w:type="dxa"/>
          </w:tcPr>
          <w:p w14:paraId="7E78B9ED" w14:textId="77777777" w:rsidR="007C1B96" w:rsidRPr="009203EA" w:rsidRDefault="00FD5E93" w:rsidP="00FD5E93">
            <w:pPr>
              <w:contextualSpacing/>
              <w:rPr>
                <w:rFonts w:ascii="Calibri" w:hAnsi="Calibri"/>
                <w:sz w:val="22"/>
              </w:rPr>
            </w:pPr>
            <w:r>
              <w:rPr>
                <w:rFonts w:ascii="Calibri" w:hAnsi="Calibri"/>
                <w:sz w:val="22"/>
              </w:rPr>
              <w:t>eNom</w:t>
            </w:r>
          </w:p>
        </w:tc>
        <w:tc>
          <w:tcPr>
            <w:tcW w:w="3102" w:type="dxa"/>
          </w:tcPr>
          <w:p w14:paraId="7881BB8B" w14:textId="007397B9" w:rsidR="007C1B96" w:rsidRPr="009203EA" w:rsidRDefault="007C1B96" w:rsidP="00FD5E93">
            <w:pPr>
              <w:contextualSpacing/>
              <w:rPr>
                <w:rFonts w:ascii="Calibri" w:hAnsi="Calibri"/>
                <w:sz w:val="22"/>
              </w:rPr>
            </w:pPr>
          </w:p>
        </w:tc>
        <w:tc>
          <w:tcPr>
            <w:tcW w:w="264" w:type="dxa"/>
          </w:tcPr>
          <w:p w14:paraId="2404CCD7" w14:textId="77777777" w:rsidR="007C1B96" w:rsidRPr="009203EA" w:rsidRDefault="007C1B96" w:rsidP="00FD5E93">
            <w:pPr>
              <w:contextualSpacing/>
              <w:rPr>
                <w:rFonts w:ascii="Calibri" w:hAnsi="Calibri"/>
                <w:b/>
                <w:sz w:val="22"/>
              </w:rPr>
            </w:pPr>
          </w:p>
        </w:tc>
      </w:tr>
      <w:tr w:rsidR="004840D0" w:rsidRPr="009203EA" w14:paraId="3E51B0AA" w14:textId="77777777" w:rsidTr="004840D0">
        <w:trPr>
          <w:gridAfter w:val="1"/>
          <w:wAfter w:w="10" w:type="dxa"/>
          <w:cantSplit/>
        </w:trPr>
        <w:tc>
          <w:tcPr>
            <w:tcW w:w="675" w:type="dxa"/>
          </w:tcPr>
          <w:p w14:paraId="312BB1F3" w14:textId="77777777" w:rsidR="007C1B96" w:rsidRPr="00FD5E93" w:rsidRDefault="007C1B96" w:rsidP="00FD5E93">
            <w:pPr>
              <w:numPr>
                <w:ilvl w:val="0"/>
                <w:numId w:val="1"/>
              </w:numPr>
              <w:contextualSpacing/>
              <w:rPr>
                <w:rFonts w:asciiTheme="majorHAnsi" w:hAnsiTheme="majorHAnsi"/>
                <w:b/>
                <w:sz w:val="22"/>
                <w:szCs w:val="22"/>
              </w:rPr>
            </w:pPr>
          </w:p>
        </w:tc>
        <w:tc>
          <w:tcPr>
            <w:tcW w:w="8703" w:type="dxa"/>
          </w:tcPr>
          <w:p w14:paraId="745688B9" w14:textId="77777777" w:rsidR="00FD5E93" w:rsidRPr="00FD5E93" w:rsidRDefault="00FD5E93" w:rsidP="00FD5E93">
            <w:pPr>
              <w:rPr>
                <w:rFonts w:asciiTheme="majorHAnsi" w:hAnsiTheme="majorHAnsi"/>
                <w:sz w:val="22"/>
                <w:szCs w:val="22"/>
              </w:rPr>
            </w:pPr>
            <w:r w:rsidRPr="00FD5E93">
              <w:rPr>
                <w:rFonts w:asciiTheme="majorHAnsi" w:hAnsiTheme="majorHAnsi"/>
                <w:sz w:val="22"/>
                <w:szCs w:val="22"/>
              </w:rPr>
              <w:t>We recommend limiting the definition of Change of Registrant to Registrant Name and Registrant Organization.</w:t>
            </w:r>
          </w:p>
          <w:p w14:paraId="36C80C0E" w14:textId="77777777" w:rsidR="007C1B96" w:rsidRPr="00FD5E93" w:rsidRDefault="007C1B96" w:rsidP="00FD5E93">
            <w:pPr>
              <w:pStyle w:val="ListParagraph"/>
              <w:ind w:left="0"/>
              <w:rPr>
                <w:rFonts w:asciiTheme="majorHAnsi" w:eastAsia="Times New Roman" w:hAnsiTheme="majorHAnsi"/>
                <w:color w:val="000000"/>
                <w:sz w:val="22"/>
                <w:szCs w:val="22"/>
              </w:rPr>
            </w:pPr>
          </w:p>
        </w:tc>
        <w:tc>
          <w:tcPr>
            <w:tcW w:w="1668" w:type="dxa"/>
          </w:tcPr>
          <w:p w14:paraId="33834FD3" w14:textId="77777777" w:rsidR="007C1B96" w:rsidRDefault="00FD5E93" w:rsidP="00FD5E93">
            <w:pPr>
              <w:contextualSpacing/>
              <w:rPr>
                <w:rFonts w:ascii="Calibri" w:hAnsi="Calibri"/>
                <w:sz w:val="22"/>
              </w:rPr>
            </w:pPr>
            <w:r>
              <w:rPr>
                <w:rFonts w:ascii="Calibri" w:hAnsi="Calibri"/>
                <w:sz w:val="22"/>
              </w:rPr>
              <w:t>BC</w:t>
            </w:r>
          </w:p>
        </w:tc>
        <w:tc>
          <w:tcPr>
            <w:tcW w:w="3102" w:type="dxa"/>
          </w:tcPr>
          <w:p w14:paraId="4F9A2A38" w14:textId="6D9051F2" w:rsidR="007C1B96" w:rsidRPr="009203EA" w:rsidRDefault="007C1B96" w:rsidP="00FD5E93">
            <w:pPr>
              <w:contextualSpacing/>
              <w:rPr>
                <w:rFonts w:ascii="Calibri" w:hAnsi="Calibri"/>
                <w:sz w:val="22"/>
              </w:rPr>
            </w:pPr>
          </w:p>
        </w:tc>
        <w:tc>
          <w:tcPr>
            <w:tcW w:w="264" w:type="dxa"/>
          </w:tcPr>
          <w:p w14:paraId="685274A4" w14:textId="77777777" w:rsidR="007C1B96" w:rsidRPr="009203EA" w:rsidRDefault="007C1B96" w:rsidP="00FD5E93">
            <w:pPr>
              <w:contextualSpacing/>
              <w:rPr>
                <w:rFonts w:ascii="Calibri" w:hAnsi="Calibri"/>
                <w:b/>
                <w:sz w:val="22"/>
              </w:rPr>
            </w:pPr>
          </w:p>
        </w:tc>
      </w:tr>
      <w:tr w:rsidR="004840D0" w:rsidRPr="009203EA" w14:paraId="55552C1A" w14:textId="77777777" w:rsidTr="004840D0">
        <w:trPr>
          <w:gridAfter w:val="1"/>
          <w:wAfter w:w="10" w:type="dxa"/>
          <w:cantSplit/>
          <w:trHeight w:val="1772"/>
        </w:trPr>
        <w:tc>
          <w:tcPr>
            <w:tcW w:w="675" w:type="dxa"/>
          </w:tcPr>
          <w:p w14:paraId="5EF3319D" w14:textId="77777777" w:rsidR="007C1B96" w:rsidRPr="009203EA" w:rsidRDefault="007C1B96" w:rsidP="00FD5E93">
            <w:pPr>
              <w:numPr>
                <w:ilvl w:val="0"/>
                <w:numId w:val="1"/>
              </w:numPr>
              <w:contextualSpacing/>
              <w:rPr>
                <w:rFonts w:ascii="Calibri" w:hAnsi="Calibri"/>
                <w:b/>
                <w:sz w:val="22"/>
              </w:rPr>
            </w:pPr>
          </w:p>
        </w:tc>
        <w:tc>
          <w:tcPr>
            <w:tcW w:w="8703" w:type="dxa"/>
          </w:tcPr>
          <w:p w14:paraId="32C3354B" w14:textId="77777777" w:rsidR="007C1B96" w:rsidRPr="00FD5E93" w:rsidRDefault="00FD5E93" w:rsidP="00FD5E93">
            <w:pPr>
              <w:rPr>
                <w:rFonts w:asciiTheme="majorHAnsi" w:hAnsiTheme="majorHAnsi"/>
                <w:sz w:val="22"/>
                <w:szCs w:val="22"/>
              </w:rPr>
            </w:pPr>
            <w:r w:rsidRPr="00FD5E93">
              <w:rPr>
                <w:rFonts w:asciiTheme="majorHAnsi" w:hAnsiTheme="majorHAnsi"/>
                <w:sz w:val="22"/>
                <w:szCs w:val="22"/>
              </w:rPr>
              <w:t xml:space="preserve">We do not agree that a change to the Registrant email address alone is a material change. </w:t>
            </w:r>
          </w:p>
        </w:tc>
        <w:tc>
          <w:tcPr>
            <w:tcW w:w="1668" w:type="dxa"/>
          </w:tcPr>
          <w:p w14:paraId="05E04F3F" w14:textId="77777777" w:rsidR="007C1B96" w:rsidRDefault="00FD5E93" w:rsidP="00FD5E93">
            <w:pPr>
              <w:contextualSpacing/>
              <w:rPr>
                <w:rFonts w:ascii="Calibri" w:hAnsi="Calibri"/>
                <w:sz w:val="22"/>
              </w:rPr>
            </w:pPr>
            <w:r>
              <w:rPr>
                <w:rFonts w:ascii="Calibri" w:hAnsi="Calibri"/>
                <w:sz w:val="22"/>
              </w:rPr>
              <w:t>BC</w:t>
            </w:r>
          </w:p>
        </w:tc>
        <w:tc>
          <w:tcPr>
            <w:tcW w:w="3102" w:type="dxa"/>
          </w:tcPr>
          <w:p w14:paraId="094CE4EE" w14:textId="54A4A487" w:rsidR="007C1B96" w:rsidRPr="009203EA" w:rsidRDefault="007C1B96" w:rsidP="00FD5E93">
            <w:pPr>
              <w:contextualSpacing/>
              <w:rPr>
                <w:rFonts w:ascii="Calibri" w:hAnsi="Calibri"/>
                <w:sz w:val="22"/>
              </w:rPr>
            </w:pPr>
          </w:p>
        </w:tc>
        <w:tc>
          <w:tcPr>
            <w:tcW w:w="264" w:type="dxa"/>
          </w:tcPr>
          <w:p w14:paraId="65F7250C" w14:textId="77777777" w:rsidR="007C1B96" w:rsidRPr="009203EA" w:rsidRDefault="007C1B96" w:rsidP="00FD5E93">
            <w:pPr>
              <w:contextualSpacing/>
              <w:rPr>
                <w:rFonts w:ascii="Calibri" w:hAnsi="Calibri"/>
                <w:b/>
                <w:sz w:val="22"/>
              </w:rPr>
            </w:pPr>
          </w:p>
        </w:tc>
      </w:tr>
      <w:tr w:rsidR="007C1B96" w:rsidRPr="009203EA" w14:paraId="248ED26A" w14:textId="77777777" w:rsidTr="004840D0">
        <w:trPr>
          <w:cantSplit/>
        </w:trPr>
        <w:tc>
          <w:tcPr>
            <w:tcW w:w="14422" w:type="dxa"/>
            <w:gridSpan w:val="6"/>
            <w:shd w:val="clear" w:color="auto" w:fill="E0E0E0"/>
          </w:tcPr>
          <w:p w14:paraId="3F89CD1E" w14:textId="77777777" w:rsidR="007C1B96" w:rsidRPr="009203EA" w:rsidRDefault="007C1B96" w:rsidP="00182D94">
            <w:pPr>
              <w:contextualSpacing/>
              <w:rPr>
                <w:rFonts w:ascii="Calibri" w:hAnsi="Calibri"/>
                <w:b/>
                <w:sz w:val="22"/>
                <w:szCs w:val="22"/>
              </w:rPr>
            </w:pPr>
            <w:r>
              <w:rPr>
                <w:rFonts w:ascii="Calibri" w:hAnsi="Calibri"/>
                <w:b/>
                <w:sz w:val="22"/>
                <w:szCs w:val="22"/>
              </w:rPr>
              <w:t xml:space="preserve">Related to </w:t>
            </w:r>
            <w:r w:rsidR="00182D94">
              <w:rPr>
                <w:rFonts w:ascii="Calibri" w:hAnsi="Calibri"/>
                <w:b/>
                <w:sz w:val="22"/>
                <w:szCs w:val="22"/>
              </w:rPr>
              <w:t>Change of Registrant Process</w:t>
            </w:r>
          </w:p>
        </w:tc>
      </w:tr>
      <w:tr w:rsidR="004840D0" w:rsidRPr="009203EA" w14:paraId="0413A25D" w14:textId="77777777" w:rsidTr="004840D0">
        <w:trPr>
          <w:gridAfter w:val="1"/>
          <w:wAfter w:w="10" w:type="dxa"/>
          <w:cantSplit/>
        </w:trPr>
        <w:tc>
          <w:tcPr>
            <w:tcW w:w="675" w:type="dxa"/>
          </w:tcPr>
          <w:p w14:paraId="162AF02C" w14:textId="77777777" w:rsidR="007C1B96" w:rsidRPr="009203EA" w:rsidRDefault="007C1B96" w:rsidP="00FD5E93">
            <w:pPr>
              <w:numPr>
                <w:ilvl w:val="0"/>
                <w:numId w:val="1"/>
              </w:numPr>
              <w:contextualSpacing/>
              <w:rPr>
                <w:rFonts w:ascii="Calibri" w:hAnsi="Calibri"/>
                <w:b/>
                <w:sz w:val="22"/>
              </w:rPr>
            </w:pPr>
          </w:p>
        </w:tc>
        <w:tc>
          <w:tcPr>
            <w:tcW w:w="8703" w:type="dxa"/>
          </w:tcPr>
          <w:p w14:paraId="084C7C4A" w14:textId="77777777" w:rsidR="00182D94" w:rsidRPr="00182D94" w:rsidRDefault="00182D94" w:rsidP="00182D94">
            <w:pPr>
              <w:rPr>
                <w:rFonts w:asciiTheme="majorHAnsi" w:hAnsiTheme="majorHAnsi"/>
                <w:sz w:val="22"/>
                <w:szCs w:val="22"/>
              </w:rPr>
            </w:pPr>
          </w:p>
          <w:p w14:paraId="7948CE1D" w14:textId="77777777" w:rsidR="00182D94" w:rsidRPr="00182D94" w:rsidRDefault="00182D94" w:rsidP="00182D94">
            <w:pPr>
              <w:rPr>
                <w:rFonts w:asciiTheme="majorHAnsi" w:hAnsiTheme="majorHAnsi"/>
                <w:sz w:val="22"/>
                <w:szCs w:val="22"/>
              </w:rPr>
            </w:pPr>
            <w:r w:rsidRPr="00182D94">
              <w:rPr>
                <w:rFonts w:asciiTheme="majorHAnsi" w:hAnsiTheme="majorHAnsi"/>
                <w:sz w:val="22"/>
                <w:szCs w:val="22"/>
              </w:rPr>
              <w:t>The proposed policy appears to add additional steps and layers to the process that were not recommended or otherwise contemplated by the Working Group, and as such, may have negative unintended consequences on various stakeholders, such as registries, registrars and registrants. (For example, the proposed policy incorporates another confirmation/approval step beyond the transmission of the credentials, which was not recommended by the Working Group, and may add unnecessary restrictions and complexity to the process.)</w:t>
            </w:r>
          </w:p>
          <w:p w14:paraId="79182751" w14:textId="77777777" w:rsidR="007C1B96" w:rsidRPr="00FC0D0E" w:rsidRDefault="007C1B96" w:rsidP="00FD5E93">
            <w:pPr>
              <w:pStyle w:val="ListParagraph"/>
              <w:ind w:left="0"/>
              <w:rPr>
                <w:rFonts w:ascii="Calibri" w:eastAsia="Times New Roman" w:hAnsi="Calibri"/>
                <w:sz w:val="22"/>
                <w:szCs w:val="22"/>
              </w:rPr>
            </w:pPr>
          </w:p>
        </w:tc>
        <w:tc>
          <w:tcPr>
            <w:tcW w:w="1668" w:type="dxa"/>
          </w:tcPr>
          <w:p w14:paraId="2EA94723" w14:textId="77777777" w:rsidR="007C1B96" w:rsidRDefault="00182D94" w:rsidP="00FD5E93">
            <w:pPr>
              <w:contextualSpacing/>
              <w:rPr>
                <w:rFonts w:ascii="Calibri" w:hAnsi="Calibri"/>
                <w:sz w:val="22"/>
              </w:rPr>
            </w:pPr>
            <w:r>
              <w:rPr>
                <w:rFonts w:ascii="Calibri" w:hAnsi="Calibri"/>
                <w:sz w:val="22"/>
              </w:rPr>
              <w:t>NameJet</w:t>
            </w:r>
          </w:p>
        </w:tc>
        <w:tc>
          <w:tcPr>
            <w:tcW w:w="3102" w:type="dxa"/>
          </w:tcPr>
          <w:p w14:paraId="2F1AD52B" w14:textId="77777777" w:rsidR="007C1B96" w:rsidRPr="009203EA" w:rsidRDefault="007C1B96" w:rsidP="00FD5E93">
            <w:pPr>
              <w:contextualSpacing/>
              <w:rPr>
                <w:rFonts w:ascii="Calibri" w:hAnsi="Calibri"/>
                <w:sz w:val="22"/>
              </w:rPr>
            </w:pPr>
          </w:p>
        </w:tc>
        <w:tc>
          <w:tcPr>
            <w:tcW w:w="264" w:type="dxa"/>
          </w:tcPr>
          <w:p w14:paraId="3370A917" w14:textId="77777777" w:rsidR="007C1B96" w:rsidRPr="009203EA" w:rsidRDefault="007C1B96" w:rsidP="00FD5E93">
            <w:pPr>
              <w:contextualSpacing/>
              <w:rPr>
                <w:rFonts w:ascii="Calibri" w:hAnsi="Calibri"/>
                <w:b/>
                <w:sz w:val="22"/>
              </w:rPr>
            </w:pPr>
          </w:p>
        </w:tc>
      </w:tr>
      <w:tr w:rsidR="004840D0" w:rsidRPr="009203EA" w14:paraId="49588CAA" w14:textId="77777777" w:rsidTr="004840D0">
        <w:trPr>
          <w:gridAfter w:val="1"/>
          <w:wAfter w:w="10" w:type="dxa"/>
          <w:cantSplit/>
        </w:trPr>
        <w:tc>
          <w:tcPr>
            <w:tcW w:w="675" w:type="dxa"/>
          </w:tcPr>
          <w:p w14:paraId="00487672" w14:textId="77777777" w:rsidR="007C1B96" w:rsidRPr="009203EA" w:rsidRDefault="007C1B96" w:rsidP="00FD5E93">
            <w:pPr>
              <w:numPr>
                <w:ilvl w:val="0"/>
                <w:numId w:val="1"/>
              </w:numPr>
              <w:contextualSpacing/>
              <w:rPr>
                <w:rFonts w:ascii="Calibri" w:hAnsi="Calibri"/>
                <w:b/>
                <w:sz w:val="22"/>
              </w:rPr>
            </w:pPr>
          </w:p>
        </w:tc>
        <w:tc>
          <w:tcPr>
            <w:tcW w:w="8703" w:type="dxa"/>
          </w:tcPr>
          <w:p w14:paraId="76F4B0C7" w14:textId="77777777" w:rsidR="00182D94" w:rsidRPr="00182D94" w:rsidRDefault="00182D94" w:rsidP="00182D94">
            <w:pPr>
              <w:rPr>
                <w:rFonts w:asciiTheme="majorHAnsi" w:hAnsiTheme="majorHAnsi"/>
                <w:sz w:val="22"/>
                <w:szCs w:val="22"/>
              </w:rPr>
            </w:pPr>
            <w:r w:rsidRPr="00182D94">
              <w:rPr>
                <w:rFonts w:asciiTheme="majorHAnsi" w:hAnsiTheme="majorHAnsi"/>
                <w:sz w:val="22"/>
                <w:szCs w:val="22"/>
              </w:rPr>
              <w:t xml:space="preserve">The rigid implementation of consent requirements would give a poor experience for registrants. A more flexible approach would be: “Registrars must obtain and record evidence of consent from both the previous and new Registrants.” </w:t>
            </w:r>
          </w:p>
          <w:p w14:paraId="242EB96F" w14:textId="77777777" w:rsidR="007C1B96" w:rsidRPr="001D5EB5" w:rsidRDefault="007C1B96" w:rsidP="00FD5E93">
            <w:pPr>
              <w:pStyle w:val="ListParagraph"/>
              <w:ind w:left="0"/>
              <w:rPr>
                <w:rFonts w:ascii="Calibri" w:eastAsia="Times New Roman" w:hAnsi="Calibri"/>
                <w:color w:val="000000"/>
                <w:sz w:val="22"/>
                <w:szCs w:val="22"/>
              </w:rPr>
            </w:pPr>
          </w:p>
        </w:tc>
        <w:tc>
          <w:tcPr>
            <w:tcW w:w="1668" w:type="dxa"/>
          </w:tcPr>
          <w:p w14:paraId="2F8C91D8" w14:textId="77777777" w:rsidR="007C1B96" w:rsidRDefault="00182D94" w:rsidP="00FD5E93">
            <w:pPr>
              <w:contextualSpacing/>
              <w:rPr>
                <w:rFonts w:ascii="Calibri" w:hAnsi="Calibri"/>
                <w:sz w:val="22"/>
              </w:rPr>
            </w:pPr>
            <w:r>
              <w:rPr>
                <w:rFonts w:ascii="Calibri" w:hAnsi="Calibri"/>
                <w:sz w:val="22"/>
              </w:rPr>
              <w:t>Rr Stakeholder Group</w:t>
            </w:r>
          </w:p>
        </w:tc>
        <w:tc>
          <w:tcPr>
            <w:tcW w:w="3102" w:type="dxa"/>
          </w:tcPr>
          <w:p w14:paraId="3EC3DFFD" w14:textId="77777777" w:rsidR="007C1B96" w:rsidRPr="009203EA" w:rsidRDefault="007C1B96" w:rsidP="00FD5E93">
            <w:pPr>
              <w:contextualSpacing/>
              <w:rPr>
                <w:rFonts w:ascii="Calibri" w:hAnsi="Calibri"/>
                <w:sz w:val="22"/>
              </w:rPr>
            </w:pPr>
          </w:p>
        </w:tc>
        <w:tc>
          <w:tcPr>
            <w:tcW w:w="264" w:type="dxa"/>
          </w:tcPr>
          <w:p w14:paraId="7B74C28D" w14:textId="77777777" w:rsidR="007C1B96" w:rsidRPr="009203EA" w:rsidRDefault="007C1B96" w:rsidP="00FD5E93">
            <w:pPr>
              <w:contextualSpacing/>
              <w:rPr>
                <w:rFonts w:ascii="Calibri" w:hAnsi="Calibri"/>
                <w:b/>
                <w:sz w:val="22"/>
              </w:rPr>
            </w:pPr>
          </w:p>
        </w:tc>
      </w:tr>
      <w:tr w:rsidR="004840D0" w:rsidRPr="009203EA" w14:paraId="52B94969" w14:textId="77777777" w:rsidTr="004840D0">
        <w:trPr>
          <w:gridAfter w:val="1"/>
          <w:wAfter w:w="10" w:type="dxa"/>
          <w:cantSplit/>
        </w:trPr>
        <w:tc>
          <w:tcPr>
            <w:tcW w:w="675" w:type="dxa"/>
          </w:tcPr>
          <w:p w14:paraId="65192FE5" w14:textId="77777777" w:rsidR="007C1B96" w:rsidRPr="009203EA" w:rsidRDefault="007C1B96" w:rsidP="00FD5E93">
            <w:pPr>
              <w:numPr>
                <w:ilvl w:val="0"/>
                <w:numId w:val="1"/>
              </w:numPr>
              <w:contextualSpacing/>
              <w:rPr>
                <w:rFonts w:ascii="Calibri" w:hAnsi="Calibri"/>
                <w:b/>
                <w:sz w:val="22"/>
              </w:rPr>
            </w:pPr>
          </w:p>
        </w:tc>
        <w:tc>
          <w:tcPr>
            <w:tcW w:w="8703" w:type="dxa"/>
          </w:tcPr>
          <w:p w14:paraId="124F51BD" w14:textId="77777777" w:rsidR="00182D94" w:rsidRDefault="00182D94" w:rsidP="00182D94">
            <w:pPr>
              <w:rPr>
                <w:rFonts w:asciiTheme="majorHAnsi" w:hAnsiTheme="majorHAnsi"/>
                <w:sz w:val="22"/>
                <w:szCs w:val="22"/>
              </w:rPr>
            </w:pPr>
            <w:r w:rsidRPr="00182D94">
              <w:rPr>
                <w:rFonts w:asciiTheme="majorHAnsi" w:hAnsiTheme="majorHAnsi"/>
                <w:sz w:val="22"/>
                <w:szCs w:val="22"/>
              </w:rPr>
              <w:t>RySG is concerned that the definition of “Change of Registrant Credential” is overly narrow and may not give registrars the latitude and flexibility to implement more streamlined and effective means by which to gain authorization to change the registrant.</w:t>
            </w:r>
          </w:p>
          <w:p w14:paraId="07FF8892" w14:textId="77777777" w:rsidR="00182D94" w:rsidRPr="00182D94" w:rsidRDefault="00182D94" w:rsidP="00182D94">
            <w:pPr>
              <w:rPr>
                <w:rFonts w:asciiTheme="majorHAnsi" w:hAnsiTheme="majorHAnsi"/>
                <w:sz w:val="22"/>
                <w:szCs w:val="22"/>
              </w:rPr>
            </w:pPr>
          </w:p>
          <w:p w14:paraId="7126F266" w14:textId="77777777" w:rsidR="007C1B96" w:rsidRPr="00182D94" w:rsidRDefault="007C1B96" w:rsidP="00FD5E93">
            <w:pPr>
              <w:pStyle w:val="ListParagraph"/>
              <w:ind w:left="0"/>
              <w:rPr>
                <w:rFonts w:asciiTheme="majorHAnsi" w:eastAsia="Times New Roman" w:hAnsiTheme="majorHAnsi"/>
                <w:color w:val="000000"/>
                <w:sz w:val="22"/>
                <w:szCs w:val="22"/>
              </w:rPr>
            </w:pPr>
          </w:p>
        </w:tc>
        <w:tc>
          <w:tcPr>
            <w:tcW w:w="1668" w:type="dxa"/>
          </w:tcPr>
          <w:p w14:paraId="7E2E1715" w14:textId="77777777" w:rsidR="007C1B96" w:rsidRDefault="00182D94" w:rsidP="00FD5E93">
            <w:pPr>
              <w:contextualSpacing/>
              <w:rPr>
                <w:rFonts w:ascii="Calibri" w:hAnsi="Calibri"/>
                <w:sz w:val="22"/>
              </w:rPr>
            </w:pPr>
            <w:r>
              <w:rPr>
                <w:rFonts w:ascii="Calibri" w:hAnsi="Calibri"/>
                <w:sz w:val="22"/>
              </w:rPr>
              <w:t>Ry Stakeholder Group</w:t>
            </w:r>
          </w:p>
        </w:tc>
        <w:tc>
          <w:tcPr>
            <w:tcW w:w="3102" w:type="dxa"/>
          </w:tcPr>
          <w:p w14:paraId="49386D5A" w14:textId="77777777" w:rsidR="007C1B96" w:rsidRPr="009203EA" w:rsidRDefault="007C1B96" w:rsidP="00FD5E93">
            <w:pPr>
              <w:contextualSpacing/>
              <w:rPr>
                <w:rFonts w:ascii="Calibri" w:hAnsi="Calibri"/>
                <w:sz w:val="22"/>
              </w:rPr>
            </w:pPr>
          </w:p>
        </w:tc>
        <w:tc>
          <w:tcPr>
            <w:tcW w:w="264" w:type="dxa"/>
          </w:tcPr>
          <w:p w14:paraId="14C7DEC1" w14:textId="77777777" w:rsidR="007C1B96" w:rsidRPr="009203EA" w:rsidRDefault="007C1B96" w:rsidP="00FD5E93">
            <w:pPr>
              <w:contextualSpacing/>
              <w:rPr>
                <w:rFonts w:ascii="Calibri" w:hAnsi="Calibri"/>
                <w:b/>
                <w:sz w:val="22"/>
              </w:rPr>
            </w:pPr>
          </w:p>
        </w:tc>
      </w:tr>
      <w:tr w:rsidR="004840D0" w:rsidRPr="009203EA" w14:paraId="490ACBDE" w14:textId="77777777" w:rsidTr="004840D0">
        <w:trPr>
          <w:gridAfter w:val="1"/>
          <w:wAfter w:w="10" w:type="dxa"/>
          <w:cantSplit/>
        </w:trPr>
        <w:tc>
          <w:tcPr>
            <w:tcW w:w="675" w:type="dxa"/>
          </w:tcPr>
          <w:p w14:paraId="29421CEF" w14:textId="77777777" w:rsidR="00182D94" w:rsidRPr="009203EA" w:rsidRDefault="00182D94" w:rsidP="00FD5E93">
            <w:pPr>
              <w:numPr>
                <w:ilvl w:val="0"/>
                <w:numId w:val="1"/>
              </w:numPr>
              <w:contextualSpacing/>
              <w:rPr>
                <w:rFonts w:ascii="Calibri" w:hAnsi="Calibri"/>
                <w:b/>
                <w:sz w:val="22"/>
              </w:rPr>
            </w:pPr>
          </w:p>
        </w:tc>
        <w:tc>
          <w:tcPr>
            <w:tcW w:w="8703" w:type="dxa"/>
          </w:tcPr>
          <w:p w14:paraId="685CC3DB" w14:textId="77777777" w:rsidR="00182D94" w:rsidRPr="00182D94" w:rsidRDefault="00182D94" w:rsidP="00182D94">
            <w:pPr>
              <w:rPr>
                <w:rFonts w:asciiTheme="majorHAnsi" w:hAnsiTheme="majorHAnsi"/>
                <w:sz w:val="22"/>
                <w:szCs w:val="22"/>
              </w:rPr>
            </w:pPr>
            <w:r w:rsidRPr="00182D94">
              <w:rPr>
                <w:rFonts w:asciiTheme="majorHAnsi" w:hAnsiTheme="majorHAnsi"/>
                <w:sz w:val="22"/>
                <w:szCs w:val="22"/>
              </w:rPr>
              <w:t>Against the COR credential: it’s unclear how a registrant would receive this authorization code; why such a credential is any more secure (or immune to hijacking) than any other data field in a customer account</w:t>
            </w:r>
          </w:p>
        </w:tc>
        <w:tc>
          <w:tcPr>
            <w:tcW w:w="1668" w:type="dxa"/>
          </w:tcPr>
          <w:p w14:paraId="49D289E4" w14:textId="77777777" w:rsidR="00182D94" w:rsidRDefault="00182D94" w:rsidP="00FD5E93">
            <w:pPr>
              <w:contextualSpacing/>
              <w:rPr>
                <w:rFonts w:ascii="Calibri" w:hAnsi="Calibri"/>
                <w:sz w:val="22"/>
              </w:rPr>
            </w:pPr>
            <w:r>
              <w:rPr>
                <w:rFonts w:ascii="Calibri" w:hAnsi="Calibri"/>
                <w:sz w:val="22"/>
              </w:rPr>
              <w:t>Donuts</w:t>
            </w:r>
          </w:p>
        </w:tc>
        <w:tc>
          <w:tcPr>
            <w:tcW w:w="3102" w:type="dxa"/>
          </w:tcPr>
          <w:p w14:paraId="2D00C7CC" w14:textId="77777777" w:rsidR="00182D94" w:rsidRPr="009203EA" w:rsidRDefault="00182D94" w:rsidP="00FD5E93">
            <w:pPr>
              <w:contextualSpacing/>
              <w:rPr>
                <w:rFonts w:ascii="Calibri" w:hAnsi="Calibri"/>
                <w:sz w:val="22"/>
              </w:rPr>
            </w:pPr>
          </w:p>
        </w:tc>
        <w:tc>
          <w:tcPr>
            <w:tcW w:w="264" w:type="dxa"/>
          </w:tcPr>
          <w:p w14:paraId="11FD9A07" w14:textId="77777777" w:rsidR="00182D94" w:rsidRPr="009203EA" w:rsidRDefault="00182D94" w:rsidP="00FD5E93">
            <w:pPr>
              <w:contextualSpacing/>
              <w:rPr>
                <w:rFonts w:ascii="Calibri" w:hAnsi="Calibri"/>
                <w:b/>
                <w:sz w:val="22"/>
              </w:rPr>
            </w:pPr>
          </w:p>
        </w:tc>
      </w:tr>
      <w:tr w:rsidR="004840D0" w:rsidRPr="009203EA" w14:paraId="1C605D4A" w14:textId="77777777" w:rsidTr="004840D0">
        <w:trPr>
          <w:gridAfter w:val="1"/>
          <w:wAfter w:w="10" w:type="dxa"/>
          <w:cantSplit/>
        </w:trPr>
        <w:tc>
          <w:tcPr>
            <w:tcW w:w="675" w:type="dxa"/>
          </w:tcPr>
          <w:p w14:paraId="3E3BEEDF" w14:textId="77777777" w:rsidR="00182D94" w:rsidRPr="009203EA" w:rsidRDefault="00182D94" w:rsidP="00FD5E93">
            <w:pPr>
              <w:numPr>
                <w:ilvl w:val="0"/>
                <w:numId w:val="1"/>
              </w:numPr>
              <w:contextualSpacing/>
              <w:rPr>
                <w:rFonts w:ascii="Calibri" w:hAnsi="Calibri"/>
                <w:b/>
                <w:sz w:val="22"/>
              </w:rPr>
            </w:pPr>
          </w:p>
        </w:tc>
        <w:tc>
          <w:tcPr>
            <w:tcW w:w="8703" w:type="dxa"/>
          </w:tcPr>
          <w:p w14:paraId="1C47B815" w14:textId="77777777" w:rsidR="00182D94" w:rsidRPr="00182D94" w:rsidRDefault="00182D94" w:rsidP="00182D94">
            <w:pPr>
              <w:rPr>
                <w:rFonts w:asciiTheme="majorHAnsi" w:hAnsiTheme="majorHAnsi"/>
                <w:sz w:val="22"/>
                <w:szCs w:val="22"/>
              </w:rPr>
            </w:pPr>
            <w:r w:rsidRPr="00182D94">
              <w:rPr>
                <w:rFonts w:asciiTheme="majorHAnsi" w:hAnsiTheme="majorHAnsi"/>
                <w:sz w:val="22"/>
                <w:szCs w:val="22"/>
              </w:rPr>
              <w:t>Change of Registrant Process: The implementation as written calls for a Unique PIN, password, string or code that is transmitted to both prior registrant and the new registrant for both to approve.  We believe this process should be left to the discretion of the registrar.  The current system where a registrant needs to login to their control panel or contact a customer service representative is sufficient for a registrant change. We would welcome a recommendation from ICANN that registrars implement better security measures, such as two factor authentication, but believe these should be recommendations with specific implementation decided by the registrars.</w:t>
            </w:r>
          </w:p>
          <w:p w14:paraId="066DB3A8" w14:textId="77777777" w:rsidR="00182D94" w:rsidRPr="00182D94" w:rsidRDefault="00182D94" w:rsidP="00182D94">
            <w:pPr>
              <w:rPr>
                <w:rFonts w:asciiTheme="majorHAnsi" w:hAnsiTheme="majorHAnsi"/>
                <w:sz w:val="22"/>
                <w:szCs w:val="22"/>
              </w:rPr>
            </w:pPr>
          </w:p>
        </w:tc>
        <w:tc>
          <w:tcPr>
            <w:tcW w:w="1668" w:type="dxa"/>
          </w:tcPr>
          <w:p w14:paraId="3991E616" w14:textId="77777777" w:rsidR="00182D94" w:rsidRDefault="00182D94" w:rsidP="00FD5E93">
            <w:pPr>
              <w:contextualSpacing/>
              <w:rPr>
                <w:rFonts w:ascii="Calibri" w:hAnsi="Calibri"/>
                <w:sz w:val="22"/>
              </w:rPr>
            </w:pPr>
            <w:r>
              <w:rPr>
                <w:rFonts w:ascii="Calibri" w:hAnsi="Calibri"/>
                <w:sz w:val="22"/>
              </w:rPr>
              <w:t>eNom</w:t>
            </w:r>
          </w:p>
        </w:tc>
        <w:tc>
          <w:tcPr>
            <w:tcW w:w="3102" w:type="dxa"/>
          </w:tcPr>
          <w:p w14:paraId="2D349A5B" w14:textId="77777777" w:rsidR="00182D94" w:rsidRPr="009203EA" w:rsidRDefault="00182D94" w:rsidP="00FD5E93">
            <w:pPr>
              <w:contextualSpacing/>
              <w:rPr>
                <w:rFonts w:ascii="Calibri" w:hAnsi="Calibri"/>
                <w:sz w:val="22"/>
              </w:rPr>
            </w:pPr>
          </w:p>
        </w:tc>
        <w:tc>
          <w:tcPr>
            <w:tcW w:w="264" w:type="dxa"/>
          </w:tcPr>
          <w:p w14:paraId="56127005" w14:textId="77777777" w:rsidR="00182D94" w:rsidRPr="009203EA" w:rsidRDefault="00182D94" w:rsidP="00FD5E93">
            <w:pPr>
              <w:contextualSpacing/>
              <w:rPr>
                <w:rFonts w:ascii="Calibri" w:hAnsi="Calibri"/>
                <w:b/>
                <w:sz w:val="22"/>
              </w:rPr>
            </w:pPr>
          </w:p>
        </w:tc>
      </w:tr>
      <w:tr w:rsidR="004840D0" w:rsidRPr="009203EA" w14:paraId="729C0A0A" w14:textId="77777777" w:rsidTr="004840D0">
        <w:trPr>
          <w:gridAfter w:val="1"/>
          <w:wAfter w:w="10" w:type="dxa"/>
          <w:cantSplit/>
        </w:trPr>
        <w:tc>
          <w:tcPr>
            <w:tcW w:w="675" w:type="dxa"/>
          </w:tcPr>
          <w:p w14:paraId="37E7A1D2" w14:textId="77777777" w:rsidR="00182D94" w:rsidRPr="009203EA" w:rsidRDefault="00182D94" w:rsidP="00FD5E93">
            <w:pPr>
              <w:numPr>
                <w:ilvl w:val="0"/>
                <w:numId w:val="1"/>
              </w:numPr>
              <w:contextualSpacing/>
              <w:rPr>
                <w:rFonts w:ascii="Calibri" w:hAnsi="Calibri"/>
                <w:b/>
                <w:sz w:val="22"/>
              </w:rPr>
            </w:pPr>
          </w:p>
        </w:tc>
        <w:tc>
          <w:tcPr>
            <w:tcW w:w="8703" w:type="dxa"/>
          </w:tcPr>
          <w:p w14:paraId="4C37C922" w14:textId="77777777" w:rsidR="00182D94" w:rsidRPr="00182D94" w:rsidRDefault="00182D94" w:rsidP="00182D94">
            <w:pPr>
              <w:rPr>
                <w:rFonts w:asciiTheme="majorHAnsi" w:hAnsiTheme="majorHAnsi"/>
                <w:sz w:val="22"/>
                <w:szCs w:val="22"/>
                <w:highlight w:val="cyan"/>
              </w:rPr>
            </w:pPr>
            <w:r w:rsidRPr="00182D94">
              <w:rPr>
                <w:rFonts w:asciiTheme="majorHAnsi" w:hAnsiTheme="majorHAnsi"/>
                <w:sz w:val="22"/>
                <w:szCs w:val="22"/>
              </w:rPr>
              <w:t>Change of Registrant Credential- The process for transmitting the change of registrant credential should be open to alternative methods as long as they are secure.  We suggest that the IRTP-C IRT rethink the implementation of the “change of registrant credential”.</w:t>
            </w:r>
          </w:p>
          <w:p w14:paraId="132C0102" w14:textId="77777777" w:rsidR="00182D94" w:rsidRPr="00182D94" w:rsidRDefault="00182D94" w:rsidP="00182D94">
            <w:pPr>
              <w:rPr>
                <w:rFonts w:asciiTheme="majorHAnsi" w:hAnsiTheme="majorHAnsi"/>
                <w:sz w:val="22"/>
                <w:szCs w:val="22"/>
              </w:rPr>
            </w:pPr>
          </w:p>
        </w:tc>
        <w:tc>
          <w:tcPr>
            <w:tcW w:w="1668" w:type="dxa"/>
          </w:tcPr>
          <w:p w14:paraId="1A2F7389" w14:textId="77777777" w:rsidR="00182D94" w:rsidRDefault="00182D94" w:rsidP="00FD5E93">
            <w:pPr>
              <w:contextualSpacing/>
              <w:rPr>
                <w:rFonts w:ascii="Calibri" w:hAnsi="Calibri"/>
                <w:sz w:val="22"/>
              </w:rPr>
            </w:pPr>
            <w:r>
              <w:rPr>
                <w:rFonts w:ascii="Calibri" w:hAnsi="Calibri"/>
                <w:sz w:val="22"/>
              </w:rPr>
              <w:t>BC</w:t>
            </w:r>
          </w:p>
        </w:tc>
        <w:tc>
          <w:tcPr>
            <w:tcW w:w="3102" w:type="dxa"/>
          </w:tcPr>
          <w:p w14:paraId="296FFF06" w14:textId="77777777" w:rsidR="00182D94" w:rsidRPr="009203EA" w:rsidRDefault="00182D94" w:rsidP="00FD5E93">
            <w:pPr>
              <w:contextualSpacing/>
              <w:rPr>
                <w:rFonts w:ascii="Calibri" w:hAnsi="Calibri"/>
                <w:sz w:val="22"/>
              </w:rPr>
            </w:pPr>
          </w:p>
        </w:tc>
        <w:tc>
          <w:tcPr>
            <w:tcW w:w="264" w:type="dxa"/>
          </w:tcPr>
          <w:p w14:paraId="4897621F" w14:textId="77777777" w:rsidR="00182D94" w:rsidRPr="009203EA" w:rsidRDefault="00182D94" w:rsidP="00FD5E93">
            <w:pPr>
              <w:contextualSpacing/>
              <w:rPr>
                <w:rFonts w:ascii="Calibri" w:hAnsi="Calibri"/>
                <w:b/>
                <w:sz w:val="22"/>
              </w:rPr>
            </w:pPr>
          </w:p>
        </w:tc>
      </w:tr>
      <w:tr w:rsidR="004840D0" w:rsidRPr="009203EA" w14:paraId="7C94BFF9" w14:textId="77777777" w:rsidTr="004840D0">
        <w:trPr>
          <w:gridAfter w:val="1"/>
          <w:wAfter w:w="10" w:type="dxa"/>
          <w:cantSplit/>
        </w:trPr>
        <w:tc>
          <w:tcPr>
            <w:tcW w:w="675" w:type="dxa"/>
          </w:tcPr>
          <w:p w14:paraId="673A061C" w14:textId="77777777" w:rsidR="00182D94" w:rsidRPr="009203EA" w:rsidRDefault="00182D94" w:rsidP="00FD5E93">
            <w:pPr>
              <w:numPr>
                <w:ilvl w:val="0"/>
                <w:numId w:val="1"/>
              </w:numPr>
              <w:contextualSpacing/>
              <w:rPr>
                <w:rFonts w:ascii="Calibri" w:hAnsi="Calibri"/>
                <w:b/>
                <w:sz w:val="22"/>
              </w:rPr>
            </w:pPr>
          </w:p>
        </w:tc>
        <w:tc>
          <w:tcPr>
            <w:tcW w:w="8703" w:type="dxa"/>
          </w:tcPr>
          <w:p w14:paraId="38095057" w14:textId="77777777" w:rsidR="00182D94" w:rsidRPr="00182D94" w:rsidRDefault="00182D94" w:rsidP="00182D94">
            <w:pPr>
              <w:rPr>
                <w:rFonts w:asciiTheme="majorHAnsi" w:hAnsiTheme="majorHAnsi"/>
                <w:sz w:val="22"/>
                <w:szCs w:val="22"/>
              </w:rPr>
            </w:pPr>
            <w:r w:rsidRPr="00182D94">
              <w:rPr>
                <w:rFonts w:asciiTheme="majorHAnsi" w:hAnsiTheme="majorHAnsi"/>
                <w:sz w:val="22"/>
                <w:szCs w:val="22"/>
              </w:rPr>
              <w:t>The current approach to “Change of Registrant Credentials” is overly narrow and does not minimize the risk of hijacking. “Shared secret” is not the best way. “A registrar might seek to have a registrant authorize the transfer by use of two-factor authentication or through the use of a digital certificate.”  Suggestion: Remove the concept of “change of registrant credential” entirely and edit II.3.2(a) to read: to obtain the requisite confirmation, the Registrar must use a secure mechanism to confirm that each of the Prior Registrant and the New Registrant approves the change.</w:t>
            </w:r>
          </w:p>
          <w:p w14:paraId="585BF039" w14:textId="77777777" w:rsidR="00182D94" w:rsidRPr="00182D94" w:rsidRDefault="00182D94" w:rsidP="00182D94">
            <w:pPr>
              <w:rPr>
                <w:rFonts w:asciiTheme="majorHAnsi" w:hAnsiTheme="majorHAnsi"/>
                <w:sz w:val="22"/>
                <w:szCs w:val="22"/>
              </w:rPr>
            </w:pPr>
          </w:p>
        </w:tc>
        <w:tc>
          <w:tcPr>
            <w:tcW w:w="1668" w:type="dxa"/>
          </w:tcPr>
          <w:p w14:paraId="5A1B93A5" w14:textId="77777777" w:rsidR="00182D94" w:rsidRDefault="00182D94" w:rsidP="00FD5E93">
            <w:pPr>
              <w:contextualSpacing/>
              <w:rPr>
                <w:rFonts w:ascii="Calibri" w:hAnsi="Calibri"/>
                <w:sz w:val="22"/>
              </w:rPr>
            </w:pPr>
            <w:r>
              <w:rPr>
                <w:rFonts w:ascii="Calibri" w:hAnsi="Calibri"/>
                <w:sz w:val="22"/>
              </w:rPr>
              <w:t>Google</w:t>
            </w:r>
          </w:p>
        </w:tc>
        <w:tc>
          <w:tcPr>
            <w:tcW w:w="3102" w:type="dxa"/>
          </w:tcPr>
          <w:p w14:paraId="6EFC1215" w14:textId="77777777" w:rsidR="00182D94" w:rsidRPr="009203EA" w:rsidRDefault="00182D94" w:rsidP="00FD5E93">
            <w:pPr>
              <w:contextualSpacing/>
              <w:rPr>
                <w:rFonts w:ascii="Calibri" w:hAnsi="Calibri"/>
                <w:sz w:val="22"/>
              </w:rPr>
            </w:pPr>
          </w:p>
        </w:tc>
        <w:tc>
          <w:tcPr>
            <w:tcW w:w="264" w:type="dxa"/>
          </w:tcPr>
          <w:p w14:paraId="574E941B" w14:textId="77777777" w:rsidR="00182D94" w:rsidRPr="009203EA" w:rsidRDefault="00182D94" w:rsidP="00FD5E93">
            <w:pPr>
              <w:contextualSpacing/>
              <w:rPr>
                <w:rFonts w:ascii="Calibri" w:hAnsi="Calibri"/>
                <w:b/>
                <w:sz w:val="22"/>
              </w:rPr>
            </w:pPr>
          </w:p>
        </w:tc>
      </w:tr>
      <w:tr w:rsidR="007C1B96" w:rsidRPr="009203EA" w14:paraId="5E33B25F" w14:textId="77777777" w:rsidTr="004840D0">
        <w:trPr>
          <w:cantSplit/>
        </w:trPr>
        <w:tc>
          <w:tcPr>
            <w:tcW w:w="14422" w:type="dxa"/>
            <w:gridSpan w:val="6"/>
            <w:shd w:val="clear" w:color="auto" w:fill="E0E0E0"/>
          </w:tcPr>
          <w:p w14:paraId="425F5459" w14:textId="77777777" w:rsidR="007C1B96" w:rsidRPr="009203EA" w:rsidRDefault="007C1B96" w:rsidP="00C22FA7">
            <w:pPr>
              <w:keepNext/>
              <w:contextualSpacing/>
              <w:rPr>
                <w:rFonts w:ascii="Calibri" w:hAnsi="Calibri"/>
                <w:b/>
                <w:sz w:val="22"/>
                <w:szCs w:val="22"/>
              </w:rPr>
            </w:pPr>
            <w:r>
              <w:rPr>
                <w:rFonts w:ascii="Calibri" w:hAnsi="Calibri"/>
                <w:b/>
                <w:sz w:val="22"/>
                <w:szCs w:val="22"/>
              </w:rPr>
              <w:t xml:space="preserve">Related to </w:t>
            </w:r>
            <w:r w:rsidR="00C22FA7">
              <w:rPr>
                <w:rFonts w:ascii="Calibri" w:hAnsi="Calibri"/>
                <w:b/>
                <w:sz w:val="22"/>
                <w:szCs w:val="22"/>
              </w:rPr>
              <w:t>Names that should be exempt from COR</w:t>
            </w:r>
          </w:p>
        </w:tc>
      </w:tr>
      <w:tr w:rsidR="004840D0" w:rsidRPr="009203EA" w14:paraId="1A913989" w14:textId="77777777" w:rsidTr="004840D0">
        <w:trPr>
          <w:gridAfter w:val="1"/>
          <w:wAfter w:w="10" w:type="dxa"/>
          <w:cantSplit/>
          <w:trHeight w:val="2501"/>
        </w:trPr>
        <w:tc>
          <w:tcPr>
            <w:tcW w:w="675" w:type="dxa"/>
          </w:tcPr>
          <w:p w14:paraId="004ED0C4" w14:textId="77777777" w:rsidR="007C1B96" w:rsidRPr="009203EA" w:rsidRDefault="007C1B96" w:rsidP="00FD5E93">
            <w:pPr>
              <w:keepNext/>
              <w:numPr>
                <w:ilvl w:val="0"/>
                <w:numId w:val="1"/>
              </w:numPr>
              <w:contextualSpacing/>
              <w:rPr>
                <w:rFonts w:ascii="Calibri" w:hAnsi="Calibri"/>
                <w:b/>
                <w:sz w:val="22"/>
              </w:rPr>
            </w:pPr>
          </w:p>
        </w:tc>
        <w:tc>
          <w:tcPr>
            <w:tcW w:w="8703" w:type="dxa"/>
          </w:tcPr>
          <w:p w14:paraId="6AAB920B" w14:textId="77777777" w:rsidR="00C22FA7" w:rsidRPr="00C22FA7" w:rsidRDefault="00C22FA7" w:rsidP="00C22FA7">
            <w:pPr>
              <w:rPr>
                <w:rFonts w:asciiTheme="majorHAnsi" w:hAnsiTheme="majorHAnsi"/>
                <w:sz w:val="22"/>
                <w:szCs w:val="22"/>
              </w:rPr>
            </w:pPr>
            <w:r w:rsidRPr="00C22FA7">
              <w:rPr>
                <w:rFonts w:asciiTheme="majorHAnsi" w:hAnsiTheme="majorHAnsi"/>
                <w:sz w:val="22"/>
                <w:szCs w:val="22"/>
              </w:rPr>
              <w:t>The policy does not sufficiently address change of registrants resulting from court order action, decisions by UDRP or other administrative proceedings, law enforcement actions, settlements, fraud or abuse. We recommend that this Plan be modified to explicitly state that consent is not required for change of registrant resulting from these scenarios.</w:t>
            </w:r>
          </w:p>
          <w:p w14:paraId="530E9B98" w14:textId="77777777" w:rsidR="007C1B96" w:rsidRPr="00E3587C" w:rsidRDefault="007C1B96" w:rsidP="00FD5E93">
            <w:pPr>
              <w:pStyle w:val="ListParagraph"/>
              <w:keepNext/>
              <w:ind w:left="0"/>
              <w:rPr>
                <w:rFonts w:ascii="Calibri" w:hAnsi="Calibri"/>
                <w:sz w:val="22"/>
              </w:rPr>
            </w:pPr>
          </w:p>
        </w:tc>
        <w:tc>
          <w:tcPr>
            <w:tcW w:w="1668" w:type="dxa"/>
          </w:tcPr>
          <w:p w14:paraId="7273F826" w14:textId="77777777" w:rsidR="007C1B96" w:rsidRPr="009203EA" w:rsidRDefault="00C22FA7" w:rsidP="00FD5E93">
            <w:pPr>
              <w:keepNext/>
              <w:contextualSpacing/>
              <w:rPr>
                <w:rFonts w:ascii="Calibri" w:hAnsi="Calibri"/>
                <w:sz w:val="22"/>
              </w:rPr>
            </w:pPr>
            <w:r>
              <w:rPr>
                <w:rFonts w:ascii="Calibri" w:hAnsi="Calibri"/>
                <w:sz w:val="22"/>
              </w:rPr>
              <w:t>Rr Stakeholder Group</w:t>
            </w:r>
          </w:p>
        </w:tc>
        <w:tc>
          <w:tcPr>
            <w:tcW w:w="3102" w:type="dxa"/>
          </w:tcPr>
          <w:p w14:paraId="6603B327" w14:textId="77777777" w:rsidR="007C1B96" w:rsidRPr="009203EA" w:rsidRDefault="007C1B96" w:rsidP="00FD5E93">
            <w:pPr>
              <w:keepNext/>
              <w:contextualSpacing/>
              <w:rPr>
                <w:rFonts w:ascii="Calibri" w:hAnsi="Calibri"/>
                <w:sz w:val="22"/>
              </w:rPr>
            </w:pPr>
          </w:p>
        </w:tc>
        <w:tc>
          <w:tcPr>
            <w:tcW w:w="264" w:type="dxa"/>
          </w:tcPr>
          <w:p w14:paraId="36FCC7FE" w14:textId="77777777" w:rsidR="007C1B96" w:rsidRPr="009203EA" w:rsidRDefault="007C1B96" w:rsidP="00FD5E93">
            <w:pPr>
              <w:keepNext/>
              <w:contextualSpacing/>
              <w:rPr>
                <w:rFonts w:ascii="Calibri" w:hAnsi="Calibri"/>
                <w:b/>
                <w:sz w:val="22"/>
              </w:rPr>
            </w:pPr>
          </w:p>
        </w:tc>
      </w:tr>
      <w:tr w:rsidR="004840D0" w:rsidRPr="009203EA" w14:paraId="15CB52AF" w14:textId="77777777" w:rsidTr="004840D0">
        <w:trPr>
          <w:gridAfter w:val="1"/>
          <w:wAfter w:w="10" w:type="dxa"/>
          <w:cantSplit/>
        </w:trPr>
        <w:tc>
          <w:tcPr>
            <w:tcW w:w="675" w:type="dxa"/>
          </w:tcPr>
          <w:p w14:paraId="50590393" w14:textId="77777777" w:rsidR="007C1B96" w:rsidRPr="00C22FA7" w:rsidRDefault="007C1B96" w:rsidP="00FD5E93">
            <w:pPr>
              <w:numPr>
                <w:ilvl w:val="0"/>
                <w:numId w:val="1"/>
              </w:numPr>
              <w:contextualSpacing/>
              <w:rPr>
                <w:rFonts w:ascii="Calibri" w:hAnsi="Calibri"/>
                <w:b/>
                <w:sz w:val="22"/>
              </w:rPr>
            </w:pPr>
          </w:p>
        </w:tc>
        <w:tc>
          <w:tcPr>
            <w:tcW w:w="8703" w:type="dxa"/>
          </w:tcPr>
          <w:p w14:paraId="01EB1132" w14:textId="77777777" w:rsidR="00C22FA7" w:rsidRPr="001F23A0" w:rsidRDefault="00C22FA7" w:rsidP="00C22FA7">
            <w:pPr>
              <w:rPr>
                <w:rFonts w:asciiTheme="majorHAnsi" w:hAnsiTheme="majorHAnsi"/>
                <w:sz w:val="22"/>
                <w:szCs w:val="22"/>
              </w:rPr>
            </w:pPr>
            <w:r w:rsidRPr="001F23A0">
              <w:rPr>
                <w:rFonts w:asciiTheme="majorHAnsi" w:hAnsiTheme="majorHAnsi"/>
                <w:sz w:val="22"/>
                <w:szCs w:val="22"/>
              </w:rPr>
              <w:t xml:space="preserve">The proposed implementation fails to consider all actions that trigger a change of registrant (e.g., UDRP decisions, court orders, post-expiry activities). The inability to enforce a UDRP decision or update Whois data to reflect a purchase on the domain name aftermarket is untenable. </w:t>
            </w:r>
          </w:p>
          <w:p w14:paraId="31FF6922" w14:textId="77777777" w:rsidR="007C1B96" w:rsidRPr="00C22FA7" w:rsidRDefault="007C1B96" w:rsidP="00FD5E93">
            <w:pPr>
              <w:pStyle w:val="ListParagraph"/>
              <w:ind w:left="0"/>
              <w:rPr>
                <w:rFonts w:ascii="Calibri" w:hAnsi="Calibri"/>
                <w:sz w:val="22"/>
              </w:rPr>
            </w:pPr>
          </w:p>
        </w:tc>
        <w:tc>
          <w:tcPr>
            <w:tcW w:w="1668" w:type="dxa"/>
          </w:tcPr>
          <w:p w14:paraId="2E70F926" w14:textId="77777777" w:rsidR="007C1B96" w:rsidRPr="009203EA" w:rsidRDefault="00C22FA7" w:rsidP="00FD5E93">
            <w:pPr>
              <w:contextualSpacing/>
              <w:rPr>
                <w:rFonts w:ascii="Calibri" w:hAnsi="Calibri"/>
                <w:sz w:val="22"/>
              </w:rPr>
            </w:pPr>
            <w:r>
              <w:rPr>
                <w:rFonts w:ascii="Calibri" w:hAnsi="Calibri"/>
                <w:sz w:val="22"/>
              </w:rPr>
              <w:t>Endurance Group</w:t>
            </w:r>
          </w:p>
        </w:tc>
        <w:tc>
          <w:tcPr>
            <w:tcW w:w="3102" w:type="dxa"/>
          </w:tcPr>
          <w:p w14:paraId="3F12EF56" w14:textId="77777777" w:rsidR="007C1B96" w:rsidRPr="009203EA" w:rsidRDefault="007C1B96" w:rsidP="00FD5E93">
            <w:pPr>
              <w:contextualSpacing/>
              <w:rPr>
                <w:rFonts w:ascii="Calibri" w:hAnsi="Calibri"/>
                <w:sz w:val="22"/>
              </w:rPr>
            </w:pPr>
          </w:p>
        </w:tc>
        <w:tc>
          <w:tcPr>
            <w:tcW w:w="264" w:type="dxa"/>
          </w:tcPr>
          <w:p w14:paraId="5474897D" w14:textId="77777777" w:rsidR="007C1B96" w:rsidRPr="009203EA" w:rsidRDefault="007C1B96" w:rsidP="00FD5E93">
            <w:pPr>
              <w:contextualSpacing/>
              <w:rPr>
                <w:rFonts w:ascii="Calibri" w:hAnsi="Calibri"/>
                <w:b/>
                <w:sz w:val="22"/>
              </w:rPr>
            </w:pPr>
          </w:p>
        </w:tc>
      </w:tr>
      <w:tr w:rsidR="004840D0" w:rsidRPr="009203EA" w14:paraId="3273F178" w14:textId="77777777" w:rsidTr="004840D0">
        <w:trPr>
          <w:gridAfter w:val="1"/>
          <w:wAfter w:w="10" w:type="dxa"/>
          <w:cantSplit/>
        </w:trPr>
        <w:tc>
          <w:tcPr>
            <w:tcW w:w="675" w:type="dxa"/>
          </w:tcPr>
          <w:p w14:paraId="342FC7FC" w14:textId="77777777" w:rsidR="007C1B96" w:rsidRPr="00C22FA7" w:rsidRDefault="007C1B96" w:rsidP="00FD5E93">
            <w:pPr>
              <w:numPr>
                <w:ilvl w:val="0"/>
                <w:numId w:val="1"/>
              </w:numPr>
              <w:contextualSpacing/>
              <w:rPr>
                <w:rFonts w:asciiTheme="majorHAnsi" w:hAnsiTheme="majorHAnsi"/>
                <w:b/>
                <w:sz w:val="22"/>
                <w:szCs w:val="22"/>
              </w:rPr>
            </w:pPr>
          </w:p>
        </w:tc>
        <w:tc>
          <w:tcPr>
            <w:tcW w:w="8703" w:type="dxa"/>
          </w:tcPr>
          <w:p w14:paraId="2817E22B" w14:textId="77777777" w:rsidR="00C22FA7" w:rsidRPr="00C22FA7" w:rsidRDefault="00C22FA7" w:rsidP="00C22FA7">
            <w:pPr>
              <w:rPr>
                <w:rFonts w:asciiTheme="majorHAnsi" w:hAnsiTheme="majorHAnsi"/>
                <w:sz w:val="22"/>
                <w:szCs w:val="22"/>
                <w:highlight w:val="green"/>
              </w:rPr>
            </w:pPr>
            <w:r w:rsidRPr="00C22FA7">
              <w:rPr>
                <w:rFonts w:asciiTheme="majorHAnsi" w:hAnsiTheme="majorHAnsi"/>
                <w:sz w:val="22"/>
                <w:szCs w:val="22"/>
              </w:rPr>
              <w:t xml:space="preserve">The current recommendation does not have a provision to exempt the change of registrant process from changes due to fraud or abuse.  Additionally, there are specific instances during a UDRP where the Complainant requests a renewal. This requires an update to the Whois to reflect a pending UDRP.  The implementation as written does not allow for this process to occur and we therefore ask for this language to be changed in the proposal. </w:t>
            </w:r>
          </w:p>
          <w:p w14:paraId="374C5A5F" w14:textId="77777777" w:rsidR="00C22FA7" w:rsidRDefault="00C22FA7" w:rsidP="00C22FA7">
            <w:pPr>
              <w:rPr>
                <w:rFonts w:asciiTheme="majorHAnsi" w:hAnsiTheme="majorHAnsi"/>
                <w:sz w:val="22"/>
                <w:szCs w:val="22"/>
              </w:rPr>
            </w:pPr>
          </w:p>
          <w:p w14:paraId="0733C4AF" w14:textId="77777777" w:rsidR="001F23A0" w:rsidRPr="001F23A0" w:rsidRDefault="001F23A0" w:rsidP="001F23A0">
            <w:pPr>
              <w:rPr>
                <w:rFonts w:asciiTheme="majorHAnsi" w:hAnsiTheme="majorHAnsi"/>
                <w:sz w:val="22"/>
                <w:szCs w:val="22"/>
              </w:rPr>
            </w:pPr>
            <w:r w:rsidRPr="001F23A0">
              <w:rPr>
                <w:rFonts w:asciiTheme="majorHAnsi" w:hAnsiTheme="majorHAnsi"/>
                <w:sz w:val="22"/>
                <w:szCs w:val="22"/>
              </w:rPr>
              <w:t>The credential process should not be triggered when there is a change due to initiation or lifting of a P/P service. ICANN does mention this in a footnote but is not explicit and we hereby request clarification that these actions would not constitute a change in registrant.</w:t>
            </w:r>
          </w:p>
          <w:p w14:paraId="680D1CB4" w14:textId="77777777" w:rsidR="001F23A0" w:rsidRPr="00C22FA7" w:rsidRDefault="001F23A0" w:rsidP="00C22FA7">
            <w:pPr>
              <w:rPr>
                <w:rFonts w:asciiTheme="majorHAnsi" w:hAnsiTheme="majorHAnsi"/>
                <w:sz w:val="22"/>
                <w:szCs w:val="22"/>
              </w:rPr>
            </w:pPr>
          </w:p>
          <w:p w14:paraId="5A1308E5" w14:textId="77777777" w:rsidR="007C1B96" w:rsidRPr="00C22FA7" w:rsidRDefault="007C1B96" w:rsidP="00FD5E93">
            <w:pPr>
              <w:pStyle w:val="ListParagraph"/>
              <w:ind w:left="0"/>
              <w:rPr>
                <w:rFonts w:asciiTheme="majorHAnsi" w:eastAsia="Times New Roman" w:hAnsiTheme="majorHAnsi"/>
                <w:color w:val="000000"/>
                <w:sz w:val="22"/>
                <w:szCs w:val="22"/>
              </w:rPr>
            </w:pPr>
          </w:p>
        </w:tc>
        <w:tc>
          <w:tcPr>
            <w:tcW w:w="1668" w:type="dxa"/>
          </w:tcPr>
          <w:p w14:paraId="27491B6D" w14:textId="77777777" w:rsidR="007C1B96" w:rsidRDefault="00C22FA7" w:rsidP="00FD5E93">
            <w:pPr>
              <w:contextualSpacing/>
              <w:rPr>
                <w:rFonts w:ascii="Calibri" w:hAnsi="Calibri"/>
                <w:sz w:val="22"/>
              </w:rPr>
            </w:pPr>
            <w:r>
              <w:rPr>
                <w:rFonts w:ascii="Calibri" w:hAnsi="Calibri"/>
                <w:sz w:val="22"/>
              </w:rPr>
              <w:t>eNom</w:t>
            </w:r>
          </w:p>
        </w:tc>
        <w:tc>
          <w:tcPr>
            <w:tcW w:w="3102" w:type="dxa"/>
          </w:tcPr>
          <w:p w14:paraId="3AADDD18" w14:textId="77777777" w:rsidR="007C1B96" w:rsidRPr="009203EA" w:rsidRDefault="007C1B96" w:rsidP="00FD5E93">
            <w:pPr>
              <w:contextualSpacing/>
              <w:rPr>
                <w:rFonts w:ascii="Calibri" w:hAnsi="Calibri"/>
                <w:sz w:val="22"/>
              </w:rPr>
            </w:pPr>
          </w:p>
        </w:tc>
        <w:tc>
          <w:tcPr>
            <w:tcW w:w="264" w:type="dxa"/>
          </w:tcPr>
          <w:p w14:paraId="3B07B9E9" w14:textId="77777777" w:rsidR="007C1B96" w:rsidRPr="009203EA" w:rsidRDefault="007C1B96" w:rsidP="00FD5E93">
            <w:pPr>
              <w:contextualSpacing/>
              <w:rPr>
                <w:rFonts w:ascii="Calibri" w:hAnsi="Calibri"/>
                <w:b/>
                <w:sz w:val="22"/>
              </w:rPr>
            </w:pPr>
          </w:p>
        </w:tc>
      </w:tr>
      <w:tr w:rsidR="004840D0" w:rsidRPr="009203EA" w14:paraId="01E3A1CF" w14:textId="77777777" w:rsidTr="004840D0">
        <w:trPr>
          <w:gridAfter w:val="1"/>
          <w:wAfter w:w="10" w:type="dxa"/>
          <w:cantSplit/>
        </w:trPr>
        <w:tc>
          <w:tcPr>
            <w:tcW w:w="675" w:type="dxa"/>
          </w:tcPr>
          <w:p w14:paraId="2503498F" w14:textId="77777777" w:rsidR="007C1B96" w:rsidRPr="009203EA" w:rsidRDefault="007C1B96" w:rsidP="00FD5E93">
            <w:pPr>
              <w:numPr>
                <w:ilvl w:val="0"/>
                <w:numId w:val="1"/>
              </w:numPr>
              <w:contextualSpacing/>
              <w:rPr>
                <w:rFonts w:ascii="Calibri" w:hAnsi="Calibri"/>
                <w:b/>
                <w:sz w:val="22"/>
              </w:rPr>
            </w:pPr>
          </w:p>
        </w:tc>
        <w:tc>
          <w:tcPr>
            <w:tcW w:w="8703" w:type="dxa"/>
          </w:tcPr>
          <w:p w14:paraId="0A29B8F0" w14:textId="77777777" w:rsidR="00C22FA7" w:rsidRPr="00C22FA7" w:rsidRDefault="00C22FA7" w:rsidP="00C22FA7">
            <w:pPr>
              <w:rPr>
                <w:rFonts w:asciiTheme="majorHAnsi" w:hAnsiTheme="majorHAnsi"/>
                <w:sz w:val="22"/>
                <w:szCs w:val="22"/>
              </w:rPr>
            </w:pPr>
            <w:r w:rsidRPr="00C22FA7">
              <w:rPr>
                <w:rFonts w:asciiTheme="majorHAnsi" w:hAnsiTheme="majorHAnsi"/>
                <w:sz w:val="22"/>
                <w:szCs w:val="22"/>
              </w:rPr>
              <w:t xml:space="preserve">Change of registrant due to lifting of privacy service, court order, UDRP, or other administrative proceedings – these types of changes should be explicitly excluded from the definition of change of registrant. </w:t>
            </w:r>
          </w:p>
          <w:p w14:paraId="7DA87553" w14:textId="77777777" w:rsidR="007C1B96" w:rsidRPr="001D5EB5" w:rsidRDefault="007C1B96" w:rsidP="00FD5E93">
            <w:pPr>
              <w:pStyle w:val="ListParagraph"/>
              <w:ind w:left="0"/>
              <w:rPr>
                <w:rFonts w:ascii="Calibri" w:eastAsia="Times New Roman" w:hAnsi="Calibri"/>
                <w:color w:val="000000"/>
                <w:sz w:val="22"/>
                <w:szCs w:val="22"/>
              </w:rPr>
            </w:pPr>
          </w:p>
        </w:tc>
        <w:tc>
          <w:tcPr>
            <w:tcW w:w="1668" w:type="dxa"/>
          </w:tcPr>
          <w:p w14:paraId="42A9DC73" w14:textId="77777777" w:rsidR="007C1B96" w:rsidRDefault="00C22FA7" w:rsidP="00FD5E93">
            <w:pPr>
              <w:contextualSpacing/>
              <w:rPr>
                <w:rFonts w:ascii="Calibri" w:hAnsi="Calibri"/>
                <w:sz w:val="22"/>
              </w:rPr>
            </w:pPr>
            <w:r>
              <w:rPr>
                <w:rFonts w:ascii="Calibri" w:hAnsi="Calibri"/>
                <w:sz w:val="22"/>
              </w:rPr>
              <w:t>Google</w:t>
            </w:r>
          </w:p>
        </w:tc>
        <w:tc>
          <w:tcPr>
            <w:tcW w:w="3102" w:type="dxa"/>
          </w:tcPr>
          <w:p w14:paraId="097B05D1" w14:textId="77777777" w:rsidR="007C1B96" w:rsidRPr="009203EA" w:rsidRDefault="007C1B96" w:rsidP="00FD5E93">
            <w:pPr>
              <w:contextualSpacing/>
              <w:rPr>
                <w:rFonts w:ascii="Calibri" w:hAnsi="Calibri"/>
                <w:sz w:val="22"/>
              </w:rPr>
            </w:pPr>
          </w:p>
        </w:tc>
        <w:tc>
          <w:tcPr>
            <w:tcW w:w="264" w:type="dxa"/>
          </w:tcPr>
          <w:p w14:paraId="4F9AD4D4" w14:textId="77777777" w:rsidR="007C1B96" w:rsidRPr="009203EA" w:rsidRDefault="007C1B96" w:rsidP="00FD5E93">
            <w:pPr>
              <w:contextualSpacing/>
              <w:rPr>
                <w:rFonts w:ascii="Calibri" w:hAnsi="Calibri"/>
                <w:b/>
                <w:sz w:val="22"/>
              </w:rPr>
            </w:pPr>
          </w:p>
        </w:tc>
      </w:tr>
      <w:tr w:rsidR="007C1B96" w:rsidRPr="009203EA" w14:paraId="21564F5C" w14:textId="77777777" w:rsidTr="004840D0">
        <w:trPr>
          <w:cantSplit/>
          <w:trHeight w:val="350"/>
        </w:trPr>
        <w:tc>
          <w:tcPr>
            <w:tcW w:w="14422" w:type="dxa"/>
            <w:gridSpan w:val="6"/>
            <w:shd w:val="clear" w:color="auto" w:fill="E0E0E0"/>
          </w:tcPr>
          <w:p w14:paraId="14C33F0B" w14:textId="77777777" w:rsidR="007C1B96" w:rsidRPr="009203EA" w:rsidRDefault="007C1B96" w:rsidP="00C22FA7">
            <w:pPr>
              <w:contextualSpacing/>
              <w:rPr>
                <w:rFonts w:ascii="Calibri" w:hAnsi="Calibri"/>
                <w:b/>
                <w:sz w:val="22"/>
                <w:szCs w:val="22"/>
              </w:rPr>
            </w:pPr>
            <w:r>
              <w:rPr>
                <w:rFonts w:ascii="Calibri" w:hAnsi="Calibri"/>
                <w:b/>
                <w:sz w:val="22"/>
                <w:szCs w:val="22"/>
              </w:rPr>
              <w:t xml:space="preserve">Related to </w:t>
            </w:r>
            <w:r w:rsidR="00C22FA7">
              <w:rPr>
                <w:rFonts w:ascii="Calibri" w:hAnsi="Calibri"/>
                <w:b/>
                <w:sz w:val="22"/>
                <w:szCs w:val="22"/>
              </w:rPr>
              <w:t>Expired Domain Names</w:t>
            </w:r>
          </w:p>
        </w:tc>
      </w:tr>
      <w:tr w:rsidR="004840D0" w:rsidRPr="009203EA" w14:paraId="4D7D225F" w14:textId="77777777" w:rsidTr="004840D0">
        <w:trPr>
          <w:gridAfter w:val="1"/>
          <w:wAfter w:w="10" w:type="dxa"/>
          <w:cantSplit/>
        </w:trPr>
        <w:tc>
          <w:tcPr>
            <w:tcW w:w="675" w:type="dxa"/>
          </w:tcPr>
          <w:p w14:paraId="072F360C" w14:textId="77777777" w:rsidR="007C1B96" w:rsidRPr="009203EA" w:rsidRDefault="007C1B96" w:rsidP="00FD5E93">
            <w:pPr>
              <w:numPr>
                <w:ilvl w:val="0"/>
                <w:numId w:val="1"/>
              </w:numPr>
              <w:contextualSpacing/>
              <w:rPr>
                <w:rFonts w:ascii="Calibri" w:hAnsi="Calibri"/>
                <w:b/>
                <w:sz w:val="22"/>
              </w:rPr>
            </w:pPr>
          </w:p>
        </w:tc>
        <w:tc>
          <w:tcPr>
            <w:tcW w:w="8703" w:type="dxa"/>
          </w:tcPr>
          <w:p w14:paraId="3939119F" w14:textId="77777777" w:rsidR="00C22FA7" w:rsidRPr="001F23A0" w:rsidRDefault="001F23A0" w:rsidP="001F23A0">
            <w:pPr>
              <w:rPr>
                <w:rFonts w:asciiTheme="majorHAnsi" w:hAnsiTheme="majorHAnsi"/>
                <w:sz w:val="22"/>
                <w:szCs w:val="22"/>
              </w:rPr>
            </w:pPr>
            <w:r w:rsidRPr="001F23A0">
              <w:rPr>
                <w:rFonts w:asciiTheme="majorHAnsi" w:hAnsiTheme="majorHAnsi"/>
                <w:sz w:val="22"/>
                <w:szCs w:val="22"/>
              </w:rPr>
              <w:t>P</w:t>
            </w:r>
            <w:r w:rsidR="00C22FA7" w:rsidRPr="001F23A0">
              <w:rPr>
                <w:rFonts w:asciiTheme="majorHAnsi" w:hAnsiTheme="majorHAnsi"/>
                <w:sz w:val="22"/>
                <w:szCs w:val="22"/>
              </w:rPr>
              <w:t>roposed policy would overly restrict the efficient sale and transfer of domain names between registrants thereby severely hampering th</w:t>
            </w:r>
            <w:bookmarkStart w:id="0" w:name="_GoBack"/>
            <w:bookmarkEnd w:id="0"/>
            <w:r w:rsidR="00C22FA7" w:rsidRPr="001F23A0">
              <w:rPr>
                <w:rFonts w:asciiTheme="majorHAnsi" w:hAnsiTheme="majorHAnsi"/>
                <w:sz w:val="22"/>
                <w:szCs w:val="22"/>
              </w:rPr>
              <w:t>e established and thriving market for good and valuable domain names. Further, we would oppose the notion that a Prior Registrant must transmit a Change of Registrant Credential to a New Registrant when that Prior Registrant has allowed the registration to expire and has no further rights regarding the domain name.</w:t>
            </w:r>
          </w:p>
          <w:p w14:paraId="5D65E17E" w14:textId="77777777" w:rsidR="007C1B96" w:rsidRPr="00E3587C" w:rsidRDefault="007C1B96" w:rsidP="00FD5E93">
            <w:pPr>
              <w:pStyle w:val="ListParagraph"/>
              <w:ind w:left="0"/>
              <w:rPr>
                <w:rFonts w:ascii="Calibri" w:hAnsi="Calibri"/>
                <w:sz w:val="22"/>
              </w:rPr>
            </w:pPr>
          </w:p>
        </w:tc>
        <w:tc>
          <w:tcPr>
            <w:tcW w:w="1668" w:type="dxa"/>
          </w:tcPr>
          <w:p w14:paraId="28888BB9" w14:textId="77777777" w:rsidR="007C1B96" w:rsidRPr="009203EA" w:rsidRDefault="001F23A0" w:rsidP="00FD5E93">
            <w:pPr>
              <w:contextualSpacing/>
              <w:rPr>
                <w:rFonts w:ascii="Calibri" w:hAnsi="Calibri"/>
                <w:sz w:val="22"/>
              </w:rPr>
            </w:pPr>
            <w:r>
              <w:rPr>
                <w:rFonts w:ascii="Calibri" w:hAnsi="Calibri"/>
                <w:sz w:val="22"/>
              </w:rPr>
              <w:t>NameJet</w:t>
            </w:r>
          </w:p>
        </w:tc>
        <w:tc>
          <w:tcPr>
            <w:tcW w:w="3102" w:type="dxa"/>
          </w:tcPr>
          <w:p w14:paraId="1964EFBB" w14:textId="77777777" w:rsidR="007C1B96" w:rsidRPr="009203EA" w:rsidRDefault="007C1B96" w:rsidP="00FD5E93">
            <w:pPr>
              <w:contextualSpacing/>
              <w:rPr>
                <w:rFonts w:ascii="Calibri" w:hAnsi="Calibri"/>
                <w:sz w:val="22"/>
              </w:rPr>
            </w:pPr>
          </w:p>
        </w:tc>
        <w:tc>
          <w:tcPr>
            <w:tcW w:w="264" w:type="dxa"/>
          </w:tcPr>
          <w:p w14:paraId="504DA343" w14:textId="77777777" w:rsidR="007C1B96" w:rsidRPr="009203EA" w:rsidRDefault="007C1B96" w:rsidP="00FD5E93">
            <w:pPr>
              <w:contextualSpacing/>
              <w:rPr>
                <w:rFonts w:ascii="Calibri" w:hAnsi="Calibri"/>
                <w:b/>
                <w:sz w:val="22"/>
              </w:rPr>
            </w:pPr>
          </w:p>
        </w:tc>
      </w:tr>
      <w:tr w:rsidR="004840D0" w:rsidRPr="009203EA" w14:paraId="6B7789CC" w14:textId="77777777" w:rsidTr="004840D0">
        <w:trPr>
          <w:gridAfter w:val="1"/>
          <w:wAfter w:w="10" w:type="dxa"/>
          <w:cantSplit/>
        </w:trPr>
        <w:tc>
          <w:tcPr>
            <w:tcW w:w="675" w:type="dxa"/>
          </w:tcPr>
          <w:p w14:paraId="549C78F7" w14:textId="77777777" w:rsidR="007C1B96" w:rsidRPr="009203EA" w:rsidRDefault="007C1B96" w:rsidP="00FD5E93">
            <w:pPr>
              <w:numPr>
                <w:ilvl w:val="0"/>
                <w:numId w:val="1"/>
              </w:numPr>
              <w:contextualSpacing/>
              <w:rPr>
                <w:rFonts w:ascii="Calibri" w:hAnsi="Calibri"/>
                <w:b/>
                <w:sz w:val="22"/>
              </w:rPr>
            </w:pPr>
          </w:p>
        </w:tc>
        <w:tc>
          <w:tcPr>
            <w:tcW w:w="8703" w:type="dxa"/>
          </w:tcPr>
          <w:p w14:paraId="11D98F7F" w14:textId="77777777" w:rsidR="001F23A0" w:rsidRPr="001F23A0" w:rsidRDefault="001F23A0" w:rsidP="001F23A0">
            <w:pPr>
              <w:rPr>
                <w:rFonts w:asciiTheme="majorHAnsi" w:hAnsiTheme="majorHAnsi"/>
                <w:sz w:val="22"/>
                <w:szCs w:val="22"/>
              </w:rPr>
            </w:pPr>
            <w:r w:rsidRPr="001F23A0">
              <w:rPr>
                <w:rFonts w:asciiTheme="majorHAnsi" w:hAnsiTheme="majorHAnsi"/>
                <w:sz w:val="22"/>
                <w:szCs w:val="22"/>
              </w:rPr>
              <w:t>We recommend that this plan be modified to explicitly state that the policy only applies during the normal domain registration life cycle, and does not apply post-expiry, including the Auto Renew, Redemption of PendingDelete grace periods or any future post-expiry grace periods.</w:t>
            </w:r>
          </w:p>
          <w:p w14:paraId="6262C6F6" w14:textId="77777777" w:rsidR="007C1B96" w:rsidRPr="001D5EB5" w:rsidRDefault="007C1B96" w:rsidP="00FD5E93">
            <w:pPr>
              <w:pStyle w:val="ListParagraph"/>
              <w:ind w:left="0"/>
              <w:rPr>
                <w:rFonts w:ascii="Calibri" w:eastAsia="Times New Roman" w:hAnsi="Calibri"/>
                <w:color w:val="000000"/>
                <w:sz w:val="22"/>
                <w:szCs w:val="22"/>
              </w:rPr>
            </w:pPr>
          </w:p>
        </w:tc>
        <w:tc>
          <w:tcPr>
            <w:tcW w:w="1668" w:type="dxa"/>
          </w:tcPr>
          <w:p w14:paraId="0277C4AE" w14:textId="77777777" w:rsidR="007C1B96" w:rsidRDefault="001F23A0" w:rsidP="00FD5E93">
            <w:pPr>
              <w:contextualSpacing/>
              <w:rPr>
                <w:rFonts w:ascii="Calibri" w:hAnsi="Calibri"/>
                <w:sz w:val="22"/>
              </w:rPr>
            </w:pPr>
            <w:r>
              <w:rPr>
                <w:rFonts w:ascii="Calibri" w:hAnsi="Calibri"/>
                <w:sz w:val="22"/>
              </w:rPr>
              <w:t>Rr Stakeholder Group</w:t>
            </w:r>
          </w:p>
        </w:tc>
        <w:tc>
          <w:tcPr>
            <w:tcW w:w="3102" w:type="dxa"/>
          </w:tcPr>
          <w:p w14:paraId="47C0FD9C" w14:textId="77777777" w:rsidR="007C1B96" w:rsidRPr="009203EA" w:rsidRDefault="007C1B96" w:rsidP="00FD5E93">
            <w:pPr>
              <w:contextualSpacing/>
              <w:rPr>
                <w:rFonts w:ascii="Calibri" w:hAnsi="Calibri"/>
                <w:sz w:val="22"/>
              </w:rPr>
            </w:pPr>
          </w:p>
        </w:tc>
        <w:tc>
          <w:tcPr>
            <w:tcW w:w="264" w:type="dxa"/>
          </w:tcPr>
          <w:p w14:paraId="51CE1E91" w14:textId="77777777" w:rsidR="007C1B96" w:rsidRPr="009203EA" w:rsidRDefault="007C1B96" w:rsidP="00FD5E93">
            <w:pPr>
              <w:contextualSpacing/>
              <w:rPr>
                <w:rFonts w:ascii="Calibri" w:hAnsi="Calibri"/>
                <w:b/>
                <w:sz w:val="22"/>
              </w:rPr>
            </w:pPr>
          </w:p>
        </w:tc>
      </w:tr>
      <w:tr w:rsidR="004840D0" w:rsidRPr="009203EA" w14:paraId="50D6485C" w14:textId="77777777" w:rsidTr="004840D0">
        <w:trPr>
          <w:gridAfter w:val="1"/>
          <w:wAfter w:w="10" w:type="dxa"/>
          <w:cantSplit/>
        </w:trPr>
        <w:tc>
          <w:tcPr>
            <w:tcW w:w="675" w:type="dxa"/>
          </w:tcPr>
          <w:p w14:paraId="63EE513E" w14:textId="77777777" w:rsidR="007C1B96" w:rsidRPr="001F23A0" w:rsidRDefault="007C1B96" w:rsidP="00FD5E93">
            <w:pPr>
              <w:numPr>
                <w:ilvl w:val="0"/>
                <w:numId w:val="1"/>
              </w:numPr>
              <w:contextualSpacing/>
              <w:rPr>
                <w:rFonts w:asciiTheme="majorHAnsi" w:hAnsiTheme="majorHAnsi"/>
                <w:b/>
                <w:sz w:val="22"/>
                <w:szCs w:val="22"/>
              </w:rPr>
            </w:pPr>
          </w:p>
        </w:tc>
        <w:tc>
          <w:tcPr>
            <w:tcW w:w="8703" w:type="dxa"/>
          </w:tcPr>
          <w:p w14:paraId="48AF945C" w14:textId="77777777" w:rsidR="001F23A0" w:rsidRPr="001F23A0" w:rsidRDefault="001F23A0" w:rsidP="001F23A0">
            <w:pPr>
              <w:rPr>
                <w:rFonts w:asciiTheme="majorHAnsi" w:hAnsiTheme="majorHAnsi"/>
                <w:sz w:val="22"/>
                <w:szCs w:val="22"/>
              </w:rPr>
            </w:pPr>
            <w:r w:rsidRPr="001F23A0">
              <w:rPr>
                <w:rFonts w:asciiTheme="majorHAnsi" w:hAnsiTheme="majorHAnsi"/>
                <w:color w:val="000000"/>
                <w:sz w:val="22"/>
                <w:szCs w:val="22"/>
              </w:rPr>
              <w:t>We oppose the notion that a prior registrant must transmit a change of registrant credential to a new registrant when the prior registrant has allowed the registration to expire and has no further rights regarding the name. It is clear from the Report that the WG did not contemplate or recommend the implementation of a transfer approval process for the transfer of expired names.</w:t>
            </w:r>
          </w:p>
          <w:p w14:paraId="12DB6949" w14:textId="77777777" w:rsidR="007C1B96" w:rsidRPr="001F23A0" w:rsidRDefault="007C1B96" w:rsidP="00FD5E93">
            <w:pPr>
              <w:pStyle w:val="ListParagraph"/>
              <w:ind w:left="0"/>
              <w:rPr>
                <w:rFonts w:asciiTheme="majorHAnsi" w:hAnsiTheme="majorHAnsi"/>
                <w:sz w:val="22"/>
                <w:szCs w:val="22"/>
              </w:rPr>
            </w:pPr>
          </w:p>
        </w:tc>
        <w:tc>
          <w:tcPr>
            <w:tcW w:w="1668" w:type="dxa"/>
          </w:tcPr>
          <w:p w14:paraId="0662E386" w14:textId="77777777" w:rsidR="007C1B96" w:rsidRDefault="001F23A0" w:rsidP="00FD5E93">
            <w:pPr>
              <w:contextualSpacing/>
              <w:rPr>
                <w:rFonts w:ascii="Calibri" w:hAnsi="Calibri"/>
                <w:sz w:val="22"/>
              </w:rPr>
            </w:pPr>
            <w:r>
              <w:rPr>
                <w:rFonts w:ascii="Calibri" w:hAnsi="Calibri"/>
                <w:sz w:val="22"/>
              </w:rPr>
              <w:t>Web.com</w:t>
            </w:r>
          </w:p>
        </w:tc>
        <w:tc>
          <w:tcPr>
            <w:tcW w:w="3102" w:type="dxa"/>
          </w:tcPr>
          <w:p w14:paraId="1ABF4288" w14:textId="77777777" w:rsidR="007C1B96" w:rsidRPr="009203EA" w:rsidRDefault="007C1B96" w:rsidP="00FD5E93">
            <w:pPr>
              <w:contextualSpacing/>
              <w:rPr>
                <w:rFonts w:ascii="Calibri" w:hAnsi="Calibri"/>
                <w:sz w:val="22"/>
              </w:rPr>
            </w:pPr>
          </w:p>
        </w:tc>
        <w:tc>
          <w:tcPr>
            <w:tcW w:w="264" w:type="dxa"/>
          </w:tcPr>
          <w:p w14:paraId="36680D62" w14:textId="77777777" w:rsidR="007C1B96" w:rsidRPr="009203EA" w:rsidRDefault="007C1B96" w:rsidP="00FD5E93">
            <w:pPr>
              <w:contextualSpacing/>
              <w:rPr>
                <w:rFonts w:ascii="Calibri" w:hAnsi="Calibri"/>
                <w:b/>
                <w:sz w:val="22"/>
              </w:rPr>
            </w:pPr>
          </w:p>
        </w:tc>
      </w:tr>
      <w:tr w:rsidR="004840D0" w:rsidRPr="009203EA" w14:paraId="155DBC79" w14:textId="77777777" w:rsidTr="004840D0">
        <w:trPr>
          <w:gridAfter w:val="1"/>
          <w:wAfter w:w="10" w:type="dxa"/>
          <w:cantSplit/>
        </w:trPr>
        <w:tc>
          <w:tcPr>
            <w:tcW w:w="675" w:type="dxa"/>
          </w:tcPr>
          <w:p w14:paraId="47A2D081" w14:textId="77777777" w:rsidR="007C1B96" w:rsidRPr="009203EA" w:rsidRDefault="007C1B96" w:rsidP="00FD5E93">
            <w:pPr>
              <w:numPr>
                <w:ilvl w:val="0"/>
                <w:numId w:val="1"/>
              </w:numPr>
              <w:contextualSpacing/>
              <w:rPr>
                <w:rFonts w:ascii="Calibri" w:hAnsi="Calibri"/>
                <w:b/>
                <w:sz w:val="22"/>
              </w:rPr>
            </w:pPr>
          </w:p>
        </w:tc>
        <w:tc>
          <w:tcPr>
            <w:tcW w:w="8703" w:type="dxa"/>
          </w:tcPr>
          <w:p w14:paraId="4C25D1F5" w14:textId="77777777" w:rsidR="001F23A0" w:rsidRPr="001F23A0" w:rsidRDefault="001F23A0" w:rsidP="001F23A0">
            <w:pPr>
              <w:rPr>
                <w:rFonts w:asciiTheme="majorHAnsi" w:hAnsiTheme="majorHAnsi"/>
                <w:sz w:val="22"/>
                <w:szCs w:val="22"/>
              </w:rPr>
            </w:pPr>
            <w:r w:rsidRPr="001F23A0">
              <w:rPr>
                <w:rFonts w:asciiTheme="majorHAnsi" w:hAnsiTheme="majorHAnsi"/>
                <w:sz w:val="22"/>
                <w:szCs w:val="22"/>
              </w:rPr>
              <w:t>Post-expiration of domain names: this implementation proposal should only apply during the domain registration life cycle and not apply during the domain registration life cycle and not apply after expiration including the Auto Renew, Redemption, or Pending Delete grace periods, or any future post-expiry grace periods. There is a specific set of rules that cover expired domain names (ex: ERRP).  In addition, most Rrs have explicit policies and plans that occur for domains post-expiration, which are clear in each registration agreements. This proposal may violate terms in these agreements.</w:t>
            </w:r>
          </w:p>
          <w:p w14:paraId="61F48FD3" w14:textId="77777777" w:rsidR="007C1B96" w:rsidRPr="001D5EB5" w:rsidRDefault="007C1B96" w:rsidP="00FD5E93">
            <w:pPr>
              <w:pStyle w:val="ListParagraph"/>
              <w:ind w:left="0"/>
              <w:rPr>
                <w:rFonts w:ascii="Calibri" w:eastAsia="Times New Roman" w:hAnsi="Calibri"/>
                <w:color w:val="000000"/>
                <w:sz w:val="22"/>
                <w:szCs w:val="22"/>
              </w:rPr>
            </w:pPr>
          </w:p>
        </w:tc>
        <w:tc>
          <w:tcPr>
            <w:tcW w:w="1668" w:type="dxa"/>
          </w:tcPr>
          <w:p w14:paraId="7E3E7A19" w14:textId="77777777" w:rsidR="007C1B96" w:rsidRDefault="001F23A0" w:rsidP="00FD5E93">
            <w:pPr>
              <w:contextualSpacing/>
              <w:rPr>
                <w:rFonts w:ascii="Calibri" w:hAnsi="Calibri"/>
                <w:sz w:val="22"/>
              </w:rPr>
            </w:pPr>
            <w:r>
              <w:rPr>
                <w:rFonts w:ascii="Calibri" w:hAnsi="Calibri"/>
                <w:sz w:val="22"/>
              </w:rPr>
              <w:t>eNom</w:t>
            </w:r>
          </w:p>
        </w:tc>
        <w:tc>
          <w:tcPr>
            <w:tcW w:w="3102" w:type="dxa"/>
          </w:tcPr>
          <w:p w14:paraId="3DDF193A" w14:textId="77777777" w:rsidR="007C1B96" w:rsidRPr="009203EA" w:rsidRDefault="007C1B96" w:rsidP="00FD5E93">
            <w:pPr>
              <w:contextualSpacing/>
              <w:rPr>
                <w:rFonts w:ascii="Calibri" w:hAnsi="Calibri"/>
                <w:sz w:val="22"/>
              </w:rPr>
            </w:pPr>
          </w:p>
        </w:tc>
        <w:tc>
          <w:tcPr>
            <w:tcW w:w="264" w:type="dxa"/>
          </w:tcPr>
          <w:p w14:paraId="32D7A18F" w14:textId="77777777" w:rsidR="007C1B96" w:rsidRPr="009203EA" w:rsidRDefault="007C1B96" w:rsidP="00FD5E93">
            <w:pPr>
              <w:contextualSpacing/>
              <w:rPr>
                <w:rFonts w:ascii="Calibri" w:hAnsi="Calibri"/>
                <w:b/>
                <w:sz w:val="22"/>
              </w:rPr>
            </w:pPr>
          </w:p>
        </w:tc>
      </w:tr>
      <w:tr w:rsidR="004840D0" w:rsidRPr="009203EA" w14:paraId="4C0053E7" w14:textId="77777777" w:rsidTr="004840D0">
        <w:trPr>
          <w:gridAfter w:val="1"/>
          <w:wAfter w:w="10" w:type="dxa"/>
          <w:cantSplit/>
        </w:trPr>
        <w:tc>
          <w:tcPr>
            <w:tcW w:w="675" w:type="dxa"/>
          </w:tcPr>
          <w:p w14:paraId="48143969" w14:textId="77777777" w:rsidR="007C1B96" w:rsidRPr="009203EA" w:rsidRDefault="007C1B96" w:rsidP="00FD5E93">
            <w:pPr>
              <w:numPr>
                <w:ilvl w:val="0"/>
                <w:numId w:val="1"/>
              </w:numPr>
              <w:contextualSpacing/>
              <w:rPr>
                <w:rFonts w:ascii="Calibri" w:hAnsi="Calibri"/>
                <w:b/>
                <w:sz w:val="22"/>
              </w:rPr>
            </w:pPr>
          </w:p>
        </w:tc>
        <w:tc>
          <w:tcPr>
            <w:tcW w:w="8703" w:type="dxa"/>
          </w:tcPr>
          <w:p w14:paraId="4AEB479D" w14:textId="77777777" w:rsidR="001F23A0" w:rsidRPr="001F23A0" w:rsidRDefault="001F23A0" w:rsidP="001F23A0">
            <w:pPr>
              <w:rPr>
                <w:rFonts w:asciiTheme="majorHAnsi" w:hAnsiTheme="majorHAnsi"/>
                <w:sz w:val="22"/>
                <w:szCs w:val="22"/>
              </w:rPr>
            </w:pPr>
            <w:r w:rsidRPr="001F23A0">
              <w:rPr>
                <w:rFonts w:asciiTheme="majorHAnsi" w:hAnsiTheme="majorHAnsi"/>
                <w:sz w:val="22"/>
                <w:szCs w:val="22"/>
              </w:rPr>
              <w:t xml:space="preserve">Important protections such as the redemption grace period are only available to the domain’s registrant, and these protections would be significantly undercut if it remains possible to alter the registrant simply because the domain name has expired. </w:t>
            </w:r>
          </w:p>
          <w:p w14:paraId="3F271D0A" w14:textId="77777777" w:rsidR="001F23A0" w:rsidRPr="001F23A0" w:rsidRDefault="001F23A0" w:rsidP="001F23A0">
            <w:pPr>
              <w:rPr>
                <w:rFonts w:asciiTheme="majorHAnsi" w:hAnsiTheme="majorHAnsi"/>
                <w:sz w:val="22"/>
                <w:szCs w:val="22"/>
              </w:rPr>
            </w:pPr>
          </w:p>
          <w:p w14:paraId="5A91DBA7" w14:textId="77777777" w:rsidR="007C1B96" w:rsidRPr="001F23A0" w:rsidRDefault="007C1B96" w:rsidP="00FD5E93">
            <w:pPr>
              <w:pStyle w:val="ListParagraph"/>
              <w:ind w:left="0"/>
              <w:rPr>
                <w:rFonts w:asciiTheme="majorHAnsi" w:eastAsia="Times New Roman" w:hAnsiTheme="majorHAnsi"/>
                <w:color w:val="000000"/>
                <w:sz w:val="22"/>
                <w:szCs w:val="22"/>
              </w:rPr>
            </w:pPr>
          </w:p>
        </w:tc>
        <w:tc>
          <w:tcPr>
            <w:tcW w:w="1668" w:type="dxa"/>
          </w:tcPr>
          <w:p w14:paraId="28A47966" w14:textId="77777777" w:rsidR="007C1B96" w:rsidRDefault="001F23A0" w:rsidP="00FD5E93">
            <w:pPr>
              <w:contextualSpacing/>
              <w:rPr>
                <w:rFonts w:ascii="Calibri" w:hAnsi="Calibri"/>
                <w:sz w:val="22"/>
              </w:rPr>
            </w:pPr>
            <w:r>
              <w:rPr>
                <w:rFonts w:ascii="Calibri" w:hAnsi="Calibri"/>
                <w:sz w:val="22"/>
              </w:rPr>
              <w:t>Google</w:t>
            </w:r>
          </w:p>
        </w:tc>
        <w:tc>
          <w:tcPr>
            <w:tcW w:w="3102" w:type="dxa"/>
          </w:tcPr>
          <w:p w14:paraId="48D20ED4" w14:textId="77777777" w:rsidR="007C1B96" w:rsidRPr="009203EA" w:rsidRDefault="007C1B96" w:rsidP="00FD5E93">
            <w:pPr>
              <w:contextualSpacing/>
              <w:rPr>
                <w:rFonts w:ascii="Calibri" w:hAnsi="Calibri"/>
                <w:sz w:val="22"/>
              </w:rPr>
            </w:pPr>
          </w:p>
        </w:tc>
        <w:tc>
          <w:tcPr>
            <w:tcW w:w="264" w:type="dxa"/>
          </w:tcPr>
          <w:p w14:paraId="3D8FAD83" w14:textId="77777777" w:rsidR="007C1B96" w:rsidRPr="009203EA" w:rsidRDefault="007C1B96" w:rsidP="00FD5E93">
            <w:pPr>
              <w:contextualSpacing/>
              <w:rPr>
                <w:rFonts w:ascii="Calibri" w:hAnsi="Calibri"/>
                <w:b/>
                <w:sz w:val="22"/>
              </w:rPr>
            </w:pPr>
          </w:p>
        </w:tc>
      </w:tr>
      <w:tr w:rsidR="007C1B96" w:rsidRPr="009203EA" w14:paraId="60912801" w14:textId="77777777" w:rsidTr="004840D0">
        <w:trPr>
          <w:cantSplit/>
        </w:trPr>
        <w:tc>
          <w:tcPr>
            <w:tcW w:w="14422" w:type="dxa"/>
            <w:gridSpan w:val="6"/>
            <w:shd w:val="clear" w:color="auto" w:fill="E0E0E0"/>
          </w:tcPr>
          <w:p w14:paraId="439FB28A" w14:textId="77777777" w:rsidR="007C1B96" w:rsidRPr="009203EA" w:rsidRDefault="001F23A0" w:rsidP="00FD5E93">
            <w:pPr>
              <w:contextualSpacing/>
              <w:rPr>
                <w:rFonts w:ascii="Calibri" w:hAnsi="Calibri"/>
                <w:b/>
                <w:sz w:val="22"/>
                <w:szCs w:val="22"/>
              </w:rPr>
            </w:pPr>
            <w:r>
              <w:rPr>
                <w:rFonts w:ascii="Calibri" w:hAnsi="Calibri"/>
                <w:b/>
                <w:sz w:val="22"/>
                <w:szCs w:val="22"/>
              </w:rPr>
              <w:t>Change of Registrant Process</w:t>
            </w:r>
            <w:r w:rsidR="007C1B96">
              <w:rPr>
                <w:rFonts w:ascii="Calibri" w:hAnsi="Calibri"/>
                <w:b/>
                <w:sz w:val="22"/>
                <w:szCs w:val="22"/>
              </w:rPr>
              <w:t xml:space="preserve"> </w:t>
            </w:r>
            <w:r>
              <w:rPr>
                <w:rFonts w:ascii="Calibri" w:hAnsi="Calibri"/>
                <w:b/>
                <w:sz w:val="22"/>
                <w:szCs w:val="22"/>
              </w:rPr>
              <w:t>– who can approve</w:t>
            </w:r>
          </w:p>
        </w:tc>
      </w:tr>
      <w:tr w:rsidR="004840D0" w:rsidRPr="009203EA" w14:paraId="7AF16F1A" w14:textId="77777777" w:rsidTr="004840D0">
        <w:trPr>
          <w:gridAfter w:val="1"/>
          <w:wAfter w:w="10" w:type="dxa"/>
          <w:cantSplit/>
        </w:trPr>
        <w:tc>
          <w:tcPr>
            <w:tcW w:w="675" w:type="dxa"/>
          </w:tcPr>
          <w:p w14:paraId="3BB8A054" w14:textId="77777777" w:rsidR="007C1B96" w:rsidRPr="009203EA" w:rsidRDefault="007C1B96" w:rsidP="00FD5E93">
            <w:pPr>
              <w:numPr>
                <w:ilvl w:val="0"/>
                <w:numId w:val="1"/>
              </w:numPr>
              <w:contextualSpacing/>
              <w:rPr>
                <w:rFonts w:ascii="Calibri" w:hAnsi="Calibri"/>
                <w:b/>
                <w:sz w:val="22"/>
              </w:rPr>
            </w:pPr>
          </w:p>
        </w:tc>
        <w:tc>
          <w:tcPr>
            <w:tcW w:w="8703" w:type="dxa"/>
          </w:tcPr>
          <w:p w14:paraId="34EB9AEC" w14:textId="77777777" w:rsidR="001F23A0" w:rsidRPr="00182D94" w:rsidRDefault="001F23A0" w:rsidP="001F23A0">
            <w:pPr>
              <w:rPr>
                <w:rFonts w:asciiTheme="majorHAnsi" w:hAnsiTheme="majorHAnsi"/>
                <w:sz w:val="22"/>
                <w:szCs w:val="22"/>
              </w:rPr>
            </w:pPr>
            <w:r w:rsidRPr="00182D94">
              <w:rPr>
                <w:rFonts w:asciiTheme="majorHAnsi" w:hAnsiTheme="majorHAnsi"/>
                <w:sz w:val="22"/>
                <w:szCs w:val="22"/>
              </w:rPr>
              <w:t>Working Group made it clear that pre-approval and/or approval by proxy on the part of the prior registrant was acceptable, provided such pre-approvals are secured using a generally accepted method of authentication.  This is noticeably absent from the policy.</w:t>
            </w:r>
          </w:p>
          <w:p w14:paraId="4DA3127F" w14:textId="77777777" w:rsidR="001F23A0" w:rsidRPr="00182D94" w:rsidRDefault="001F23A0" w:rsidP="001F23A0">
            <w:pPr>
              <w:rPr>
                <w:rFonts w:asciiTheme="majorHAnsi" w:hAnsiTheme="majorHAnsi"/>
                <w:sz w:val="22"/>
                <w:szCs w:val="22"/>
              </w:rPr>
            </w:pPr>
          </w:p>
          <w:p w14:paraId="040965E9" w14:textId="77777777" w:rsidR="001F23A0" w:rsidRPr="00182D94" w:rsidRDefault="001F23A0" w:rsidP="001F23A0">
            <w:pPr>
              <w:rPr>
                <w:rFonts w:asciiTheme="majorHAnsi" w:hAnsiTheme="majorHAnsi"/>
                <w:sz w:val="22"/>
                <w:szCs w:val="22"/>
              </w:rPr>
            </w:pPr>
            <w:r w:rsidRPr="00182D94">
              <w:rPr>
                <w:rFonts w:asciiTheme="majorHAnsi" w:hAnsiTheme="majorHAnsi"/>
                <w:sz w:val="22"/>
                <w:szCs w:val="22"/>
              </w:rPr>
              <w:t>A change of registrant can be requested by the registrant or an authorized representative of the registrant – another aspect absent from the current Policy draft.</w:t>
            </w:r>
          </w:p>
          <w:p w14:paraId="779751F7" w14:textId="77777777" w:rsidR="007C1B96" w:rsidRPr="00E3587C" w:rsidRDefault="007C1B96" w:rsidP="00FD5E93">
            <w:pPr>
              <w:pStyle w:val="ListParagraph"/>
              <w:ind w:left="0"/>
              <w:rPr>
                <w:rFonts w:ascii="Calibri" w:hAnsi="Calibri"/>
                <w:sz w:val="22"/>
              </w:rPr>
            </w:pPr>
          </w:p>
        </w:tc>
        <w:tc>
          <w:tcPr>
            <w:tcW w:w="1668" w:type="dxa"/>
          </w:tcPr>
          <w:p w14:paraId="03306506" w14:textId="77777777" w:rsidR="007C1B96" w:rsidRPr="009203EA" w:rsidRDefault="001F23A0" w:rsidP="00FD5E93">
            <w:pPr>
              <w:contextualSpacing/>
              <w:rPr>
                <w:rFonts w:ascii="Calibri" w:hAnsi="Calibri"/>
                <w:sz w:val="22"/>
              </w:rPr>
            </w:pPr>
            <w:r>
              <w:rPr>
                <w:rFonts w:ascii="Calibri" w:hAnsi="Calibri"/>
                <w:sz w:val="22"/>
              </w:rPr>
              <w:t>NameJet</w:t>
            </w:r>
          </w:p>
        </w:tc>
        <w:tc>
          <w:tcPr>
            <w:tcW w:w="3102" w:type="dxa"/>
          </w:tcPr>
          <w:p w14:paraId="72A0470E" w14:textId="77777777" w:rsidR="007C1B96" w:rsidRPr="009203EA" w:rsidRDefault="007C1B96" w:rsidP="00FD5E93">
            <w:pPr>
              <w:contextualSpacing/>
              <w:rPr>
                <w:rFonts w:ascii="Calibri" w:hAnsi="Calibri"/>
                <w:sz w:val="22"/>
              </w:rPr>
            </w:pPr>
          </w:p>
        </w:tc>
        <w:tc>
          <w:tcPr>
            <w:tcW w:w="264" w:type="dxa"/>
          </w:tcPr>
          <w:p w14:paraId="09D2E6EB" w14:textId="77777777" w:rsidR="007C1B96" w:rsidRPr="009203EA" w:rsidRDefault="007C1B96" w:rsidP="00FD5E93">
            <w:pPr>
              <w:contextualSpacing/>
              <w:rPr>
                <w:rFonts w:ascii="Calibri" w:hAnsi="Calibri"/>
                <w:b/>
                <w:sz w:val="22"/>
              </w:rPr>
            </w:pPr>
          </w:p>
        </w:tc>
      </w:tr>
      <w:tr w:rsidR="004840D0" w:rsidRPr="009203EA" w14:paraId="71DAA817" w14:textId="77777777" w:rsidTr="004840D0">
        <w:trPr>
          <w:gridAfter w:val="1"/>
          <w:wAfter w:w="10" w:type="dxa"/>
          <w:cantSplit/>
        </w:trPr>
        <w:tc>
          <w:tcPr>
            <w:tcW w:w="675" w:type="dxa"/>
          </w:tcPr>
          <w:p w14:paraId="1B403F52" w14:textId="77777777" w:rsidR="007C1B96" w:rsidRPr="009203EA" w:rsidRDefault="007C1B96" w:rsidP="00FD5E93">
            <w:pPr>
              <w:numPr>
                <w:ilvl w:val="0"/>
                <w:numId w:val="1"/>
              </w:numPr>
              <w:contextualSpacing/>
              <w:rPr>
                <w:rFonts w:ascii="Calibri" w:hAnsi="Calibri"/>
                <w:b/>
                <w:sz w:val="22"/>
              </w:rPr>
            </w:pPr>
          </w:p>
        </w:tc>
        <w:tc>
          <w:tcPr>
            <w:tcW w:w="8703" w:type="dxa"/>
          </w:tcPr>
          <w:p w14:paraId="0AC9DE78" w14:textId="77777777" w:rsidR="001F23A0" w:rsidRPr="001F23A0" w:rsidRDefault="001F23A0" w:rsidP="001F23A0">
            <w:pPr>
              <w:rPr>
                <w:rFonts w:asciiTheme="majorHAnsi" w:hAnsiTheme="majorHAnsi"/>
                <w:sz w:val="22"/>
                <w:szCs w:val="22"/>
              </w:rPr>
            </w:pPr>
            <w:r w:rsidRPr="001F23A0">
              <w:rPr>
                <w:rFonts w:asciiTheme="majorHAnsi" w:hAnsiTheme="majorHAnsi"/>
                <w:sz w:val="22"/>
                <w:szCs w:val="22"/>
              </w:rPr>
              <w:t>The WG made it clear that that pre-approval and/or approval by proxy by on the part of the prior registrant was acceptable, provided such pre-approvals are secured using a generally accepted method of authentication. However, this stipulation is noticeably absent from the proposed policy update and conflicts with the recommendations and intent of the WG.  In addition, per the Report a change of registrant can be requested by the registrant or an authorized representative of the registrant, however, this language is noticeably absent from the policy.</w:t>
            </w:r>
          </w:p>
          <w:p w14:paraId="7D68657A" w14:textId="77777777" w:rsidR="007C1B96" w:rsidRPr="001D5EB5" w:rsidRDefault="007C1B96" w:rsidP="00FD5E93">
            <w:pPr>
              <w:pStyle w:val="ListParagraph"/>
              <w:ind w:left="0"/>
              <w:rPr>
                <w:rFonts w:ascii="Calibri" w:eastAsia="Times New Roman" w:hAnsi="Calibri"/>
                <w:color w:val="000000"/>
                <w:sz w:val="22"/>
                <w:szCs w:val="22"/>
              </w:rPr>
            </w:pPr>
          </w:p>
        </w:tc>
        <w:tc>
          <w:tcPr>
            <w:tcW w:w="1668" w:type="dxa"/>
          </w:tcPr>
          <w:p w14:paraId="2909E8E4" w14:textId="77777777" w:rsidR="007C1B96" w:rsidRDefault="001F23A0" w:rsidP="00FD5E93">
            <w:pPr>
              <w:contextualSpacing/>
              <w:rPr>
                <w:rFonts w:ascii="Calibri" w:hAnsi="Calibri"/>
                <w:sz w:val="22"/>
              </w:rPr>
            </w:pPr>
            <w:r>
              <w:rPr>
                <w:rFonts w:ascii="Calibri" w:hAnsi="Calibri"/>
                <w:sz w:val="22"/>
              </w:rPr>
              <w:t>Web.com</w:t>
            </w:r>
          </w:p>
        </w:tc>
        <w:tc>
          <w:tcPr>
            <w:tcW w:w="3102" w:type="dxa"/>
          </w:tcPr>
          <w:p w14:paraId="7C383822" w14:textId="77777777" w:rsidR="007C1B96" w:rsidRPr="009203EA" w:rsidRDefault="007C1B96" w:rsidP="00FD5E93">
            <w:pPr>
              <w:contextualSpacing/>
              <w:rPr>
                <w:rFonts w:ascii="Calibri" w:hAnsi="Calibri"/>
                <w:sz w:val="22"/>
              </w:rPr>
            </w:pPr>
          </w:p>
        </w:tc>
        <w:tc>
          <w:tcPr>
            <w:tcW w:w="264" w:type="dxa"/>
          </w:tcPr>
          <w:p w14:paraId="13CE713B" w14:textId="77777777" w:rsidR="007C1B96" w:rsidRPr="009203EA" w:rsidRDefault="007C1B96" w:rsidP="00FD5E93">
            <w:pPr>
              <w:contextualSpacing/>
              <w:rPr>
                <w:rFonts w:ascii="Calibri" w:hAnsi="Calibri"/>
                <w:b/>
                <w:sz w:val="22"/>
              </w:rPr>
            </w:pPr>
          </w:p>
        </w:tc>
      </w:tr>
      <w:tr w:rsidR="007C1B96" w:rsidRPr="009203EA" w14:paraId="0BDD305A" w14:textId="77777777" w:rsidTr="004840D0">
        <w:trPr>
          <w:cantSplit/>
        </w:trPr>
        <w:tc>
          <w:tcPr>
            <w:tcW w:w="14422" w:type="dxa"/>
            <w:gridSpan w:val="6"/>
            <w:shd w:val="clear" w:color="auto" w:fill="E0E0E0"/>
          </w:tcPr>
          <w:p w14:paraId="6C6F7B61" w14:textId="77777777" w:rsidR="007C1B96" w:rsidRPr="00FC0D0E" w:rsidRDefault="005F59EA" w:rsidP="00FD5E93">
            <w:pPr>
              <w:contextualSpacing/>
              <w:rPr>
                <w:rFonts w:ascii="Calibri" w:hAnsi="Calibri"/>
                <w:b/>
                <w:sz w:val="22"/>
                <w:szCs w:val="22"/>
              </w:rPr>
            </w:pPr>
            <w:r>
              <w:rPr>
                <w:rStyle w:val="response-question-title-text"/>
                <w:rFonts w:ascii="Calibri" w:eastAsia="Times New Roman" w:hAnsi="Calibri"/>
                <w:b/>
                <w:sz w:val="22"/>
                <w:szCs w:val="22"/>
              </w:rPr>
              <w:t>Related to the 60-day Lock</w:t>
            </w:r>
          </w:p>
        </w:tc>
      </w:tr>
      <w:tr w:rsidR="004840D0" w:rsidRPr="009203EA" w14:paraId="39787A23" w14:textId="77777777" w:rsidTr="004840D0">
        <w:trPr>
          <w:gridAfter w:val="1"/>
          <w:wAfter w:w="10" w:type="dxa"/>
          <w:cantSplit/>
        </w:trPr>
        <w:tc>
          <w:tcPr>
            <w:tcW w:w="675" w:type="dxa"/>
          </w:tcPr>
          <w:p w14:paraId="3F94A6C4" w14:textId="77777777" w:rsidR="007C1B96" w:rsidRPr="009203EA" w:rsidRDefault="007C1B96" w:rsidP="00FD5E93">
            <w:pPr>
              <w:numPr>
                <w:ilvl w:val="0"/>
                <w:numId w:val="1"/>
              </w:numPr>
              <w:contextualSpacing/>
              <w:rPr>
                <w:rFonts w:ascii="Calibri" w:hAnsi="Calibri"/>
                <w:b/>
                <w:sz w:val="22"/>
              </w:rPr>
            </w:pPr>
          </w:p>
        </w:tc>
        <w:tc>
          <w:tcPr>
            <w:tcW w:w="8703" w:type="dxa"/>
          </w:tcPr>
          <w:p w14:paraId="44CE7E47" w14:textId="77777777" w:rsidR="005F59EA" w:rsidRPr="005F59EA" w:rsidRDefault="005F59EA" w:rsidP="005F59EA">
            <w:pPr>
              <w:rPr>
                <w:rFonts w:asciiTheme="majorHAnsi" w:hAnsiTheme="majorHAnsi"/>
                <w:sz w:val="22"/>
                <w:szCs w:val="22"/>
              </w:rPr>
            </w:pPr>
            <w:r w:rsidRPr="005F59EA">
              <w:rPr>
                <w:rFonts w:asciiTheme="majorHAnsi" w:hAnsiTheme="majorHAnsi"/>
                <w:sz w:val="22"/>
                <w:szCs w:val="22"/>
              </w:rPr>
              <w:t>Definition of “Registrar Lock”: should be a defined term.  Clarity on this point will help registries and registrars engineer with greater precision.</w:t>
            </w:r>
          </w:p>
          <w:p w14:paraId="40CF31CD" w14:textId="77777777" w:rsidR="007C1B96" w:rsidRPr="00FC0D0E" w:rsidRDefault="007C1B96" w:rsidP="00FD5E93">
            <w:pPr>
              <w:pStyle w:val="ListParagraph"/>
              <w:ind w:left="0"/>
              <w:rPr>
                <w:rFonts w:ascii="Calibri" w:hAnsi="Calibri"/>
                <w:sz w:val="22"/>
                <w:szCs w:val="22"/>
              </w:rPr>
            </w:pPr>
          </w:p>
        </w:tc>
        <w:tc>
          <w:tcPr>
            <w:tcW w:w="1668" w:type="dxa"/>
          </w:tcPr>
          <w:p w14:paraId="67B64E4D" w14:textId="77777777" w:rsidR="007C1B96" w:rsidRPr="009203EA" w:rsidRDefault="005F59EA" w:rsidP="00FD5E93">
            <w:pPr>
              <w:contextualSpacing/>
              <w:rPr>
                <w:rFonts w:ascii="Calibri" w:hAnsi="Calibri"/>
                <w:sz w:val="22"/>
              </w:rPr>
            </w:pPr>
            <w:r>
              <w:rPr>
                <w:rFonts w:ascii="Calibri" w:hAnsi="Calibri"/>
                <w:sz w:val="22"/>
              </w:rPr>
              <w:t>Donuts</w:t>
            </w:r>
          </w:p>
        </w:tc>
        <w:tc>
          <w:tcPr>
            <w:tcW w:w="3102" w:type="dxa"/>
          </w:tcPr>
          <w:p w14:paraId="57E6CF17" w14:textId="77777777" w:rsidR="007C1B96" w:rsidRPr="009203EA" w:rsidRDefault="007C1B96" w:rsidP="00FD5E93">
            <w:pPr>
              <w:contextualSpacing/>
              <w:rPr>
                <w:rFonts w:ascii="Calibri" w:hAnsi="Calibri"/>
                <w:sz w:val="22"/>
              </w:rPr>
            </w:pPr>
          </w:p>
        </w:tc>
        <w:tc>
          <w:tcPr>
            <w:tcW w:w="264" w:type="dxa"/>
          </w:tcPr>
          <w:p w14:paraId="4CA38D81" w14:textId="77777777" w:rsidR="007C1B96" w:rsidRPr="009203EA" w:rsidRDefault="007C1B96" w:rsidP="00FD5E93">
            <w:pPr>
              <w:contextualSpacing/>
              <w:rPr>
                <w:rFonts w:ascii="Calibri" w:hAnsi="Calibri"/>
                <w:b/>
                <w:sz w:val="22"/>
              </w:rPr>
            </w:pPr>
          </w:p>
        </w:tc>
      </w:tr>
      <w:tr w:rsidR="004840D0" w:rsidRPr="009203EA" w14:paraId="334C0ED2" w14:textId="77777777" w:rsidTr="004840D0">
        <w:trPr>
          <w:gridAfter w:val="1"/>
          <w:wAfter w:w="10" w:type="dxa"/>
          <w:cantSplit/>
        </w:trPr>
        <w:tc>
          <w:tcPr>
            <w:tcW w:w="675" w:type="dxa"/>
          </w:tcPr>
          <w:p w14:paraId="5DF2563F" w14:textId="77777777" w:rsidR="007C1B96" w:rsidRPr="009203EA" w:rsidRDefault="007C1B96" w:rsidP="00FD5E93">
            <w:pPr>
              <w:numPr>
                <w:ilvl w:val="0"/>
                <w:numId w:val="1"/>
              </w:numPr>
              <w:contextualSpacing/>
              <w:rPr>
                <w:rFonts w:ascii="Calibri" w:hAnsi="Calibri"/>
                <w:b/>
                <w:sz w:val="22"/>
              </w:rPr>
            </w:pPr>
          </w:p>
        </w:tc>
        <w:tc>
          <w:tcPr>
            <w:tcW w:w="8703" w:type="dxa"/>
          </w:tcPr>
          <w:p w14:paraId="34E39E4E" w14:textId="77777777" w:rsidR="007C1B96" w:rsidRPr="005F59EA" w:rsidRDefault="005F59EA" w:rsidP="005F59EA">
            <w:pPr>
              <w:rPr>
                <w:rFonts w:asciiTheme="majorHAnsi" w:hAnsiTheme="majorHAnsi"/>
                <w:sz w:val="22"/>
                <w:szCs w:val="22"/>
              </w:rPr>
            </w:pPr>
            <w:r w:rsidRPr="005F59EA">
              <w:rPr>
                <w:rFonts w:asciiTheme="majorHAnsi" w:hAnsiTheme="majorHAnsi"/>
                <w:sz w:val="22"/>
                <w:szCs w:val="22"/>
              </w:rPr>
              <w:t xml:space="preserve">Opposed to 60-day lock: This is problematic for a customer who wishes to house the domain name with another registrar; the registrant of a name near expiry may also unnecessarily incur a renewal fee, as well as the automatic one-year renewal upon transfer, as a result.  Donuts observes an opt-out of the transfer lock provision is proposed, though in actuality, the registrant may or may not notice it and therefore make use. Should a previous registrant to opt out as well. </w:t>
            </w:r>
          </w:p>
        </w:tc>
        <w:tc>
          <w:tcPr>
            <w:tcW w:w="1668" w:type="dxa"/>
          </w:tcPr>
          <w:p w14:paraId="1B3CF400" w14:textId="77777777" w:rsidR="007C1B96" w:rsidRDefault="005F59EA" w:rsidP="00FD5E93">
            <w:pPr>
              <w:contextualSpacing/>
              <w:rPr>
                <w:rFonts w:ascii="Calibri" w:hAnsi="Calibri"/>
                <w:sz w:val="22"/>
              </w:rPr>
            </w:pPr>
            <w:r>
              <w:rPr>
                <w:rFonts w:ascii="Calibri" w:hAnsi="Calibri"/>
                <w:sz w:val="22"/>
              </w:rPr>
              <w:t>Donuts</w:t>
            </w:r>
          </w:p>
        </w:tc>
        <w:tc>
          <w:tcPr>
            <w:tcW w:w="3102" w:type="dxa"/>
          </w:tcPr>
          <w:p w14:paraId="0C69596D" w14:textId="77777777" w:rsidR="007C1B96" w:rsidRPr="009203EA" w:rsidRDefault="007C1B96" w:rsidP="00FD5E93">
            <w:pPr>
              <w:contextualSpacing/>
              <w:rPr>
                <w:rFonts w:ascii="Calibri" w:hAnsi="Calibri"/>
                <w:sz w:val="22"/>
              </w:rPr>
            </w:pPr>
          </w:p>
        </w:tc>
        <w:tc>
          <w:tcPr>
            <w:tcW w:w="264" w:type="dxa"/>
          </w:tcPr>
          <w:p w14:paraId="409871A1" w14:textId="77777777" w:rsidR="007C1B96" w:rsidRPr="009203EA" w:rsidRDefault="007C1B96" w:rsidP="00FD5E93">
            <w:pPr>
              <w:contextualSpacing/>
              <w:rPr>
                <w:rFonts w:ascii="Calibri" w:hAnsi="Calibri"/>
                <w:b/>
                <w:sz w:val="22"/>
              </w:rPr>
            </w:pPr>
          </w:p>
        </w:tc>
      </w:tr>
      <w:tr w:rsidR="004840D0" w:rsidRPr="009203EA" w14:paraId="77487BCA" w14:textId="77777777" w:rsidTr="004840D0">
        <w:trPr>
          <w:gridAfter w:val="1"/>
          <w:wAfter w:w="10" w:type="dxa"/>
          <w:cantSplit/>
        </w:trPr>
        <w:tc>
          <w:tcPr>
            <w:tcW w:w="675" w:type="dxa"/>
          </w:tcPr>
          <w:p w14:paraId="07E16642" w14:textId="77777777" w:rsidR="007C1B96" w:rsidRPr="009203EA" w:rsidRDefault="007C1B96" w:rsidP="00FD5E93">
            <w:pPr>
              <w:numPr>
                <w:ilvl w:val="0"/>
                <w:numId w:val="1"/>
              </w:numPr>
              <w:contextualSpacing/>
              <w:rPr>
                <w:rFonts w:ascii="Calibri" w:hAnsi="Calibri"/>
                <w:b/>
                <w:sz w:val="22"/>
              </w:rPr>
            </w:pPr>
          </w:p>
        </w:tc>
        <w:tc>
          <w:tcPr>
            <w:tcW w:w="8703" w:type="dxa"/>
          </w:tcPr>
          <w:p w14:paraId="6D1CAEE4" w14:textId="77777777" w:rsidR="005F59EA" w:rsidRPr="005F59EA" w:rsidRDefault="005F59EA" w:rsidP="005F59EA">
            <w:pPr>
              <w:rPr>
                <w:rFonts w:asciiTheme="majorHAnsi" w:hAnsiTheme="majorHAnsi"/>
                <w:sz w:val="22"/>
                <w:szCs w:val="22"/>
              </w:rPr>
            </w:pPr>
            <w:r w:rsidRPr="005F59EA">
              <w:rPr>
                <w:rFonts w:asciiTheme="majorHAnsi" w:hAnsiTheme="majorHAnsi"/>
                <w:sz w:val="22"/>
                <w:szCs w:val="22"/>
              </w:rPr>
              <w:t>60-Day Lock on transfers: This lock will cause confusion. We recommend that if a 60-day lock is implemented, that the customer may opt-out of the 60-day lock at any time, not only prior to the change in registrant.</w:t>
            </w:r>
          </w:p>
          <w:p w14:paraId="006E5486" w14:textId="77777777" w:rsidR="007C1B96" w:rsidRPr="001D5EB5" w:rsidRDefault="007C1B96" w:rsidP="00FD5E93">
            <w:pPr>
              <w:pStyle w:val="ListParagraph"/>
              <w:ind w:left="0"/>
              <w:rPr>
                <w:rFonts w:ascii="Calibri" w:eastAsia="Times New Roman" w:hAnsi="Calibri"/>
                <w:color w:val="000000"/>
                <w:sz w:val="22"/>
                <w:szCs w:val="22"/>
              </w:rPr>
            </w:pPr>
          </w:p>
        </w:tc>
        <w:tc>
          <w:tcPr>
            <w:tcW w:w="1668" w:type="dxa"/>
          </w:tcPr>
          <w:p w14:paraId="23AD372D" w14:textId="77777777" w:rsidR="007C1B96" w:rsidRDefault="005F59EA" w:rsidP="00FD5E93">
            <w:pPr>
              <w:contextualSpacing/>
              <w:rPr>
                <w:rFonts w:ascii="Calibri" w:hAnsi="Calibri"/>
                <w:sz w:val="22"/>
              </w:rPr>
            </w:pPr>
            <w:r>
              <w:rPr>
                <w:rFonts w:ascii="Calibri" w:hAnsi="Calibri"/>
                <w:sz w:val="22"/>
              </w:rPr>
              <w:t>eNom</w:t>
            </w:r>
          </w:p>
        </w:tc>
        <w:tc>
          <w:tcPr>
            <w:tcW w:w="3102" w:type="dxa"/>
          </w:tcPr>
          <w:p w14:paraId="472A906A" w14:textId="77777777" w:rsidR="007C1B96" w:rsidRPr="009203EA" w:rsidRDefault="007C1B96" w:rsidP="00FD5E93">
            <w:pPr>
              <w:contextualSpacing/>
              <w:rPr>
                <w:rFonts w:ascii="Calibri" w:hAnsi="Calibri"/>
                <w:sz w:val="22"/>
              </w:rPr>
            </w:pPr>
          </w:p>
        </w:tc>
        <w:tc>
          <w:tcPr>
            <w:tcW w:w="264" w:type="dxa"/>
          </w:tcPr>
          <w:p w14:paraId="46F31A65" w14:textId="77777777" w:rsidR="007C1B96" w:rsidRPr="009203EA" w:rsidRDefault="007C1B96" w:rsidP="00FD5E93">
            <w:pPr>
              <w:contextualSpacing/>
              <w:rPr>
                <w:rFonts w:ascii="Calibri" w:hAnsi="Calibri"/>
                <w:b/>
                <w:sz w:val="22"/>
              </w:rPr>
            </w:pPr>
          </w:p>
        </w:tc>
      </w:tr>
      <w:tr w:rsidR="004840D0" w:rsidRPr="009203EA" w14:paraId="3AAF6107" w14:textId="77777777" w:rsidTr="004840D0">
        <w:trPr>
          <w:gridAfter w:val="1"/>
          <w:wAfter w:w="10" w:type="dxa"/>
          <w:cantSplit/>
        </w:trPr>
        <w:tc>
          <w:tcPr>
            <w:tcW w:w="675" w:type="dxa"/>
          </w:tcPr>
          <w:p w14:paraId="32C1F230" w14:textId="77777777" w:rsidR="007C1B96" w:rsidRPr="005F59EA" w:rsidRDefault="007C1B96" w:rsidP="00FD5E93">
            <w:pPr>
              <w:numPr>
                <w:ilvl w:val="0"/>
                <w:numId w:val="1"/>
              </w:numPr>
              <w:contextualSpacing/>
              <w:rPr>
                <w:rFonts w:asciiTheme="majorHAnsi" w:hAnsiTheme="majorHAnsi"/>
                <w:b/>
                <w:sz w:val="22"/>
                <w:szCs w:val="22"/>
              </w:rPr>
            </w:pPr>
          </w:p>
        </w:tc>
        <w:tc>
          <w:tcPr>
            <w:tcW w:w="8703" w:type="dxa"/>
          </w:tcPr>
          <w:p w14:paraId="5574F460" w14:textId="77777777" w:rsidR="005F59EA" w:rsidRPr="005F59EA" w:rsidRDefault="005F59EA" w:rsidP="005F59EA">
            <w:pPr>
              <w:rPr>
                <w:rFonts w:asciiTheme="majorHAnsi" w:hAnsiTheme="majorHAnsi"/>
                <w:sz w:val="22"/>
                <w:szCs w:val="22"/>
              </w:rPr>
            </w:pPr>
            <w:r w:rsidRPr="005F59EA">
              <w:rPr>
                <w:rFonts w:asciiTheme="majorHAnsi" w:hAnsiTheme="majorHAnsi"/>
                <w:sz w:val="22"/>
                <w:szCs w:val="22"/>
              </w:rPr>
              <w:t xml:space="preserve">60-day lock impedes simultaneous change of registrar and registrant. We recommend that the IRTP support a means of authorizing simultaneous change of registrant and registrar to avoid complications where all parties can agree to and authorize the combined transfer. </w:t>
            </w:r>
          </w:p>
          <w:p w14:paraId="02CFF805" w14:textId="77777777" w:rsidR="007C1B96" w:rsidRPr="005F59EA" w:rsidRDefault="007C1B96" w:rsidP="00FD5E93">
            <w:pPr>
              <w:pStyle w:val="ListParagraph"/>
              <w:ind w:left="0"/>
              <w:rPr>
                <w:rFonts w:asciiTheme="majorHAnsi" w:eastAsia="Times New Roman" w:hAnsiTheme="majorHAnsi"/>
                <w:color w:val="000000"/>
                <w:sz w:val="22"/>
                <w:szCs w:val="22"/>
              </w:rPr>
            </w:pPr>
          </w:p>
        </w:tc>
        <w:tc>
          <w:tcPr>
            <w:tcW w:w="1668" w:type="dxa"/>
          </w:tcPr>
          <w:p w14:paraId="7F6A95EE" w14:textId="77777777" w:rsidR="007C1B96" w:rsidRDefault="005F59EA" w:rsidP="00FD5E93">
            <w:pPr>
              <w:contextualSpacing/>
              <w:rPr>
                <w:rFonts w:ascii="Calibri" w:hAnsi="Calibri"/>
                <w:sz w:val="22"/>
              </w:rPr>
            </w:pPr>
            <w:r>
              <w:rPr>
                <w:rFonts w:ascii="Calibri" w:hAnsi="Calibri"/>
                <w:sz w:val="22"/>
              </w:rPr>
              <w:t>Google</w:t>
            </w:r>
          </w:p>
        </w:tc>
        <w:tc>
          <w:tcPr>
            <w:tcW w:w="3102" w:type="dxa"/>
          </w:tcPr>
          <w:p w14:paraId="3706BB8F" w14:textId="77777777" w:rsidR="007C1B96" w:rsidRPr="009203EA" w:rsidRDefault="007C1B96" w:rsidP="00FD5E93">
            <w:pPr>
              <w:contextualSpacing/>
              <w:rPr>
                <w:rFonts w:ascii="Calibri" w:hAnsi="Calibri"/>
                <w:sz w:val="22"/>
              </w:rPr>
            </w:pPr>
          </w:p>
        </w:tc>
        <w:tc>
          <w:tcPr>
            <w:tcW w:w="264" w:type="dxa"/>
          </w:tcPr>
          <w:p w14:paraId="18561D51" w14:textId="77777777" w:rsidR="007C1B96" w:rsidRPr="009203EA" w:rsidRDefault="007C1B96" w:rsidP="00FD5E93">
            <w:pPr>
              <w:contextualSpacing/>
              <w:rPr>
                <w:rFonts w:ascii="Calibri" w:hAnsi="Calibri"/>
                <w:b/>
                <w:sz w:val="22"/>
              </w:rPr>
            </w:pPr>
          </w:p>
        </w:tc>
      </w:tr>
    </w:tbl>
    <w:p w14:paraId="7847A9C7" w14:textId="77777777" w:rsidR="007C1B96" w:rsidRDefault="007C1B96" w:rsidP="007C1B96"/>
    <w:p w14:paraId="70493B04" w14:textId="77777777" w:rsidR="00A038E4" w:rsidRDefault="00A038E4"/>
    <w:sectPr w:rsidR="00A038E4" w:rsidSect="00FD5E93">
      <w:headerReference w:type="even" r:id="rId9"/>
      <w:headerReference w:type="default" r:id="rId10"/>
      <w:footerReference w:type="even" r:id="rId11"/>
      <w:footerReference w:type="default" r:id="rId12"/>
      <w:headerReference w:type="first" r:id="rId13"/>
      <w:footerReference w:type="first" r:id="rId14"/>
      <w:pgSz w:w="16840" w:h="1190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329A9B" w14:textId="77777777" w:rsidR="0064157F" w:rsidRDefault="0064157F">
      <w:r>
        <w:separator/>
      </w:r>
    </w:p>
  </w:endnote>
  <w:endnote w:type="continuationSeparator" w:id="0">
    <w:p w14:paraId="0DD54427" w14:textId="77777777" w:rsidR="0064157F" w:rsidRDefault="00641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BE11F" w14:textId="77777777" w:rsidR="0064157F" w:rsidRDefault="0064157F" w:rsidP="00FD5E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484817" w14:textId="77777777" w:rsidR="0064157F" w:rsidRDefault="0064157F" w:rsidP="00FD5E9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31DCC" w14:textId="77777777" w:rsidR="0064157F" w:rsidRPr="00271977" w:rsidRDefault="0064157F" w:rsidP="00FD5E93">
    <w:pPr>
      <w:pStyle w:val="Footer"/>
      <w:framePr w:wrap="around" w:vAnchor="text" w:hAnchor="margin" w:xAlign="right" w:y="1"/>
      <w:rPr>
        <w:rStyle w:val="PageNumber"/>
        <w:rFonts w:ascii="Calibri" w:hAnsi="Calibri"/>
        <w:sz w:val="20"/>
        <w:szCs w:val="20"/>
      </w:rPr>
    </w:pPr>
    <w:r w:rsidRPr="00271977">
      <w:rPr>
        <w:rStyle w:val="PageNumber"/>
        <w:rFonts w:ascii="Calibri" w:hAnsi="Calibri"/>
        <w:sz w:val="20"/>
        <w:szCs w:val="20"/>
      </w:rPr>
      <w:fldChar w:fldCharType="begin"/>
    </w:r>
    <w:r w:rsidRPr="00271977">
      <w:rPr>
        <w:rStyle w:val="PageNumber"/>
        <w:rFonts w:ascii="Calibri" w:hAnsi="Calibri"/>
        <w:sz w:val="20"/>
        <w:szCs w:val="20"/>
      </w:rPr>
      <w:instrText xml:space="preserve">PAGE  </w:instrText>
    </w:r>
    <w:r w:rsidRPr="00271977">
      <w:rPr>
        <w:rStyle w:val="PageNumber"/>
        <w:rFonts w:ascii="Calibri" w:hAnsi="Calibri"/>
        <w:sz w:val="20"/>
        <w:szCs w:val="20"/>
      </w:rPr>
      <w:fldChar w:fldCharType="separate"/>
    </w:r>
    <w:r w:rsidR="004840D0">
      <w:rPr>
        <w:rStyle w:val="PageNumber"/>
        <w:rFonts w:ascii="Calibri" w:hAnsi="Calibri"/>
        <w:noProof/>
        <w:sz w:val="20"/>
        <w:szCs w:val="20"/>
      </w:rPr>
      <w:t>1</w:t>
    </w:r>
    <w:r w:rsidRPr="00271977">
      <w:rPr>
        <w:rStyle w:val="PageNumber"/>
        <w:rFonts w:ascii="Calibri" w:hAnsi="Calibri"/>
        <w:sz w:val="20"/>
        <w:szCs w:val="20"/>
      </w:rPr>
      <w:fldChar w:fldCharType="end"/>
    </w:r>
  </w:p>
  <w:p w14:paraId="54AAD88D" w14:textId="77777777" w:rsidR="0064157F" w:rsidRDefault="0064157F" w:rsidP="00FD5E93">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5353D" w14:textId="77777777" w:rsidR="0064157F" w:rsidRDefault="0064157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997B14" w14:textId="77777777" w:rsidR="0064157F" w:rsidRDefault="0064157F">
      <w:r>
        <w:separator/>
      </w:r>
    </w:p>
  </w:footnote>
  <w:footnote w:type="continuationSeparator" w:id="0">
    <w:p w14:paraId="7B958293" w14:textId="77777777" w:rsidR="0064157F" w:rsidRDefault="0064157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9EEE1" w14:textId="77777777" w:rsidR="0064157F" w:rsidRDefault="0064157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5F643" w14:textId="77777777" w:rsidR="0064157F" w:rsidRDefault="0064157F">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4821B" w14:textId="77777777" w:rsidR="0064157F" w:rsidRDefault="0064157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ï"/>
      <w:lvlJc w:val="left"/>
      <w:pPr>
        <w:ind w:left="822" w:hanging="360"/>
      </w:pPr>
      <w:rPr>
        <w:rFonts w:ascii="Symbol" w:hAnsi="Symbol" w:cs="Symbol"/>
        <w:b w:val="0"/>
        <w:bCs w:val="0"/>
        <w:w w:val="102"/>
        <w:sz w:val="21"/>
        <w:szCs w:val="21"/>
      </w:rPr>
    </w:lvl>
    <w:lvl w:ilvl="1">
      <w:numFmt w:val="bullet"/>
      <w:lvlText w:val="ï"/>
      <w:lvlJc w:val="left"/>
      <w:pPr>
        <w:ind w:left="1734" w:hanging="360"/>
      </w:pPr>
    </w:lvl>
    <w:lvl w:ilvl="2">
      <w:numFmt w:val="bullet"/>
      <w:lvlText w:val="ï"/>
      <w:lvlJc w:val="left"/>
      <w:pPr>
        <w:ind w:left="2645" w:hanging="360"/>
      </w:pPr>
    </w:lvl>
    <w:lvl w:ilvl="3">
      <w:numFmt w:val="bullet"/>
      <w:lvlText w:val="ï"/>
      <w:lvlJc w:val="left"/>
      <w:pPr>
        <w:ind w:left="3557" w:hanging="360"/>
      </w:pPr>
    </w:lvl>
    <w:lvl w:ilvl="4">
      <w:numFmt w:val="bullet"/>
      <w:lvlText w:val="ï"/>
      <w:lvlJc w:val="left"/>
      <w:pPr>
        <w:ind w:left="4469" w:hanging="360"/>
      </w:pPr>
    </w:lvl>
    <w:lvl w:ilvl="5">
      <w:numFmt w:val="bullet"/>
      <w:lvlText w:val="ï"/>
      <w:lvlJc w:val="left"/>
      <w:pPr>
        <w:ind w:left="5381" w:hanging="360"/>
      </w:pPr>
    </w:lvl>
    <w:lvl w:ilvl="6">
      <w:numFmt w:val="bullet"/>
      <w:lvlText w:val="ï"/>
      <w:lvlJc w:val="left"/>
      <w:pPr>
        <w:ind w:left="6292" w:hanging="360"/>
      </w:pPr>
    </w:lvl>
    <w:lvl w:ilvl="7">
      <w:numFmt w:val="bullet"/>
      <w:lvlText w:val="ï"/>
      <w:lvlJc w:val="left"/>
      <w:pPr>
        <w:ind w:left="7204" w:hanging="360"/>
      </w:pPr>
    </w:lvl>
    <w:lvl w:ilvl="8">
      <w:numFmt w:val="bullet"/>
      <w:lvlText w:val="ï"/>
      <w:lvlJc w:val="left"/>
      <w:pPr>
        <w:ind w:left="8116" w:hanging="360"/>
      </w:pPr>
    </w:lvl>
  </w:abstractNum>
  <w:abstractNum w:abstractNumId="1">
    <w:nsid w:val="0567761B"/>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75464D"/>
    <w:multiLevelType w:val="hybridMultilevel"/>
    <w:tmpl w:val="43E6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06BDE"/>
    <w:multiLevelType w:val="hybridMultilevel"/>
    <w:tmpl w:val="1B4CB5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964643C"/>
    <w:multiLevelType w:val="hybridMultilevel"/>
    <w:tmpl w:val="8D9C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9C29BE"/>
    <w:multiLevelType w:val="hybridMultilevel"/>
    <w:tmpl w:val="CE181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A45BA9"/>
    <w:multiLevelType w:val="hybridMultilevel"/>
    <w:tmpl w:val="62D02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953BC7"/>
    <w:multiLevelType w:val="hybridMultilevel"/>
    <w:tmpl w:val="AF68C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3A5877"/>
    <w:multiLevelType w:val="hybridMultilevel"/>
    <w:tmpl w:val="B9465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8B262B"/>
    <w:multiLevelType w:val="hybridMultilevel"/>
    <w:tmpl w:val="D9FAC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A51980"/>
    <w:multiLevelType w:val="hybridMultilevel"/>
    <w:tmpl w:val="2C60A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BD6508"/>
    <w:multiLevelType w:val="hybridMultilevel"/>
    <w:tmpl w:val="F6C81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10"/>
  </w:num>
  <w:num w:numId="5">
    <w:abstractNumId w:val="6"/>
  </w:num>
  <w:num w:numId="6">
    <w:abstractNumId w:val="4"/>
  </w:num>
  <w:num w:numId="7">
    <w:abstractNumId w:val="8"/>
  </w:num>
  <w:num w:numId="8">
    <w:abstractNumId w:val="11"/>
  </w:num>
  <w:num w:numId="9">
    <w:abstractNumId w:val="2"/>
  </w:num>
  <w:num w:numId="10">
    <w:abstractNumId w:val="9"/>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B96"/>
    <w:rsid w:val="00182D94"/>
    <w:rsid w:val="001F23A0"/>
    <w:rsid w:val="004840D0"/>
    <w:rsid w:val="005F59EA"/>
    <w:rsid w:val="0064157F"/>
    <w:rsid w:val="00715CB1"/>
    <w:rsid w:val="007C1B96"/>
    <w:rsid w:val="008E2A00"/>
    <w:rsid w:val="009A6FAF"/>
    <w:rsid w:val="00A038E4"/>
    <w:rsid w:val="00C22FA7"/>
    <w:rsid w:val="00F11991"/>
    <w:rsid w:val="00FD5E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02EA3D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B96"/>
    <w:rPr>
      <w:rFonts w:ascii="Cambria" w:eastAsia="ＭＳ 明朝"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B96"/>
    <w:pPr>
      <w:ind w:left="720"/>
      <w:contextualSpacing/>
    </w:pPr>
    <w:rPr>
      <w:rFonts w:eastAsia="Cambria"/>
    </w:rPr>
  </w:style>
  <w:style w:type="paragraph" w:styleId="Footer">
    <w:name w:val="footer"/>
    <w:basedOn w:val="Normal"/>
    <w:link w:val="FooterChar"/>
    <w:uiPriority w:val="99"/>
    <w:unhideWhenUsed/>
    <w:rsid w:val="007C1B96"/>
    <w:pPr>
      <w:tabs>
        <w:tab w:val="center" w:pos="4320"/>
        <w:tab w:val="right" w:pos="8640"/>
      </w:tabs>
    </w:pPr>
  </w:style>
  <w:style w:type="character" w:customStyle="1" w:styleId="FooterChar">
    <w:name w:val="Footer Char"/>
    <w:basedOn w:val="DefaultParagraphFont"/>
    <w:link w:val="Footer"/>
    <w:uiPriority w:val="99"/>
    <w:rsid w:val="007C1B96"/>
    <w:rPr>
      <w:rFonts w:ascii="Cambria" w:eastAsia="ＭＳ 明朝" w:hAnsi="Cambria" w:cs="Times New Roman"/>
    </w:rPr>
  </w:style>
  <w:style w:type="character" w:styleId="PageNumber">
    <w:name w:val="page number"/>
    <w:uiPriority w:val="99"/>
    <w:semiHidden/>
    <w:unhideWhenUsed/>
    <w:rsid w:val="007C1B96"/>
  </w:style>
  <w:style w:type="paragraph" w:styleId="Header">
    <w:name w:val="header"/>
    <w:basedOn w:val="Normal"/>
    <w:link w:val="HeaderChar"/>
    <w:uiPriority w:val="99"/>
    <w:unhideWhenUsed/>
    <w:rsid w:val="007C1B96"/>
    <w:pPr>
      <w:tabs>
        <w:tab w:val="center" w:pos="4320"/>
        <w:tab w:val="right" w:pos="8640"/>
      </w:tabs>
    </w:pPr>
  </w:style>
  <w:style w:type="character" w:customStyle="1" w:styleId="HeaderChar">
    <w:name w:val="Header Char"/>
    <w:basedOn w:val="DefaultParagraphFont"/>
    <w:link w:val="Header"/>
    <w:uiPriority w:val="99"/>
    <w:rsid w:val="007C1B96"/>
    <w:rPr>
      <w:rFonts w:ascii="Cambria" w:eastAsia="ＭＳ 明朝" w:hAnsi="Cambria" w:cs="Times New Roman"/>
    </w:rPr>
  </w:style>
  <w:style w:type="character" w:styleId="Hyperlink">
    <w:name w:val="Hyperlink"/>
    <w:uiPriority w:val="99"/>
    <w:unhideWhenUsed/>
    <w:rsid w:val="007C1B96"/>
    <w:rPr>
      <w:color w:val="0000FF"/>
      <w:u w:val="single"/>
    </w:rPr>
  </w:style>
  <w:style w:type="paragraph" w:styleId="BalloonText">
    <w:name w:val="Balloon Text"/>
    <w:basedOn w:val="Normal"/>
    <w:link w:val="BalloonTextChar"/>
    <w:uiPriority w:val="99"/>
    <w:semiHidden/>
    <w:unhideWhenUsed/>
    <w:rsid w:val="007C1B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1B96"/>
    <w:rPr>
      <w:rFonts w:ascii="Lucida Grande" w:eastAsia="ＭＳ 明朝" w:hAnsi="Lucida Grande" w:cs="Lucida Grande"/>
      <w:sz w:val="18"/>
      <w:szCs w:val="18"/>
    </w:rPr>
  </w:style>
  <w:style w:type="character" w:customStyle="1" w:styleId="response-text">
    <w:name w:val="response-text"/>
    <w:rsid w:val="007C1B96"/>
  </w:style>
  <w:style w:type="paragraph" w:styleId="BodyText">
    <w:name w:val="Body Text"/>
    <w:basedOn w:val="Normal"/>
    <w:link w:val="BodyTextChar"/>
    <w:uiPriority w:val="1"/>
    <w:qFormat/>
    <w:rsid w:val="007C1B96"/>
    <w:pPr>
      <w:widowControl w:val="0"/>
      <w:autoSpaceDE w:val="0"/>
      <w:autoSpaceDN w:val="0"/>
      <w:adjustRightInd w:val="0"/>
      <w:spacing w:before="108"/>
      <w:ind w:left="462" w:hanging="360"/>
    </w:pPr>
    <w:rPr>
      <w:rFonts w:ascii="Calibri" w:hAnsi="Calibri" w:cs="Calibri"/>
      <w:sz w:val="21"/>
      <w:szCs w:val="21"/>
    </w:rPr>
  </w:style>
  <w:style w:type="character" w:customStyle="1" w:styleId="BodyTextChar">
    <w:name w:val="Body Text Char"/>
    <w:basedOn w:val="DefaultParagraphFont"/>
    <w:link w:val="BodyText"/>
    <w:uiPriority w:val="1"/>
    <w:rsid w:val="007C1B96"/>
    <w:rPr>
      <w:rFonts w:ascii="Calibri" w:eastAsia="ＭＳ 明朝" w:hAnsi="Calibri" w:cs="Calibri"/>
      <w:sz w:val="21"/>
      <w:szCs w:val="21"/>
    </w:rPr>
  </w:style>
  <w:style w:type="character" w:customStyle="1" w:styleId="response-question-title-text">
    <w:name w:val="response-question-title-text"/>
    <w:rsid w:val="007C1B9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B96"/>
    <w:rPr>
      <w:rFonts w:ascii="Cambria" w:eastAsia="ＭＳ 明朝"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B96"/>
    <w:pPr>
      <w:ind w:left="720"/>
      <w:contextualSpacing/>
    </w:pPr>
    <w:rPr>
      <w:rFonts w:eastAsia="Cambria"/>
    </w:rPr>
  </w:style>
  <w:style w:type="paragraph" w:styleId="Footer">
    <w:name w:val="footer"/>
    <w:basedOn w:val="Normal"/>
    <w:link w:val="FooterChar"/>
    <w:uiPriority w:val="99"/>
    <w:unhideWhenUsed/>
    <w:rsid w:val="007C1B96"/>
    <w:pPr>
      <w:tabs>
        <w:tab w:val="center" w:pos="4320"/>
        <w:tab w:val="right" w:pos="8640"/>
      </w:tabs>
    </w:pPr>
  </w:style>
  <w:style w:type="character" w:customStyle="1" w:styleId="FooterChar">
    <w:name w:val="Footer Char"/>
    <w:basedOn w:val="DefaultParagraphFont"/>
    <w:link w:val="Footer"/>
    <w:uiPriority w:val="99"/>
    <w:rsid w:val="007C1B96"/>
    <w:rPr>
      <w:rFonts w:ascii="Cambria" w:eastAsia="ＭＳ 明朝" w:hAnsi="Cambria" w:cs="Times New Roman"/>
    </w:rPr>
  </w:style>
  <w:style w:type="character" w:styleId="PageNumber">
    <w:name w:val="page number"/>
    <w:uiPriority w:val="99"/>
    <w:semiHidden/>
    <w:unhideWhenUsed/>
    <w:rsid w:val="007C1B96"/>
  </w:style>
  <w:style w:type="paragraph" w:styleId="Header">
    <w:name w:val="header"/>
    <w:basedOn w:val="Normal"/>
    <w:link w:val="HeaderChar"/>
    <w:uiPriority w:val="99"/>
    <w:unhideWhenUsed/>
    <w:rsid w:val="007C1B96"/>
    <w:pPr>
      <w:tabs>
        <w:tab w:val="center" w:pos="4320"/>
        <w:tab w:val="right" w:pos="8640"/>
      </w:tabs>
    </w:pPr>
  </w:style>
  <w:style w:type="character" w:customStyle="1" w:styleId="HeaderChar">
    <w:name w:val="Header Char"/>
    <w:basedOn w:val="DefaultParagraphFont"/>
    <w:link w:val="Header"/>
    <w:uiPriority w:val="99"/>
    <w:rsid w:val="007C1B96"/>
    <w:rPr>
      <w:rFonts w:ascii="Cambria" w:eastAsia="ＭＳ 明朝" w:hAnsi="Cambria" w:cs="Times New Roman"/>
    </w:rPr>
  </w:style>
  <w:style w:type="character" w:styleId="Hyperlink">
    <w:name w:val="Hyperlink"/>
    <w:uiPriority w:val="99"/>
    <w:unhideWhenUsed/>
    <w:rsid w:val="007C1B96"/>
    <w:rPr>
      <w:color w:val="0000FF"/>
      <w:u w:val="single"/>
    </w:rPr>
  </w:style>
  <w:style w:type="paragraph" w:styleId="BalloonText">
    <w:name w:val="Balloon Text"/>
    <w:basedOn w:val="Normal"/>
    <w:link w:val="BalloonTextChar"/>
    <w:uiPriority w:val="99"/>
    <w:semiHidden/>
    <w:unhideWhenUsed/>
    <w:rsid w:val="007C1B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1B96"/>
    <w:rPr>
      <w:rFonts w:ascii="Lucida Grande" w:eastAsia="ＭＳ 明朝" w:hAnsi="Lucida Grande" w:cs="Lucida Grande"/>
      <w:sz w:val="18"/>
      <w:szCs w:val="18"/>
    </w:rPr>
  </w:style>
  <w:style w:type="character" w:customStyle="1" w:styleId="response-text">
    <w:name w:val="response-text"/>
    <w:rsid w:val="007C1B96"/>
  </w:style>
  <w:style w:type="paragraph" w:styleId="BodyText">
    <w:name w:val="Body Text"/>
    <w:basedOn w:val="Normal"/>
    <w:link w:val="BodyTextChar"/>
    <w:uiPriority w:val="1"/>
    <w:qFormat/>
    <w:rsid w:val="007C1B96"/>
    <w:pPr>
      <w:widowControl w:val="0"/>
      <w:autoSpaceDE w:val="0"/>
      <w:autoSpaceDN w:val="0"/>
      <w:adjustRightInd w:val="0"/>
      <w:spacing w:before="108"/>
      <w:ind w:left="462" w:hanging="360"/>
    </w:pPr>
    <w:rPr>
      <w:rFonts w:ascii="Calibri" w:hAnsi="Calibri" w:cs="Calibri"/>
      <w:sz w:val="21"/>
      <w:szCs w:val="21"/>
    </w:rPr>
  </w:style>
  <w:style w:type="character" w:customStyle="1" w:styleId="BodyTextChar">
    <w:name w:val="Body Text Char"/>
    <w:basedOn w:val="DefaultParagraphFont"/>
    <w:link w:val="BodyText"/>
    <w:uiPriority w:val="1"/>
    <w:rsid w:val="007C1B96"/>
    <w:rPr>
      <w:rFonts w:ascii="Calibri" w:eastAsia="ＭＳ 明朝" w:hAnsi="Calibri" w:cs="Calibri"/>
      <w:sz w:val="21"/>
      <w:szCs w:val="21"/>
    </w:rPr>
  </w:style>
  <w:style w:type="character" w:customStyle="1" w:styleId="response-question-title-text">
    <w:name w:val="response-question-title-text"/>
    <w:rsid w:val="007C1B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627869">
      <w:bodyDiv w:val="1"/>
      <w:marLeft w:val="0"/>
      <w:marRight w:val="0"/>
      <w:marTop w:val="0"/>
      <w:marBottom w:val="0"/>
      <w:divBdr>
        <w:top w:val="none" w:sz="0" w:space="0" w:color="auto"/>
        <w:left w:val="none" w:sz="0" w:space="0" w:color="auto"/>
        <w:bottom w:val="none" w:sz="0" w:space="0" w:color="auto"/>
        <w:right w:val="none" w:sz="0" w:space="0" w:color="auto"/>
      </w:divBdr>
      <w:divsChild>
        <w:div w:id="1976064934">
          <w:marLeft w:val="0"/>
          <w:marRight w:val="0"/>
          <w:marTop w:val="0"/>
          <w:marBottom w:val="0"/>
          <w:divBdr>
            <w:top w:val="none" w:sz="0" w:space="0" w:color="auto"/>
            <w:left w:val="none" w:sz="0" w:space="0" w:color="auto"/>
            <w:bottom w:val="none" w:sz="0" w:space="0" w:color="auto"/>
            <w:right w:val="none" w:sz="0" w:space="0" w:color="auto"/>
          </w:divBdr>
        </w:div>
        <w:div w:id="558902836">
          <w:marLeft w:val="0"/>
          <w:marRight w:val="0"/>
          <w:marTop w:val="0"/>
          <w:marBottom w:val="0"/>
          <w:divBdr>
            <w:top w:val="none" w:sz="0" w:space="0" w:color="auto"/>
            <w:left w:val="none" w:sz="0" w:space="0" w:color="auto"/>
            <w:bottom w:val="none" w:sz="0" w:space="0" w:color="auto"/>
            <w:right w:val="none" w:sz="0" w:space="0" w:color="auto"/>
          </w:divBdr>
        </w:div>
        <w:div w:id="346251108">
          <w:marLeft w:val="0"/>
          <w:marRight w:val="0"/>
          <w:marTop w:val="0"/>
          <w:marBottom w:val="0"/>
          <w:divBdr>
            <w:top w:val="none" w:sz="0" w:space="0" w:color="auto"/>
            <w:left w:val="none" w:sz="0" w:space="0" w:color="auto"/>
            <w:bottom w:val="none" w:sz="0" w:space="0" w:color="auto"/>
            <w:right w:val="none" w:sz="0" w:space="0" w:color="auto"/>
          </w:divBdr>
        </w:div>
        <w:div w:id="515727343">
          <w:marLeft w:val="0"/>
          <w:marRight w:val="0"/>
          <w:marTop w:val="0"/>
          <w:marBottom w:val="0"/>
          <w:divBdr>
            <w:top w:val="none" w:sz="0" w:space="0" w:color="auto"/>
            <w:left w:val="none" w:sz="0" w:space="0" w:color="auto"/>
            <w:bottom w:val="none" w:sz="0" w:space="0" w:color="auto"/>
            <w:right w:val="none" w:sz="0" w:space="0" w:color="auto"/>
          </w:divBdr>
        </w:div>
        <w:div w:id="2086758778">
          <w:marLeft w:val="0"/>
          <w:marRight w:val="0"/>
          <w:marTop w:val="0"/>
          <w:marBottom w:val="0"/>
          <w:divBdr>
            <w:top w:val="none" w:sz="0" w:space="0" w:color="auto"/>
            <w:left w:val="none" w:sz="0" w:space="0" w:color="auto"/>
            <w:bottom w:val="none" w:sz="0" w:space="0" w:color="auto"/>
            <w:right w:val="none" w:sz="0" w:space="0" w:color="auto"/>
          </w:divBdr>
        </w:div>
        <w:div w:id="47769595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34C7B-AD5E-4D41-B3B1-778D22526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1637</Words>
  <Characters>9337</Characters>
  <Application>Microsoft Macintosh Word</Application>
  <DocSecurity>4</DocSecurity>
  <Lines>77</Lines>
  <Paragraphs>21</Paragraphs>
  <ScaleCrop>false</ScaleCrop>
  <Company>ICANN</Company>
  <LinksUpToDate>false</LinksUpToDate>
  <CharactersWithSpaces>10953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Tubergen</dc:creator>
  <cp:keywords/>
  <dc:description/>
  <cp:lastModifiedBy>Caitlin Tubergen</cp:lastModifiedBy>
  <cp:revision>2</cp:revision>
  <cp:lastPrinted>2015-05-26T17:55:00Z</cp:lastPrinted>
  <dcterms:created xsi:type="dcterms:W3CDTF">2015-05-27T17:41:00Z</dcterms:created>
  <dcterms:modified xsi:type="dcterms:W3CDTF">2015-05-27T17:41:00Z</dcterms:modified>
</cp:coreProperties>
</file>