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comments.xml" ContentType="application/vnd.openxmlformats-officedocument.wordprocessingml.comment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2"/>
      </w:pPr>
      <w:r>
        <w:rPr>
          <w:rFonts w:ascii="Cambria" w:hAnsi="Cambria"/>
          <w:b/>
          <w:bCs/>
          <w:sz w:val="28"/>
          <w:szCs w:val="28"/>
        </w:rPr>
        <w:t>Change of Registrant Policy</w:t>
      </w:r>
    </w:p>
    <w:p>
      <w:pPr>
        <w:pStyle w:val="style0"/>
        <w:spacing w:after="100" w:before="100"/>
        <w:contextualSpacing w:val="false"/>
      </w:pPr>
      <w:r>
        <w:rPr>
          <w:rFonts w:cs="Times New Roman"/>
          <w:sz w:val="28"/>
          <w:szCs w:val="28"/>
        </w:rPr>
        <w:t>1. DEFINITIONS</w:t>
      </w:r>
    </w:p>
    <w:p>
      <w:pPr>
        <w:pStyle w:val="style0"/>
        <w:spacing w:after="100" w:before="100"/>
        <w:contextualSpacing w:val="false"/>
      </w:pPr>
      <w:r>
        <w:rPr>
          <w:rFonts w:cs="Times New Roman"/>
          <w:sz w:val="28"/>
          <w:szCs w:val="28"/>
        </w:rPr>
        <w:t>1.1 This policy uses the following terms:</w:t>
      </w:r>
    </w:p>
    <w:p>
      <w:pPr>
        <w:pStyle w:val="style0"/>
        <w:spacing w:after="100" w:before="100"/>
        <w:contextualSpacing w:val="false"/>
      </w:pPr>
      <w:r>
        <w:rPr>
          <w:rFonts w:cs="Times New Roman"/>
          <w:sz w:val="28"/>
          <w:szCs w:val="28"/>
        </w:rPr>
        <w:t>a) "Account Holder" means either (1) the person or entity that is paying for the Registered Name or otherwise controls the management of the registered name, when that person or entity is not the Registered Name Holder or (2) whatever the applicable Registrar Accreditation Agreement defines Account Holder to mean, if different.</w:t>
      </w:r>
    </w:p>
    <w:p>
      <w:pPr>
        <w:pStyle w:val="style0"/>
        <w:spacing w:after="100" w:before="100"/>
        <w:contextualSpacing w:val="false"/>
      </w:pPr>
      <w:r>
        <w:rPr>
          <w:rFonts w:cs="Times New Roman"/>
          <w:sz w:val="28"/>
          <w:szCs w:val="28"/>
        </w:rPr>
        <w:t>b) “</w:t>
      </w:r>
      <w:commentRangeStart w:id="0"/>
      <w:r>
        <w:rPr>
          <w:rFonts w:cs="Times New Roman"/>
          <w:sz w:val="28"/>
          <w:szCs w:val="28"/>
        </w:rPr>
        <w:t xml:space="preserve">Change of </w:t>
      </w:r>
      <w:del w:author="Arthur Zonnenberg" w:date="2014-09-22T14:15:00Z" w:id="0">
        <w:r>
          <w:rPr>
            <w:rFonts w:cs="Times New Roman"/>
            <w:sz w:val="28"/>
            <w:szCs w:val="28"/>
          </w:rPr>
          <w:delText>Registrant</w:delText>
        </w:r>
      </w:del>
      <w:ins w:author="Arthur Zonnenberg" w:date="2014-09-22T14:18:00Z" w:id="1">
        <w:r>
          <w:rPr>
            <w:rFonts w:cs="Times New Roman"/>
            <w:sz w:val="28"/>
            <w:szCs w:val="28"/>
          </w:rPr>
          <w:t>WHOIS</w:t>
        </w:r>
      </w:ins>
      <w:ins w:author="Simonetta Batteiger" w:date="2014-09-18T18:27:00Z" w:id="2">
        <w:r>
          <w:rPr>
            <w:rFonts w:cs="Times New Roman"/>
            <w:sz w:val="28"/>
            <w:szCs w:val="28"/>
          </w:rPr>
          <w:t xml:space="preserve"> Information</w:t>
        </w:r>
      </w:ins>
      <w:r>
        <w:rPr>
          <w:rFonts w:cs="Times New Roman"/>
          <w:sz w:val="28"/>
          <w:szCs w:val="28"/>
        </w:rPr>
        <w:t>” means a material change</w:t>
      </w:r>
      <w:r>
        <w:rPr>
          <w:rStyle w:val="style24"/>
          <w:rFonts w:cs="Times New Roman"/>
          <w:sz w:val="28"/>
          <w:szCs w:val="28"/>
        </w:rPr>
        <w:footnoteReference w:id="2"/>
      </w:r>
      <w:r>
        <w:rPr>
          <w:rFonts w:cs="Times New Roman"/>
          <w:sz w:val="28"/>
          <w:szCs w:val="28"/>
        </w:rPr>
        <w:t xml:space="preserve"> to any of the following:</w:t>
      </w:r>
      <w:commentRangeEnd w:id="0"/>
      <w:r>
        <w:rPr>
          <w:rFonts w:cs="Times New Roman"/>
          <w:sz w:val="28"/>
          <w:szCs w:val="28"/>
        </w:rPr>
      </w:r>
      <w:r>
        <w:rPr>
          <w:rFonts w:cs="Times New Roman"/>
          <w:sz w:val="28"/>
          <w:szCs w:val="28"/>
        </w:rPr>
        <w:commentReference w:id="0"/>
      </w:r>
      <w:ins w:author="Arthur Zonnenberg" w:date="2014-09-22T14:16:00Z" w:id="3">
        <w:r>
          <w:rPr>
            <w:rFonts w:cs="Times New Roman"/>
            <w:sz w:val="28"/>
            <w:szCs w:val="28"/>
          </w:rPr>
          <w:commentReference w:id="1"/>
        </w:r>
      </w:ins>
    </w:p>
    <w:p>
      <w:pPr>
        <w:pStyle w:val="style0"/>
        <w:spacing w:after="100" w:before="100"/>
        <w:contextualSpacing w:val="false"/>
      </w:pPr>
      <w:r>
        <w:rPr>
          <w:rFonts w:cs="Times New Roman"/>
          <w:sz w:val="28"/>
          <w:szCs w:val="28"/>
        </w:rPr>
        <w:tab/>
        <w:t>a) Prior Registrant Name</w:t>
      </w:r>
    </w:p>
    <w:p>
      <w:pPr>
        <w:pStyle w:val="style0"/>
        <w:spacing w:after="100" w:before="100"/>
        <w:contextualSpacing w:val="false"/>
      </w:pPr>
      <w:r>
        <w:rPr>
          <w:rFonts w:cs="Times New Roman"/>
          <w:sz w:val="28"/>
          <w:szCs w:val="28"/>
        </w:rPr>
        <w:tab/>
        <w:t>b) Prior Registrant Organization</w:t>
      </w:r>
    </w:p>
    <w:p>
      <w:pPr>
        <w:pStyle w:val="style0"/>
        <w:spacing w:after="100" w:before="100"/>
        <w:contextualSpacing w:val="false"/>
      </w:pPr>
      <w:r>
        <w:rPr>
          <w:rFonts w:cs="Times New Roman"/>
          <w:sz w:val="28"/>
          <w:szCs w:val="28"/>
        </w:rPr>
        <w:tab/>
        <w:t>c) Prior Registrant email address</w:t>
      </w:r>
    </w:p>
    <w:p>
      <w:pPr>
        <w:pStyle w:val="style0"/>
        <w:spacing w:after="100" w:before="100"/>
        <w:contextualSpacing w:val="false"/>
      </w:pPr>
      <w:r>
        <w:rPr>
          <w:rFonts w:cs="Times New Roman"/>
          <w:sz w:val="28"/>
          <w:szCs w:val="28"/>
        </w:rPr>
        <w:t xml:space="preserve">c) “Change of Registrant Credential” means a unique PIN, password, string or code that is transmitted by the Registrar to the Prior Registrant for the purpose of facilitating a Change of Registrant. </w:t>
      </w:r>
    </w:p>
    <w:p>
      <w:pPr>
        <w:pStyle w:val="style0"/>
        <w:spacing w:after="100" w:before="100"/>
        <w:contextualSpacing w:val="false"/>
      </w:pPr>
      <w:r>
        <w:rPr>
          <w:rFonts w:cs="Times New Roman"/>
          <w:sz w:val="28"/>
          <w:szCs w:val="28"/>
        </w:rPr>
        <w:t>d) “Prior Registrant” means the Registered Name Holder, as indicated in the Registrar’s or applicable registry’s publicly accessible Whois service, at the time a Change of Registrant is requested.</w:t>
      </w:r>
    </w:p>
    <w:p>
      <w:pPr>
        <w:pStyle w:val="style0"/>
        <w:spacing w:after="100" w:before="100"/>
        <w:contextualSpacing w:val="false"/>
      </w:pPr>
      <w:r>
        <w:rPr>
          <w:rFonts w:cs="Times New Roman"/>
          <w:sz w:val="28"/>
          <w:szCs w:val="28"/>
        </w:rPr>
        <w:t>e) “New Registrant” means the entity or person to whom the Prior Registrant proposes to transfer its domain name registration.</w:t>
      </w:r>
    </w:p>
    <w:p>
      <w:pPr>
        <w:pStyle w:val="style0"/>
        <w:spacing w:after="100" w:before="100"/>
        <w:contextualSpacing w:val="false"/>
      </w:pPr>
      <w:r>
        <w:rPr>
          <w:rFonts w:cs="Times New Roman"/>
          <w:sz w:val="28"/>
          <w:szCs w:val="28"/>
        </w:rPr>
        <w:t>2. AVAILABILITY OF CHANGE OF REGISTRANT</w:t>
      </w:r>
    </w:p>
    <w:p>
      <w:pPr>
        <w:pStyle w:val="style0"/>
        <w:spacing w:after="100" w:before="100"/>
        <w:contextualSpacing w:val="false"/>
      </w:pPr>
      <w:r>
        <w:rPr>
          <w:rFonts w:cs="Times New Roman"/>
          <w:sz w:val="28"/>
          <w:szCs w:val="28"/>
        </w:rPr>
        <w:t xml:space="preserve">2.1 In general, registrants must be permitted to update their registration/Whois data and transfer their registration rights to other registrants freely. </w:t>
      </w:r>
    </w:p>
    <w:p>
      <w:pPr>
        <w:pStyle w:val="style0"/>
        <w:spacing w:after="100" w:before="100"/>
        <w:contextualSpacing w:val="false"/>
      </w:pPr>
      <w:r>
        <w:rPr>
          <w:rFonts w:cs="Times New Roman"/>
          <w:sz w:val="28"/>
          <w:szCs w:val="28"/>
        </w:rPr>
        <w:t xml:space="preserve">2.2 A Registrar must deny a change of registrant request only in the following specific instances: </w:t>
      </w:r>
    </w:p>
    <w:p>
      <w:pPr>
        <w:pStyle w:val="style0"/>
        <w:spacing w:after="100" w:before="100"/>
        <w:contextualSpacing w:val="false"/>
      </w:pPr>
      <w:r>
        <w:rPr>
          <w:rFonts w:cs="Times New Roman"/>
          <w:sz w:val="28"/>
          <w:szCs w:val="28"/>
        </w:rPr>
        <w:t>a) the domain name registration agreement has expired, and the Registered Name Holder no longer has the right to renew or transfer the domain name to another registrar, as provided for in section 2.2.5 of the Expired Registration Recovery Policy;</w:t>
      </w:r>
    </w:p>
    <w:p>
      <w:pPr>
        <w:pStyle w:val="style0"/>
        <w:spacing w:after="100" w:before="100"/>
        <w:contextualSpacing w:val="false"/>
      </w:pPr>
      <w:r>
        <w:rPr>
          <w:rFonts w:cs="Times New Roman"/>
          <w:sz w:val="28"/>
          <w:szCs w:val="28"/>
        </w:rPr>
        <w:t>b) the Change of Registrant was not properly authorized by the Prior Registrant and the New Registrant, further to section 3 below;</w:t>
      </w:r>
    </w:p>
    <w:p>
      <w:pPr>
        <w:pStyle w:val="style0"/>
        <w:spacing w:after="100" w:before="100"/>
        <w:contextualSpacing w:val="false"/>
      </w:pPr>
      <w:r>
        <w:rPr>
          <w:rFonts w:cs="Times New Roman"/>
          <w:sz w:val="28"/>
          <w:szCs w:val="28"/>
        </w:rPr>
        <w:t>c) the domain name is set to serverUpdateProhibited or another registry-imposed status that would prohibit updates to Whois data;</w:t>
      </w:r>
    </w:p>
    <w:p>
      <w:pPr>
        <w:pStyle w:val="style0"/>
        <w:spacing w:after="100" w:before="100"/>
        <w:contextualSpacing w:val="false"/>
      </w:pPr>
      <w:r>
        <w:rPr>
          <w:rFonts w:cs="Times New Roman"/>
          <w:sz w:val="28"/>
          <w:szCs w:val="28"/>
        </w:rPr>
        <w:t>d) the domain name is subject to a court order by a court of competent jurisdiction, prohibiting a Change of Registrant.</w:t>
      </w:r>
    </w:p>
    <w:p>
      <w:pPr>
        <w:pStyle w:val="style0"/>
        <w:spacing w:after="100" w:before="100"/>
        <w:contextualSpacing w:val="false"/>
      </w:pPr>
      <w:r>
        <w:rPr>
          <w:rFonts w:cs="Times New Roman"/>
          <w:sz w:val="28"/>
          <w:szCs w:val="28"/>
        </w:rPr>
        <w:t>e) the domain name is subject to a TDRP proceeding;</w:t>
      </w:r>
    </w:p>
    <w:p>
      <w:pPr>
        <w:pStyle w:val="style0"/>
        <w:spacing w:after="100" w:before="100"/>
        <w:contextualSpacing w:val="false"/>
      </w:pPr>
      <w:r>
        <w:rPr>
          <w:rFonts w:cs="Times New Roman"/>
          <w:sz w:val="28"/>
          <w:szCs w:val="28"/>
        </w:rPr>
        <w:t>f) a Change of Registrant is prohibited under the UDRP or UDRP Rules.</w:t>
      </w:r>
    </w:p>
    <w:p>
      <w:pPr>
        <w:pStyle w:val="style0"/>
        <w:spacing w:after="100" w:before="100"/>
        <w:contextualSpacing w:val="false"/>
      </w:pPr>
      <w:r>
        <w:rPr>
          <w:rFonts w:cs="Times New Roman"/>
          <w:sz w:val="28"/>
          <w:szCs w:val="28"/>
        </w:rPr>
        <w:t>2.2 A Registrar may, but is not required, to deny a Change of Registrant request in the following instances:</w:t>
      </w:r>
    </w:p>
    <w:p>
      <w:pPr>
        <w:pStyle w:val="style0"/>
        <w:spacing w:after="100" w:before="100"/>
        <w:contextualSpacing w:val="false"/>
      </w:pPr>
      <w:r>
        <w:rPr>
          <w:rFonts w:cs="Times New Roman"/>
          <w:sz w:val="28"/>
          <w:szCs w:val="28"/>
        </w:rPr>
        <w:t>a) the domain name is set to the "clientTransferProhibited" or “clientHold” status;</w:t>
      </w:r>
    </w:p>
    <w:p>
      <w:pPr>
        <w:pStyle w:val="style0"/>
        <w:spacing w:after="100" w:before="100"/>
        <w:contextualSpacing w:val="false"/>
      </w:pPr>
      <w:r>
        <w:rPr>
          <w:rFonts w:cs="Times New Roman"/>
          <w:sz w:val="28"/>
          <w:szCs w:val="28"/>
        </w:rPr>
        <w:t xml:space="preserve">b) there is a dispute involving the identity of the Registered Name Holder or the validity of the Change of Registrant process. </w:t>
      </w:r>
    </w:p>
    <w:p>
      <w:pPr>
        <w:pStyle w:val="style0"/>
        <w:spacing w:after="100" w:before="100"/>
        <w:contextualSpacing w:val="false"/>
      </w:pPr>
      <w:r>
        <w:rPr>
          <w:rFonts w:cs="Times New Roman"/>
          <w:sz w:val="28"/>
          <w:szCs w:val="28"/>
        </w:rPr>
        <w:t>3. CHANGE OF REGISTRANT PROCESS</w:t>
      </w:r>
    </w:p>
    <w:p>
      <w:pPr>
        <w:pStyle w:val="style0"/>
        <w:spacing w:after="100" w:before="100"/>
        <w:contextualSpacing w:val="false"/>
      </w:pPr>
      <w:r>
        <w:rPr>
          <w:rFonts w:cs="Times New Roman"/>
          <w:sz w:val="28"/>
          <w:szCs w:val="28"/>
        </w:rPr>
        <w:t>3.1 To process a Change of Registrant from the Prior Registrant to a New Registrant, the Registrar must:</w:t>
      </w:r>
    </w:p>
    <w:p>
      <w:pPr>
        <w:pStyle w:val="style0"/>
        <w:spacing w:after="100" w:before="100"/>
        <w:ind w:hanging="0" w:left="720" w:right="0"/>
        <w:contextualSpacing w:val="false"/>
      </w:pPr>
      <w:r>
        <w:rPr>
          <w:rFonts w:cs="Times New Roman"/>
          <w:sz w:val="28"/>
          <w:szCs w:val="28"/>
        </w:rPr>
        <w:t>a) confirm the domain name is eligible for Change of Registrant further to section 2;</w:t>
      </w:r>
    </w:p>
    <w:p>
      <w:pPr>
        <w:pStyle w:val="style0"/>
        <w:spacing w:after="100" w:before="100"/>
        <w:ind w:hanging="0" w:left="720" w:right="0"/>
        <w:contextualSpacing w:val="false"/>
      </w:pPr>
      <w:r>
        <w:rPr>
          <w:rFonts w:cs="Times New Roman"/>
          <w:sz w:val="28"/>
          <w:szCs w:val="28"/>
        </w:rPr>
        <w:t xml:space="preserve">b) obtain confirmation of the Change of Registrant request from the New Registrant in accordance with the process described in section 3.2; and </w:t>
      </w:r>
    </w:p>
    <w:p>
      <w:pPr>
        <w:pStyle w:val="style0"/>
        <w:spacing w:after="100" w:before="100"/>
        <w:ind w:hanging="0" w:left="720" w:right="0"/>
        <w:contextualSpacing w:val="false"/>
      </w:pPr>
      <w:r>
        <w:rPr>
          <w:rFonts w:cs="Times New Roman"/>
          <w:sz w:val="28"/>
          <w:szCs w:val="28"/>
        </w:rPr>
        <w:t>c) obtain confirmation of the Change of Registrant request from the Prior Registrant in accordance with the process described in section 3.2;</w:t>
      </w:r>
    </w:p>
    <w:p>
      <w:pPr>
        <w:pStyle w:val="style0"/>
        <w:spacing w:after="100" w:before="100"/>
        <w:ind w:hanging="0" w:left="720" w:right="0"/>
        <w:contextualSpacing w:val="false"/>
      </w:pPr>
      <w:r>
        <w:rPr>
          <w:rFonts w:cs="Times New Roman"/>
          <w:sz w:val="28"/>
          <w:szCs w:val="28"/>
        </w:rPr>
        <w:t>d) notify the Prior Registrant when the Change of Registrant is completed; and</w:t>
      </w:r>
    </w:p>
    <w:p>
      <w:pPr>
        <w:pStyle w:val="style0"/>
        <w:spacing w:after="100" w:before="100"/>
        <w:ind w:hanging="0" w:left="720" w:right="0"/>
        <w:contextualSpacing w:val="false"/>
      </w:pPr>
      <w:r>
        <w:rPr>
          <w:rFonts w:cs="Times New Roman"/>
          <w:sz w:val="28"/>
          <w:szCs w:val="28"/>
        </w:rPr>
        <w:t xml:space="preserve">e) advise the Prior Registrant of the 60-day inter-registrar transfer lock as described in section 3.3 or advise the Prior Registrant that it previously opted out of the 60-day inter-registrar transfer lock as described in section 3.4. </w:t>
      </w:r>
    </w:p>
    <w:p>
      <w:pPr>
        <w:pStyle w:val="style0"/>
        <w:spacing w:after="100" w:before="100"/>
        <w:contextualSpacing w:val="false"/>
      </w:pPr>
      <w:r>
        <w:rPr>
          <w:rFonts w:cs="Times New Roman"/>
          <w:sz w:val="28"/>
          <w:szCs w:val="28"/>
        </w:rPr>
        <w:t>3.2 To obtain the requisite confirmation:</w:t>
        <w:tab/>
      </w:r>
    </w:p>
    <w:p>
      <w:pPr>
        <w:pStyle w:val="style0"/>
        <w:spacing w:after="100" w:before="100"/>
        <w:ind w:firstLine="60" w:left="1440" w:right="0"/>
        <w:contextualSpacing w:val="false"/>
      </w:pPr>
      <w:r>
        <w:rPr>
          <w:rFonts w:cs="Times New Roman"/>
          <w:sz w:val="28"/>
          <w:szCs w:val="28"/>
        </w:rPr>
        <w:t>(i) the Registrar must provide the Change of Registrant Credential to the Account Holder or Prior Registrant;</w:t>
      </w:r>
      <w:ins w:author="Arthur Zonnenberg" w:date="2014-09-22T14:14:00Z" w:id="4">
        <w:r>
          <w:rPr>
            <w:rFonts w:cs="Times New Roman"/>
            <w:sz w:val="28"/>
            <w:szCs w:val="28"/>
          </w:rPr>
          <w:commentReference w:id="2"/>
        </w:r>
      </w:ins>
    </w:p>
    <w:p>
      <w:pPr>
        <w:pStyle w:val="style0"/>
        <w:spacing w:after="100" w:before="100"/>
        <w:ind w:firstLine="60" w:left="1440" w:right="0"/>
        <w:contextualSpacing w:val="false"/>
      </w:pPr>
      <w:r>
        <w:rPr>
          <w:rFonts w:cs="Times New Roman"/>
          <w:sz w:val="28"/>
          <w:szCs w:val="28"/>
        </w:rPr>
        <w:t>(ii) the Prior Registrant or Account Holder must transmit the Change of Registrant Credential to the New Registrant;</w:t>
      </w:r>
    </w:p>
    <w:p>
      <w:pPr>
        <w:pStyle w:val="style0"/>
        <w:spacing w:after="100" w:before="100"/>
        <w:ind w:firstLine="60" w:left="1440" w:right="0"/>
        <w:contextualSpacing w:val="false"/>
      </w:pPr>
      <w:r>
        <w:rPr>
          <w:rFonts w:cs="Times New Roman"/>
          <w:sz w:val="28"/>
          <w:szCs w:val="28"/>
        </w:rPr>
        <w:t>(iii) the New Registrant must transmit the Change of Registrant Credential to the Registrar;</w:t>
      </w:r>
    </w:p>
    <w:p>
      <w:pPr>
        <w:pStyle w:val="style0"/>
        <w:spacing w:after="100" w:before="100"/>
        <w:contextualSpacing w:val="false"/>
      </w:pPr>
      <w:r>
        <w:rPr>
          <w:rFonts w:cs="Times New Roman"/>
          <w:sz w:val="28"/>
          <w:szCs w:val="28"/>
        </w:rPr>
        <w:t>3.3 The Registrar may impose a 60-day inter-registrar transfer lock following a Change of Registrant.</w:t>
      </w:r>
      <w:ins w:author="Simonetta Batteiger" w:date="2014-09-18T19:01:00Z" w:id="5">
        <w:r>
          <w:rPr>
            <w:rFonts w:cs="Times New Roman"/>
            <w:sz w:val="28"/>
            <w:szCs w:val="28"/>
          </w:rPr>
          <w:t xml:space="preserve"> We recommend to make this the default behavior unless an opt out of the </w:t>
        </w:r>
      </w:ins>
      <w:ins w:author="Simonetta Batteiger" w:date="2014-09-18T19:02:00Z" w:id="6">
        <w:r>
          <w:rPr>
            <w:rFonts w:cs="Times New Roman"/>
            <w:sz w:val="28"/>
            <w:szCs w:val="28"/>
          </w:rPr>
          <w:t>60-day inter-registrar transfer lock has been requested.</w:t>
        </w:r>
      </w:ins>
    </w:p>
    <w:p>
      <w:pPr>
        <w:pStyle w:val="style0"/>
      </w:pPr>
      <w:del w:author="Simonetta Batteiger" w:date="2014-09-18T19:02:00Z" w:id="7">
        <w:r>
          <w:rPr>
            <w:rFonts w:cs="Times New Roman"/>
            <w:sz w:val="28"/>
            <w:szCs w:val="28"/>
          </w:rPr>
          <w:delText>3.4 A Registrar may allow the Registered Name Holder to opt out of the 60-day inter-registrar transfer lock prior to any Change of Registrant request.</w:delText>
        </w:r>
      </w:del>
    </w:p>
    <w:p>
      <w:pPr>
        <w:pStyle w:val="style0"/>
      </w:pPr>
      <w:bookmarkStart w:id="0" w:name="_GoBack"/>
      <w:bookmarkStart w:id="1" w:name="_GoBack"/>
      <w:bookmarkEnd w:id="1"/>
      <w:r>
        <w:rPr>
          <w:rFonts w:cs="Times New Roman"/>
          <w:sz w:val="28"/>
          <w:szCs w:val="28"/>
        </w:rPr>
      </w:r>
    </w:p>
    <w:p>
      <w:pPr>
        <w:pStyle w:val="style0"/>
      </w:pPr>
      <w:r>
        <w:rPr>
          <w:rFonts w:cs="Times New Roman"/>
          <w:sz w:val="28"/>
          <w:szCs w:val="28"/>
        </w:rPr>
        <w:t>3.5 If an Account Holder updates its registration data to effectively cause a Change of Registrant, through the Registrar’s control panel or other verifiable means, the exchange of the Change of Registrant Credential as described in section 3.2 is not required.</w:t>
      </w:r>
    </w:p>
    <w:p>
      <w:pPr>
        <w:pStyle w:val="style0"/>
      </w:pPr>
      <w:r>
        <w:rPr/>
      </w:r>
    </w:p>
    <w:sectPr>
      <w:footnotePr>
        <w:numFmt w:val="decimal"/>
      </w:footnotePr>
      <w:type w:val="nextPage"/>
      <w:pgSz w:h="15840" w:w="12240"/>
      <w:pgMar w:bottom="1440" w:footer="0" w:gutter="0" w:header="0" w:left="1800" w:right="1800" w:top="1440"/>
      <w:pgNumType w:fmt="decimal"/>
      <w:formProt w:val="false"/>
      <w:textDirection w:val="lrTb"/>
      <w:docGrid w:charSpace="0" w:linePitch="360" w:type="default"/>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comment w:author="Simonetta Batteiger" w:date="2014-09-18T18:28:00Z" w:id="0" w:initials="SB">
    <w:p>
      <w:r>
        <w:rPr/>
        <w:t>Would address the fact that an update to the email is not a legal update to the registrant, but it is the action that this document intends to be the trigger for notification needs / confirmation requirements</w:t>
      </w:r>
    </w:p>
  </w:comment>
  <w:comment w:author="Arthur Zonnenberg" w:date="2014-09-22T14:16:12Z" w:id="1" w:initials="">
    <w:p>
      <w:r>
        <w:rPr>
          <w:rFonts w:ascii="Ubuntu" w:cs="" w:eastAsia="DejaVu Sans" w:hAnsi="Ubuntu"/>
          <w:b w:val="false"/>
          <w:bCs w:val="false"/>
          <w:i w:val="false"/>
          <w:iCs w:val="false"/>
          <w:strike w:val="false"/>
          <w:dstrike w:val="false"/>
          <w:outline w:val="false"/>
          <w:shadow w:val="false"/>
          <w:emboss w:val="false"/>
          <w:imprint w:val="false"/>
          <w:color w:val="auto"/>
          <w:spacing w:val="0"/>
          <w:w w:val="100"/>
          <w:position w:val="0"/>
          <w:sz w:val="20"/>
          <w:sz w:val="20"/>
          <w:szCs w:val="24"/>
          <w:u w:val="none"/>
          <w:vertAlign w:val="baseline"/>
          <w:em w:val="none"/>
          <w:lang w:bidi="ar-SA" w:eastAsia="en-US" w:val="en-US"/>
        </w:rPr>
        <w:t>Would address the fact that an update can be done  to both Registrant and Admin information. This name also clearly distinguishes it from changing information on the account, which may not nessarily result in changes to WHOIS information for domain names under that account.</w:t>
      </w:r>
    </w:p>
  </w:comment>
  <w:comment w:author="Arthur Zonnenberg" w:date="2014-09-22T14:14:02Z" w:id="2" w:initials="">
    <w:p>
      <w:r>
        <w:rPr>
          <w:rFonts w:ascii="Ubuntu" w:cs="" w:eastAsia="DejaVu Sans" w:hAnsi="Ubuntu"/>
          <w:b w:val="false"/>
          <w:bCs w:val="false"/>
          <w:i w:val="false"/>
          <w:iCs w:val="false"/>
          <w:strike w:val="false"/>
          <w:dstrike w:val="false"/>
          <w:outline w:val="false"/>
          <w:shadow w:val="false"/>
          <w:emboss w:val="false"/>
          <w:imprint w:val="false"/>
          <w:color w:val="auto"/>
          <w:spacing w:val="0"/>
          <w:w w:val="100"/>
          <w:position w:val="0"/>
          <w:sz w:val="20"/>
          <w:sz w:val="20"/>
          <w:szCs w:val="24"/>
          <w:u w:val="none"/>
          <w:vertAlign w:val="baseline"/>
          <w:em w:val="none"/>
          <w:lang w:bidi="ar-SA" w:eastAsia="en-US" w:val="en-US"/>
        </w:rPr>
        <w:t>If the previous account holder or prior registrant share the same non-working expired e-mail address, how is the registrant credential communicated? What happens if the account holder or prior registrant cannot be reached by any means? Please note these cases occur regularly.</w:t>
      </w:r>
    </w:p>
  </w:comment>
</w:comments>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mbria">
    <w:charset w:val="80"/>
    <w:family w:val="roman"/>
    <w:pitch w:val="variable"/>
  </w:font>
  <w:font w:name="Lucida Grande">
    <w:charset w:val="80"/>
    <w:family w:val="roman"/>
    <w:pitch w:val="variable"/>
  </w:font>
  <w:font w:name="Arial">
    <w:charset w:val="80"/>
    <w:family w:val="swiss"/>
    <w:pitch w:val="variable"/>
  </w:font>
  <w:font w:name="Calibri">
    <w:charset w:val="80"/>
    <w:family w:val="roman"/>
    <w:pitch w:val="variable"/>
  </w:font>
  <w:font w:name="Times">
    <w:altName w:val="Times New Roman"/>
    <w:charset w:val="80"/>
    <w:family w:val="roman"/>
    <w:pitch w:val="variable"/>
  </w:font>
  <w:font w:name="Ubuntu">
    <w:charset w:val="80"/>
    <w:family w:val="swiss"/>
    <w:pitch w:val="default"/>
  </w:font>
</w:fonts>
</file>

<file path=word/footnotes.xml><?xml version="1.0" encoding="utf-8"?>
<w:footnotes xmlns:r="http://schemas.openxmlformats.org/officeDocument/2006/relationships" xmlns:w="http://schemas.openxmlformats.org/wordprocessingml/2006/main">
  <w:footnote w:id="0" w:type="separator">
    <w:p>
      <w:r>
        <w:separator/>
      </w:r>
    </w:p>
  </w:footnote>
  <w:footnote w:id="1" w:type="continuationSeparator">
    <w:p>
      <w:r>
        <w:continuationSeparator/>
      </w:r>
    </w:p>
  </w:footnote>
  <w:footnote w:id="2">
    <w:p>
      <w:pPr>
        <w:pStyle w:val="style36"/>
      </w:pPr>
      <w:r>
        <w:rPr>
          <w:rStyle w:val="style18"/>
        </w:rPr>
        <w:footnoteRef/>
        <w:tab/>
      </w:r>
      <w:r>
        <w:rPr/>
        <w:t xml:space="preserve"> </w:t>
      </w:r>
      <w:r>
        <w:rPr/>
        <w:t>A material change is largely left to the discretion of the registrar; however, the following will be material changes:</w:t>
      </w:r>
    </w:p>
    <w:p>
      <w:pPr>
        <w:pStyle w:val="style36"/>
        <w:numPr>
          <w:ilvl w:val="0"/>
          <w:numId w:val="1"/>
        </w:numPr>
      </w:pPr>
      <w:r>
        <w:rPr/>
        <w:tab/>
        <w:t>A change to the Registered Name Holder’s name or organization that does not appear to be a merely a typographical correction;</w:t>
      </w:r>
    </w:p>
    <w:p>
      <w:pPr>
        <w:pStyle w:val="style36"/>
        <w:numPr>
          <w:ilvl w:val="0"/>
          <w:numId w:val="1"/>
        </w:numPr>
      </w:pPr>
      <w:r>
        <w:rPr/>
        <w:tab/>
        <w:t>Any change to the Registered Name Holder’s name or organization that is accompanied by a change of address or phone number;</w:t>
      </w:r>
    </w:p>
    <w:p>
      <w:pPr>
        <w:pStyle w:val="style36"/>
        <w:numPr>
          <w:ilvl w:val="0"/>
          <w:numId w:val="1"/>
        </w:numPr>
      </w:pPr>
      <w:r>
        <w:rPr/>
        <w:tab/>
        <w:t>Any change to the Registered Name Holder’s email address.</w:t>
      </w:r>
    </w:p>
    <w:p>
      <w:pPr>
        <w:pStyle w:val="style36"/>
        <w:ind w:hanging="0" w:left="1440" w:right="0"/>
      </w:pPr>
      <w:r>
        <w:rPr/>
      </w:r>
    </w:p>
    <w:p>
      <w:pPr>
        <w:pStyle w:val="style36"/>
        <w:ind w:hanging="0" w:left="1440" w:right="0"/>
      </w:pPr>
      <w:r>
        <w:rPr/>
        <w:tab/>
        <w:t xml:space="preserve"> </w:t>
      </w:r>
    </w:p>
  </w:footnote>
</w:footnotes>
</file>

<file path=word/numbering.xml><?xml version="1.0" encoding="utf-8"?>
<w:numbering xmlns:w="http://schemas.openxmlformats.org/wordprocessingml/2006/main">
  <w:abstractNum w:abstractNumId="1">
    <w:lvl w:ilvl="0">
      <w:start w:val="1"/>
      <w:numFmt w:val="lowerRoman"/>
      <w:lvlText w:val="(%1)"/>
      <w:lvlJc w:val="left"/>
      <w:pPr>
        <w:ind w:hanging="720" w:left="144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footnotePr>
    <w:numFmt w:val="decimal"/>
    <w:footnote w:id="0"/>
    <w:footnote w:id="1"/>
  </w:footnotePr>
</w:settings>
</file>

<file path=word/styles.xml><?xml version="1.0" encoding="utf-8"?>
<w:styles xmlns:w="http://schemas.openxmlformats.org/wordprocessingml/2006/main">
  <w:style w:styleId="style0" w:type="paragraph">
    <w:name w:val="Default Style"/>
    <w:next w:val="style0"/>
    <w:pPr>
      <w:widowControl/>
      <w:suppressAutoHyphens w:val="true"/>
    </w:pPr>
    <w:rPr>
      <w:rFonts w:ascii="Cambria" w:cs="" w:eastAsia="DejaVu Sans" w:hAnsi="Cambria"/>
      <w:color w:val="auto"/>
      <w:sz w:val="24"/>
      <w:szCs w:val="24"/>
      <w:lang w:bidi="ar-SA" w:eastAsia="en-US" w:val="en-US"/>
    </w:rPr>
  </w:style>
  <w:style w:styleId="style15" w:type="character">
    <w:name w:val="Default Paragraph Font"/>
    <w:next w:val="style15"/>
    <w:rPr/>
  </w:style>
  <w:style w:styleId="style16" w:type="character">
    <w:name w:val="Balloon Text Char"/>
    <w:basedOn w:val="style15"/>
    <w:next w:val="style16"/>
    <w:rPr>
      <w:rFonts w:ascii="Lucida Grande" w:cs="Lucida Grande" w:hAnsi="Lucida Grande"/>
      <w:sz w:val="18"/>
      <w:szCs w:val="18"/>
    </w:rPr>
  </w:style>
  <w:style w:styleId="style17" w:type="character">
    <w:name w:val="Footnote Text Char"/>
    <w:basedOn w:val="style15"/>
    <w:next w:val="style17"/>
    <w:rPr/>
  </w:style>
  <w:style w:styleId="style18" w:type="character">
    <w:name w:val="footnote reference"/>
    <w:basedOn w:val="style15"/>
    <w:next w:val="style18"/>
    <w:rPr>
      <w:vertAlign w:val="superscript"/>
    </w:rPr>
  </w:style>
  <w:style w:styleId="style19" w:type="character">
    <w:name w:val="annotation reference"/>
    <w:basedOn w:val="style15"/>
    <w:next w:val="style19"/>
    <w:rPr>
      <w:sz w:val="16"/>
      <w:szCs w:val="16"/>
    </w:rPr>
  </w:style>
  <w:style w:styleId="style20" w:type="character">
    <w:name w:val="Comment Text Char"/>
    <w:basedOn w:val="style15"/>
    <w:next w:val="style20"/>
    <w:rPr>
      <w:sz w:val="20"/>
      <w:szCs w:val="20"/>
    </w:rPr>
  </w:style>
  <w:style w:styleId="style21" w:type="character">
    <w:name w:val="Comment Subject Char"/>
    <w:basedOn w:val="style20"/>
    <w:next w:val="style21"/>
    <w:rPr>
      <w:b/>
      <w:bCs/>
      <w:sz w:val="20"/>
      <w:szCs w:val="20"/>
    </w:rPr>
  </w:style>
  <w:style w:styleId="style22" w:type="character">
    <w:name w:val="ListLabel 1"/>
    <w:next w:val="style22"/>
    <w:rPr>
      <w:sz w:val="20"/>
    </w:rPr>
  </w:style>
  <w:style w:styleId="style23" w:type="character">
    <w:name w:val="Footnote Characters"/>
    <w:next w:val="style23"/>
    <w:rPr/>
  </w:style>
  <w:style w:styleId="style24" w:type="character">
    <w:name w:val="Footnote Anchor"/>
    <w:next w:val="style24"/>
    <w:rPr>
      <w:vertAlign w:val="superscript"/>
    </w:rPr>
  </w:style>
  <w:style w:styleId="style25" w:type="character">
    <w:name w:val="Endnote Anchor"/>
    <w:next w:val="style25"/>
    <w:rPr>
      <w:vertAlign w:val="superscript"/>
    </w:rPr>
  </w:style>
  <w:style w:styleId="style26" w:type="character">
    <w:name w:val="Endnote Characters"/>
    <w:next w:val="style26"/>
    <w:rPr/>
  </w:style>
  <w:style w:styleId="style27" w:type="paragraph">
    <w:name w:val="Heading"/>
    <w:basedOn w:val="style0"/>
    <w:next w:val="style28"/>
    <w:pPr>
      <w:keepNext/>
      <w:spacing w:after="120" w:before="240"/>
      <w:contextualSpacing w:val="false"/>
    </w:pPr>
    <w:rPr>
      <w:rFonts w:ascii="Arial" w:cs="Lohit Hindi" w:eastAsia="DejaVu Sans" w:hAnsi="Arial"/>
      <w:sz w:val="28"/>
      <w:szCs w:val="28"/>
    </w:rPr>
  </w:style>
  <w:style w:styleId="style28" w:type="paragraph">
    <w:name w:val="Text Body"/>
    <w:basedOn w:val="style0"/>
    <w:next w:val="style28"/>
    <w:pPr>
      <w:spacing w:after="120" w:before="0"/>
      <w:contextualSpacing w:val="false"/>
    </w:pPr>
    <w:rPr/>
  </w:style>
  <w:style w:styleId="style29" w:type="paragraph">
    <w:name w:val="List"/>
    <w:basedOn w:val="style28"/>
    <w:next w:val="style29"/>
    <w:pPr/>
    <w:rPr>
      <w:rFonts w:cs="Lohit Hindi"/>
    </w:rPr>
  </w:style>
  <w:style w:styleId="style30" w:type="paragraph">
    <w:name w:val="Caption"/>
    <w:basedOn w:val="style0"/>
    <w:next w:val="style30"/>
    <w:pPr>
      <w:suppressLineNumbers/>
      <w:spacing w:after="120" w:before="120"/>
      <w:contextualSpacing w:val="false"/>
    </w:pPr>
    <w:rPr>
      <w:rFonts w:cs="Lohit Hindi"/>
      <w:i/>
      <w:iCs/>
      <w:sz w:val="24"/>
      <w:szCs w:val="24"/>
    </w:rPr>
  </w:style>
  <w:style w:styleId="style31" w:type="paragraph">
    <w:name w:val="Index"/>
    <w:basedOn w:val="style0"/>
    <w:next w:val="style31"/>
    <w:pPr>
      <w:suppressLineNumbers/>
    </w:pPr>
    <w:rPr>
      <w:rFonts w:cs="Lohit Hindi"/>
    </w:rPr>
  </w:style>
  <w:style w:styleId="style32" w:type="paragraph">
    <w:name w:val="Normal"/>
    <w:next w:val="style32"/>
    <w:pPr>
      <w:widowControl w:val="false"/>
      <w:suppressAutoHyphens w:val="true"/>
    </w:pPr>
    <w:rPr>
      <w:rFonts w:ascii="Calibri" w:cs="Calibri" w:eastAsia="DejaVu Sans" w:hAnsi="Calibri"/>
      <w:color w:val="000000"/>
      <w:sz w:val="24"/>
      <w:szCs w:val="24"/>
      <w:lang w:bidi="ar-SA" w:eastAsia="en-US" w:val="en-US"/>
    </w:rPr>
  </w:style>
  <w:style w:styleId="style33" w:type="paragraph">
    <w:name w:val="Normal (Web)"/>
    <w:basedOn w:val="style0"/>
    <w:next w:val="style33"/>
    <w:pPr>
      <w:spacing w:after="100" w:before="100"/>
      <w:contextualSpacing w:val="false"/>
    </w:pPr>
    <w:rPr>
      <w:rFonts w:ascii="Times" w:cs="Times New Roman" w:hAnsi="Times"/>
      <w:sz w:val="20"/>
      <w:szCs w:val="20"/>
    </w:rPr>
  </w:style>
  <w:style w:styleId="style34" w:type="paragraph">
    <w:name w:val="List Paragraph"/>
    <w:basedOn w:val="style0"/>
    <w:next w:val="style34"/>
    <w:pPr>
      <w:spacing w:after="0" w:before="0"/>
      <w:ind w:hanging="0" w:left="720" w:right="0"/>
      <w:contextualSpacing/>
    </w:pPr>
    <w:rPr/>
  </w:style>
  <w:style w:styleId="style35" w:type="paragraph">
    <w:name w:val="Balloon Text"/>
    <w:basedOn w:val="style0"/>
    <w:next w:val="style35"/>
    <w:pPr/>
    <w:rPr>
      <w:rFonts w:ascii="Lucida Grande" w:cs="Lucida Grande" w:hAnsi="Lucida Grande"/>
      <w:sz w:val="18"/>
      <w:szCs w:val="18"/>
    </w:rPr>
  </w:style>
  <w:style w:styleId="style36" w:type="paragraph">
    <w:name w:val="footnote text"/>
    <w:basedOn w:val="style0"/>
    <w:next w:val="style36"/>
    <w:pPr/>
    <w:rPr/>
  </w:style>
  <w:style w:styleId="style37" w:type="paragraph">
    <w:name w:val="Revision"/>
    <w:next w:val="style37"/>
    <w:pPr>
      <w:widowControl/>
      <w:suppressAutoHyphens w:val="true"/>
    </w:pPr>
    <w:rPr>
      <w:rFonts w:ascii="Cambria" w:cs="" w:eastAsia="DejaVu Sans" w:hAnsi="Cambria"/>
      <w:color w:val="auto"/>
      <w:sz w:val="24"/>
      <w:szCs w:val="24"/>
      <w:lang w:bidi="ar-SA" w:eastAsia="en-US" w:val="en-US"/>
    </w:rPr>
  </w:style>
  <w:style w:styleId="style38" w:type="paragraph">
    <w:name w:val="annotation text"/>
    <w:basedOn w:val="style0"/>
    <w:next w:val="style38"/>
    <w:pPr/>
    <w:rPr>
      <w:sz w:val="20"/>
      <w:szCs w:val="20"/>
    </w:rPr>
  </w:style>
  <w:style w:styleId="style39" w:type="paragraph">
    <w:name w:val="annotation subject"/>
    <w:basedOn w:val="style38"/>
    <w:next w:val="style39"/>
    <w:pPr/>
    <w:rPr>
      <w:b/>
      <w:bCs/>
    </w:rPr>
  </w:style>
  <w:style w:styleId="style40" w:type="paragraph">
    <w:name w:val="Footnote"/>
    <w:basedOn w:val="style0"/>
    <w:next w:val="style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2014-09-18T17:03:00.00Z</dcterms:created>
  <dc:creator>Caitlin Tubergen</dc:creator>
  <cp:lastModifiedBy>Simonetta Batteiger</cp:lastModifiedBy>
  <cp:lastPrinted>2014-09-17T22:41:00.00Z</cp:lastPrinted>
  <dcterms:modified xsi:type="dcterms:W3CDTF">2014-09-18T17:03:00.00Z</dcterms:modified>
  <cp:revision>2</cp:revision>
</cp:coreProperties>
</file>