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4D1" w:rsidRDefault="00A01C8B">
      <w:pPr>
        <w:rPr>
          <w:b/>
        </w:rPr>
      </w:pPr>
      <w:r w:rsidRPr="00A01C8B">
        <w:rPr>
          <w:b/>
        </w:rPr>
        <w:t>SOME BACKGROUND FOR THE SCI ON THE IGO-INGO PDP WORKING GROUP</w:t>
      </w:r>
    </w:p>
    <w:p w:rsidR="00F4052E" w:rsidRDefault="00F4052E">
      <w:pPr>
        <w:rPr>
          <w:b/>
        </w:rPr>
      </w:pPr>
    </w:p>
    <w:p w:rsidR="009965B4" w:rsidRDefault="009965B4">
      <w:pPr>
        <w:rPr>
          <w:b/>
        </w:rPr>
      </w:pPr>
    </w:p>
    <w:p w:rsidR="009965B4" w:rsidRDefault="009965B4">
      <w:pPr>
        <w:rPr>
          <w:b/>
        </w:rPr>
      </w:pPr>
      <w:r>
        <w:rPr>
          <w:b/>
        </w:rPr>
        <w:t>CONTENTS:</w:t>
      </w:r>
    </w:p>
    <w:p w:rsidR="009965B4" w:rsidRDefault="009965B4">
      <w:pPr>
        <w:rPr>
          <w:b/>
        </w:rPr>
      </w:pPr>
    </w:p>
    <w:p w:rsidR="009965B4" w:rsidRPr="009965B4" w:rsidRDefault="009965B4" w:rsidP="009965B4">
      <w:pPr>
        <w:pStyle w:val="ListParagraph"/>
        <w:numPr>
          <w:ilvl w:val="0"/>
          <w:numId w:val="9"/>
        </w:numPr>
        <w:rPr>
          <w:b/>
        </w:rPr>
      </w:pPr>
      <w:r w:rsidRPr="009965B4">
        <w:rPr>
          <w:b/>
        </w:rPr>
        <w:t>WG Creation, Timelines &amp; Community Outreach</w:t>
      </w:r>
    </w:p>
    <w:p w:rsidR="009965B4" w:rsidRDefault="009965B4" w:rsidP="009965B4">
      <w:pPr>
        <w:pStyle w:val="ListParagraph"/>
        <w:numPr>
          <w:ilvl w:val="0"/>
          <w:numId w:val="9"/>
        </w:numPr>
        <w:rPr>
          <w:b/>
        </w:rPr>
      </w:pPr>
      <w:r>
        <w:rPr>
          <w:b/>
        </w:rPr>
        <w:t>WG Deliberations in Context: GAC Advice &amp; NGPC Actions</w:t>
      </w:r>
    </w:p>
    <w:p w:rsidR="009965B4" w:rsidRDefault="009965B4" w:rsidP="009965B4">
      <w:pPr>
        <w:pStyle w:val="ListParagraph"/>
        <w:numPr>
          <w:ilvl w:val="0"/>
          <w:numId w:val="9"/>
        </w:numPr>
        <w:rPr>
          <w:b/>
        </w:rPr>
      </w:pPr>
      <w:r>
        <w:rPr>
          <w:b/>
        </w:rPr>
        <w:t>Origin of the GNSO Council Request to the SCI</w:t>
      </w:r>
    </w:p>
    <w:p w:rsidR="009965B4" w:rsidRDefault="009965B4" w:rsidP="009965B4">
      <w:pPr>
        <w:pStyle w:val="ListParagraph"/>
        <w:numPr>
          <w:ilvl w:val="0"/>
          <w:numId w:val="9"/>
        </w:numPr>
        <w:rPr>
          <w:b/>
        </w:rPr>
      </w:pPr>
      <w:r>
        <w:rPr>
          <w:b/>
        </w:rPr>
        <w:t>Options for the SCI to Consider</w:t>
      </w:r>
    </w:p>
    <w:p w:rsidR="009965B4" w:rsidRDefault="009965B4" w:rsidP="009965B4">
      <w:pPr>
        <w:pStyle w:val="ListParagraph"/>
        <w:numPr>
          <w:ilvl w:val="0"/>
          <w:numId w:val="9"/>
        </w:numPr>
        <w:rPr>
          <w:b/>
        </w:rPr>
      </w:pPr>
      <w:r>
        <w:rPr>
          <w:b/>
        </w:rPr>
        <w:t>Links to Relevant WG Meeting Transcripts &amp; Recordings</w:t>
      </w:r>
    </w:p>
    <w:p w:rsidR="009965B4" w:rsidRDefault="009965B4" w:rsidP="009965B4">
      <w:pPr>
        <w:pBdr>
          <w:bottom w:val="dotted" w:sz="24" w:space="1" w:color="auto"/>
        </w:pBdr>
        <w:rPr>
          <w:b/>
        </w:rPr>
      </w:pPr>
    </w:p>
    <w:p w:rsidR="009965B4" w:rsidRPr="009965B4" w:rsidRDefault="009965B4" w:rsidP="009965B4">
      <w:pPr>
        <w:rPr>
          <w:b/>
        </w:rPr>
      </w:pPr>
    </w:p>
    <w:p w:rsidR="00D05EF0" w:rsidRDefault="00D05EF0">
      <w:pPr>
        <w:rPr>
          <w:b/>
        </w:rPr>
      </w:pPr>
    </w:p>
    <w:p w:rsidR="00F4052E" w:rsidRPr="00A01C8B" w:rsidRDefault="00F4052E">
      <w:pPr>
        <w:rPr>
          <w:b/>
        </w:rPr>
      </w:pPr>
      <w:r>
        <w:rPr>
          <w:b/>
        </w:rPr>
        <w:t>I. WG Creation, Timelines &amp; Community Outreach</w:t>
      </w:r>
    </w:p>
    <w:p w:rsidR="00A01C8B" w:rsidRDefault="00A01C8B"/>
    <w:p w:rsidR="0035281A" w:rsidRDefault="00FC4547" w:rsidP="0035281A">
      <w:pPr>
        <w:pStyle w:val="ListParagraph"/>
        <w:numPr>
          <w:ilvl w:val="0"/>
          <w:numId w:val="1"/>
        </w:numPr>
      </w:pPr>
      <w:r>
        <w:t>In</w:t>
      </w:r>
      <w:r w:rsidR="00A01C8B">
        <w:t xml:space="preserve"> </w:t>
      </w:r>
      <w:r w:rsidR="0035281A" w:rsidRPr="00625A9A">
        <w:rPr>
          <w:b/>
          <w:i/>
        </w:rPr>
        <w:t>Oct</w:t>
      </w:r>
      <w:r w:rsidR="00625A9A">
        <w:rPr>
          <w:b/>
          <w:i/>
        </w:rPr>
        <w:t>ober</w:t>
      </w:r>
      <w:r w:rsidR="00A01C8B" w:rsidRPr="00625A9A">
        <w:rPr>
          <w:b/>
          <w:i/>
        </w:rPr>
        <w:t xml:space="preserve"> 2012</w:t>
      </w:r>
      <w:r w:rsidR="00A01C8B">
        <w:t xml:space="preserve"> </w:t>
      </w:r>
      <w:r>
        <w:t>the GNSO Council approved</w:t>
      </w:r>
      <w:r w:rsidR="0035281A">
        <w:t xml:space="preserve"> an</w:t>
      </w:r>
      <w:r w:rsidR="00A01C8B">
        <w:t xml:space="preserve"> </w:t>
      </w:r>
      <w:hyperlink r:id="rId6" w:anchor="201210" w:history="1">
        <w:r>
          <w:rPr>
            <w:rStyle w:val="Hyperlink"/>
          </w:rPr>
          <w:t>expedited PDP</w:t>
        </w:r>
      </w:hyperlink>
      <w:r>
        <w:t xml:space="preserve"> </w:t>
      </w:r>
      <w:r w:rsidR="00A01C8B">
        <w:t xml:space="preserve">on possible top and second level </w:t>
      </w:r>
      <w:r w:rsidR="0035281A">
        <w:t xml:space="preserve">protections for IGOs and INGOs (including RCRC and IOC) in </w:t>
      </w:r>
      <w:r w:rsidR="0035281A" w:rsidRPr="0035281A">
        <w:rPr>
          <w:u w:val="single"/>
        </w:rPr>
        <w:t>all</w:t>
      </w:r>
      <w:r w:rsidR="0035281A">
        <w:t xml:space="preserve"> </w:t>
      </w:r>
      <w:proofErr w:type="spellStart"/>
      <w:r w:rsidR="0035281A">
        <w:t>gTLDs</w:t>
      </w:r>
      <w:proofErr w:type="spellEnd"/>
      <w:r w:rsidR="0035281A">
        <w:t xml:space="preserve"> (incumbent and new), per </w:t>
      </w:r>
      <w:r>
        <w:t xml:space="preserve">the </w:t>
      </w:r>
      <w:r w:rsidR="0035281A">
        <w:t>recommendations in the Final Issue Report.</w:t>
      </w:r>
      <w:r w:rsidR="00A55D45">
        <w:t xml:space="preserve"> </w:t>
      </w:r>
      <w:r>
        <w:t xml:space="preserve">The IGO-INGO PDP </w:t>
      </w:r>
      <w:r w:rsidR="00A55D45">
        <w:t>WG completed its work and presented over 20 consensus recommendations to the GNSO Council for</w:t>
      </w:r>
      <w:r>
        <w:t xml:space="preserve"> a</w:t>
      </w:r>
      <w:r w:rsidR="00A55D45">
        <w:t xml:space="preserve"> </w:t>
      </w:r>
      <w:hyperlink r:id="rId7" w:anchor="201311" w:history="1">
        <w:r>
          <w:rPr>
            <w:rStyle w:val="Hyperlink"/>
          </w:rPr>
          <w:t>Council vote</w:t>
        </w:r>
      </w:hyperlink>
      <w:r>
        <w:t xml:space="preserve"> </w:t>
      </w:r>
      <w:r w:rsidR="00A55D45">
        <w:t xml:space="preserve">in </w:t>
      </w:r>
      <w:r w:rsidR="00A55D45" w:rsidRPr="00A55D45">
        <w:rPr>
          <w:b/>
          <w:i/>
        </w:rPr>
        <w:t>November 2013</w:t>
      </w:r>
      <w:r w:rsidR="00A55D45">
        <w:t>.</w:t>
      </w:r>
    </w:p>
    <w:p w:rsidR="00A01C8B" w:rsidRDefault="00A01C8B"/>
    <w:p w:rsidR="0035281A" w:rsidRDefault="0035281A" w:rsidP="0035281A">
      <w:pPr>
        <w:pStyle w:val="ListParagraph"/>
        <w:numPr>
          <w:ilvl w:val="0"/>
          <w:numId w:val="1"/>
        </w:numPr>
      </w:pPr>
      <w:r>
        <w:t xml:space="preserve">WG met weekly for 2 hours; </w:t>
      </w:r>
      <w:r w:rsidR="00FC4547">
        <w:t xml:space="preserve">it </w:t>
      </w:r>
      <w:r>
        <w:t>held 43 meetings in total</w:t>
      </w:r>
      <w:r w:rsidR="00A55D45">
        <w:t xml:space="preserve"> and exchanged over 1100 emails on its </w:t>
      </w:r>
      <w:hyperlink r:id="rId8" w:history="1">
        <w:r w:rsidR="00FC4547">
          <w:rPr>
            <w:rStyle w:val="Hyperlink"/>
          </w:rPr>
          <w:t>mailing list</w:t>
        </w:r>
      </w:hyperlink>
      <w:r w:rsidR="00FC4547">
        <w:t xml:space="preserve">. </w:t>
      </w:r>
    </w:p>
    <w:p w:rsidR="0035281A" w:rsidRDefault="0035281A"/>
    <w:p w:rsidR="0035281A" w:rsidRDefault="0035281A" w:rsidP="0035281A">
      <w:pPr>
        <w:pStyle w:val="ListParagraph"/>
        <w:numPr>
          <w:ilvl w:val="0"/>
          <w:numId w:val="1"/>
        </w:numPr>
      </w:pPr>
      <w:r>
        <w:t xml:space="preserve">Input </w:t>
      </w:r>
      <w:r w:rsidR="00F4052E">
        <w:t xml:space="preserve">was </w:t>
      </w:r>
      <w:r>
        <w:t>sought from other SO/ACs and GNSO SG/Cs several times</w:t>
      </w:r>
      <w:r w:rsidR="00F4052E">
        <w:t>, including through mandatory early SO/AC outreach per the GNSO PDP Manual. Other outreach conducted included</w:t>
      </w:r>
      <w:r>
        <w:t>:</w:t>
      </w:r>
    </w:p>
    <w:p w:rsidR="0035281A" w:rsidRDefault="0035281A"/>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5"/>
        <w:gridCol w:w="2315"/>
        <w:gridCol w:w="1508"/>
      </w:tblGrid>
      <w:tr w:rsidR="0035281A" w:rsidRPr="00D81744" w:rsidTr="0035281A">
        <w:tc>
          <w:tcPr>
            <w:tcW w:w="2855" w:type="dxa"/>
            <w:shd w:val="clear" w:color="auto" w:fill="auto"/>
          </w:tcPr>
          <w:p w:rsidR="0035281A" w:rsidRPr="00D81744" w:rsidRDefault="0035281A" w:rsidP="0035281A">
            <w:pPr>
              <w:rPr>
                <w:rFonts w:ascii="Calibri" w:hAnsi="Calibri"/>
                <w:b/>
              </w:rPr>
            </w:pPr>
            <w:r>
              <w:rPr>
                <w:rFonts w:ascii="Calibri" w:hAnsi="Calibri"/>
                <w:b/>
              </w:rPr>
              <w:t>Type of Input/Session</w:t>
            </w:r>
          </w:p>
        </w:tc>
        <w:tc>
          <w:tcPr>
            <w:tcW w:w="2315" w:type="dxa"/>
            <w:shd w:val="clear" w:color="auto" w:fill="auto"/>
          </w:tcPr>
          <w:p w:rsidR="0035281A" w:rsidRPr="00D81744" w:rsidRDefault="0035281A" w:rsidP="0035281A">
            <w:pPr>
              <w:rPr>
                <w:rFonts w:ascii="Calibri" w:hAnsi="Calibri"/>
                <w:b/>
              </w:rPr>
            </w:pPr>
            <w:r w:rsidRPr="00D81744">
              <w:rPr>
                <w:rFonts w:ascii="Calibri" w:hAnsi="Calibri"/>
                <w:b/>
              </w:rPr>
              <w:t xml:space="preserve">Dates </w:t>
            </w:r>
            <w:r>
              <w:rPr>
                <w:rFonts w:ascii="Calibri" w:hAnsi="Calibri"/>
                <w:b/>
              </w:rPr>
              <w:t>O</w:t>
            </w:r>
            <w:r w:rsidRPr="00D81744">
              <w:rPr>
                <w:rFonts w:ascii="Calibri" w:hAnsi="Calibri"/>
                <w:b/>
              </w:rPr>
              <w:t>pened</w:t>
            </w:r>
            <w:r>
              <w:rPr>
                <w:rFonts w:ascii="Calibri" w:hAnsi="Calibri"/>
                <w:b/>
              </w:rPr>
              <w:t xml:space="preserve"> </w:t>
            </w:r>
            <w:r w:rsidRPr="00D81744">
              <w:rPr>
                <w:rFonts w:ascii="Calibri" w:hAnsi="Calibri"/>
                <w:b/>
              </w:rPr>
              <w:t>/</w:t>
            </w:r>
            <w:r>
              <w:rPr>
                <w:rFonts w:ascii="Calibri" w:hAnsi="Calibri"/>
                <w:b/>
              </w:rPr>
              <w:t xml:space="preserve"> Meeting D</w:t>
            </w:r>
            <w:r w:rsidRPr="00D81744">
              <w:rPr>
                <w:rFonts w:ascii="Calibri" w:hAnsi="Calibri"/>
                <w:b/>
              </w:rPr>
              <w:t>ate</w:t>
            </w:r>
          </w:p>
        </w:tc>
        <w:tc>
          <w:tcPr>
            <w:tcW w:w="1508" w:type="dxa"/>
            <w:shd w:val="clear" w:color="auto" w:fill="auto"/>
          </w:tcPr>
          <w:p w:rsidR="0035281A" w:rsidRPr="00D81744" w:rsidRDefault="0035281A" w:rsidP="0035281A">
            <w:pPr>
              <w:rPr>
                <w:rFonts w:ascii="Calibri" w:hAnsi="Calibri"/>
                <w:b/>
              </w:rPr>
            </w:pPr>
          </w:p>
        </w:tc>
      </w:tr>
      <w:tr w:rsidR="0035281A" w:rsidRPr="00D81744" w:rsidTr="0035281A">
        <w:tc>
          <w:tcPr>
            <w:tcW w:w="2855" w:type="dxa"/>
            <w:shd w:val="clear" w:color="auto" w:fill="auto"/>
          </w:tcPr>
          <w:p w:rsidR="0035281A" w:rsidRPr="00D81744" w:rsidRDefault="0035281A" w:rsidP="0035281A">
            <w:pPr>
              <w:rPr>
                <w:rFonts w:ascii="Calibri" w:hAnsi="Calibri"/>
              </w:rPr>
            </w:pPr>
            <w:r>
              <w:rPr>
                <w:rFonts w:ascii="Calibri" w:hAnsi="Calibri"/>
              </w:rPr>
              <w:t>Public Comment Forum for WG Initial Report</w:t>
            </w:r>
          </w:p>
        </w:tc>
        <w:tc>
          <w:tcPr>
            <w:tcW w:w="2315" w:type="dxa"/>
            <w:shd w:val="clear" w:color="auto" w:fill="auto"/>
          </w:tcPr>
          <w:p w:rsidR="0035281A" w:rsidRDefault="0035281A" w:rsidP="0035281A">
            <w:pPr>
              <w:rPr>
                <w:rFonts w:ascii="Calibri" w:hAnsi="Calibri"/>
              </w:rPr>
            </w:pPr>
            <w:r>
              <w:rPr>
                <w:rFonts w:ascii="Calibri" w:hAnsi="Calibri"/>
              </w:rPr>
              <w:t>14 June 2013</w:t>
            </w:r>
            <w:r w:rsidR="00625A9A">
              <w:rPr>
                <w:rFonts w:ascii="Calibri" w:hAnsi="Calibri"/>
              </w:rPr>
              <w:t xml:space="preserve"> (closed 7 August 2013)</w:t>
            </w:r>
          </w:p>
        </w:tc>
        <w:tc>
          <w:tcPr>
            <w:tcW w:w="1508" w:type="dxa"/>
            <w:shd w:val="clear" w:color="auto" w:fill="auto"/>
          </w:tcPr>
          <w:p w:rsidR="0035281A" w:rsidRDefault="0035281A" w:rsidP="0035281A">
            <w:pPr>
              <w:rPr>
                <w:rFonts w:ascii="Calibri" w:hAnsi="Calibri"/>
              </w:rPr>
            </w:pPr>
            <w:r>
              <w:rPr>
                <w:rFonts w:ascii="Calibri" w:hAnsi="Calibri"/>
              </w:rPr>
              <w:t xml:space="preserve">9 comments </w:t>
            </w:r>
            <w:hyperlink r:id="rId9" w:history="1">
              <w:r w:rsidR="00625A9A">
                <w:rPr>
                  <w:rStyle w:val="Hyperlink"/>
                  <w:rFonts w:ascii="Calibri" w:hAnsi="Calibri"/>
                </w:rPr>
                <w:t>received</w:t>
              </w:r>
            </w:hyperlink>
            <w:r w:rsidR="00625A9A">
              <w:rPr>
                <w:rFonts w:ascii="Calibri" w:hAnsi="Calibri"/>
              </w:rPr>
              <w:t xml:space="preserve"> </w:t>
            </w:r>
          </w:p>
          <w:p w:rsidR="00625A9A" w:rsidRPr="00D81744" w:rsidRDefault="00625A9A" w:rsidP="0035281A">
            <w:pPr>
              <w:rPr>
                <w:rFonts w:ascii="Calibri" w:hAnsi="Calibri"/>
              </w:rPr>
            </w:pPr>
          </w:p>
        </w:tc>
      </w:tr>
      <w:tr w:rsidR="0035281A" w:rsidRPr="00D81744" w:rsidTr="0035281A">
        <w:tc>
          <w:tcPr>
            <w:tcW w:w="2855" w:type="dxa"/>
            <w:shd w:val="clear" w:color="auto" w:fill="auto"/>
          </w:tcPr>
          <w:p w:rsidR="0035281A" w:rsidRPr="00D81744" w:rsidRDefault="0035281A" w:rsidP="0035281A">
            <w:pPr>
              <w:rPr>
                <w:rFonts w:ascii="Calibri" w:hAnsi="Calibri"/>
              </w:rPr>
            </w:pPr>
            <w:r w:rsidRPr="00D81744">
              <w:rPr>
                <w:rFonts w:ascii="Calibri" w:hAnsi="Calibri"/>
              </w:rPr>
              <w:t>Public</w:t>
            </w:r>
            <w:r>
              <w:rPr>
                <w:rFonts w:ascii="Calibri" w:hAnsi="Calibri"/>
              </w:rPr>
              <w:t xml:space="preserve"> WG meeting </w:t>
            </w:r>
            <w:r w:rsidRPr="00D81744">
              <w:rPr>
                <w:rFonts w:ascii="Calibri" w:hAnsi="Calibri"/>
              </w:rPr>
              <w:t xml:space="preserve">at the ICANN Meeting in </w:t>
            </w:r>
            <w:r>
              <w:rPr>
                <w:rFonts w:ascii="Calibri" w:hAnsi="Calibri"/>
              </w:rPr>
              <w:t>Durban</w:t>
            </w:r>
          </w:p>
        </w:tc>
        <w:tc>
          <w:tcPr>
            <w:tcW w:w="2315" w:type="dxa"/>
            <w:shd w:val="clear" w:color="auto" w:fill="auto"/>
          </w:tcPr>
          <w:p w:rsidR="0035281A" w:rsidRPr="00D81744" w:rsidRDefault="0035281A" w:rsidP="0035281A">
            <w:pPr>
              <w:rPr>
                <w:rFonts w:ascii="Calibri" w:hAnsi="Calibri"/>
              </w:rPr>
            </w:pPr>
            <w:r>
              <w:rPr>
                <w:rFonts w:ascii="Calibri" w:hAnsi="Calibri"/>
              </w:rPr>
              <w:t>15 July 2013</w:t>
            </w:r>
          </w:p>
        </w:tc>
        <w:tc>
          <w:tcPr>
            <w:tcW w:w="1508" w:type="dxa"/>
            <w:shd w:val="clear" w:color="auto" w:fill="auto"/>
          </w:tcPr>
          <w:p w:rsidR="0035281A" w:rsidRDefault="009965B4" w:rsidP="0035281A">
            <w:pPr>
              <w:rPr>
                <w:rFonts w:ascii="Calibri" w:hAnsi="Calibri"/>
              </w:rPr>
            </w:pPr>
            <w:hyperlink r:id="rId10" w:history="1">
              <w:r w:rsidR="00F4052E">
                <w:rPr>
                  <w:rStyle w:val="Hyperlink"/>
                  <w:rFonts w:ascii="Calibri" w:hAnsi="Calibri"/>
                </w:rPr>
                <w:t>Meeting T</w:t>
              </w:r>
              <w:r w:rsidR="00A55D45">
                <w:rPr>
                  <w:rStyle w:val="Hyperlink"/>
                  <w:rFonts w:ascii="Calibri" w:hAnsi="Calibri"/>
                </w:rPr>
                <w:t>ranscript</w:t>
              </w:r>
            </w:hyperlink>
            <w:r w:rsidR="00A55D45">
              <w:rPr>
                <w:rFonts w:ascii="Calibri" w:hAnsi="Calibri"/>
              </w:rPr>
              <w:t xml:space="preserve"> </w:t>
            </w:r>
          </w:p>
          <w:p w:rsidR="00F4052E" w:rsidRPr="00D81744" w:rsidRDefault="00F4052E" w:rsidP="0035281A">
            <w:pPr>
              <w:rPr>
                <w:rFonts w:ascii="Calibri" w:hAnsi="Calibri"/>
              </w:rPr>
            </w:pPr>
          </w:p>
        </w:tc>
      </w:tr>
      <w:tr w:rsidR="0035281A" w:rsidRPr="00D81744" w:rsidTr="0035281A">
        <w:tc>
          <w:tcPr>
            <w:tcW w:w="2855" w:type="dxa"/>
            <w:shd w:val="clear" w:color="auto" w:fill="auto"/>
          </w:tcPr>
          <w:p w:rsidR="0035281A" w:rsidRPr="00D81744" w:rsidRDefault="0035281A" w:rsidP="0035281A">
            <w:pPr>
              <w:rPr>
                <w:rFonts w:ascii="Calibri" w:hAnsi="Calibri"/>
              </w:rPr>
            </w:pPr>
            <w:r>
              <w:rPr>
                <w:rFonts w:ascii="Calibri" w:hAnsi="Calibri"/>
              </w:rPr>
              <w:t>Public session at the ICANN meeting in Durban</w:t>
            </w:r>
          </w:p>
        </w:tc>
        <w:tc>
          <w:tcPr>
            <w:tcW w:w="2315" w:type="dxa"/>
            <w:shd w:val="clear" w:color="auto" w:fill="auto"/>
          </w:tcPr>
          <w:p w:rsidR="0035281A" w:rsidRDefault="0035281A" w:rsidP="0035281A">
            <w:pPr>
              <w:rPr>
                <w:rFonts w:ascii="Calibri" w:hAnsi="Calibri"/>
              </w:rPr>
            </w:pPr>
            <w:r>
              <w:rPr>
                <w:rFonts w:ascii="Calibri" w:hAnsi="Calibri"/>
              </w:rPr>
              <w:t>17 July 2013</w:t>
            </w:r>
          </w:p>
        </w:tc>
        <w:tc>
          <w:tcPr>
            <w:tcW w:w="1508" w:type="dxa"/>
            <w:shd w:val="clear" w:color="auto" w:fill="auto"/>
          </w:tcPr>
          <w:p w:rsidR="00F4052E" w:rsidRDefault="009965B4" w:rsidP="0035281A">
            <w:pPr>
              <w:rPr>
                <w:rFonts w:ascii="Calibri" w:hAnsi="Calibri"/>
              </w:rPr>
            </w:pPr>
            <w:hyperlink r:id="rId11" w:history="1">
              <w:r w:rsidR="00F4052E">
                <w:rPr>
                  <w:rStyle w:val="Hyperlink"/>
                  <w:rFonts w:ascii="Calibri" w:hAnsi="Calibri"/>
                </w:rPr>
                <w:t>Session Presentation</w:t>
              </w:r>
            </w:hyperlink>
          </w:p>
          <w:p w:rsidR="0035281A" w:rsidRDefault="00F4052E" w:rsidP="0035281A">
            <w:pPr>
              <w:rPr>
                <w:rFonts w:ascii="Calibri" w:hAnsi="Calibri"/>
              </w:rPr>
            </w:pPr>
            <w:r>
              <w:rPr>
                <w:rFonts w:ascii="Calibri" w:hAnsi="Calibri"/>
              </w:rPr>
              <w:t xml:space="preserve"> </w:t>
            </w:r>
          </w:p>
        </w:tc>
      </w:tr>
      <w:tr w:rsidR="0035281A" w:rsidRPr="00D81744" w:rsidTr="0035281A">
        <w:tc>
          <w:tcPr>
            <w:tcW w:w="2855" w:type="dxa"/>
            <w:shd w:val="clear" w:color="auto" w:fill="auto"/>
          </w:tcPr>
          <w:p w:rsidR="0035281A" w:rsidRPr="00D81744" w:rsidRDefault="0035281A" w:rsidP="0035281A">
            <w:pPr>
              <w:rPr>
                <w:rFonts w:ascii="Calibri" w:hAnsi="Calibri"/>
              </w:rPr>
            </w:pPr>
            <w:r>
              <w:rPr>
                <w:rFonts w:ascii="Calibri" w:hAnsi="Calibri"/>
              </w:rPr>
              <w:t>Public Comment Forum for WG’s Draft Final</w:t>
            </w:r>
            <w:r w:rsidRPr="00D81744">
              <w:rPr>
                <w:rFonts w:ascii="Calibri" w:hAnsi="Calibri"/>
              </w:rPr>
              <w:t xml:space="preserve"> Report</w:t>
            </w:r>
          </w:p>
        </w:tc>
        <w:tc>
          <w:tcPr>
            <w:tcW w:w="2315" w:type="dxa"/>
            <w:shd w:val="clear" w:color="auto" w:fill="auto"/>
          </w:tcPr>
          <w:p w:rsidR="0035281A" w:rsidRPr="00D81744" w:rsidRDefault="0035281A" w:rsidP="0035281A">
            <w:pPr>
              <w:rPr>
                <w:rFonts w:ascii="Calibri" w:hAnsi="Calibri"/>
              </w:rPr>
            </w:pPr>
            <w:r>
              <w:rPr>
                <w:rFonts w:ascii="Calibri" w:hAnsi="Calibri"/>
              </w:rPr>
              <w:t>20 September 2013</w:t>
            </w:r>
            <w:r w:rsidR="00625A9A">
              <w:rPr>
                <w:rFonts w:ascii="Calibri" w:hAnsi="Calibri"/>
              </w:rPr>
              <w:t xml:space="preserve"> (closed 1 November 2013)</w:t>
            </w:r>
          </w:p>
        </w:tc>
        <w:tc>
          <w:tcPr>
            <w:tcW w:w="1508" w:type="dxa"/>
            <w:shd w:val="clear" w:color="auto" w:fill="auto"/>
          </w:tcPr>
          <w:p w:rsidR="0035281A" w:rsidRDefault="0035281A" w:rsidP="0035281A">
            <w:pPr>
              <w:rPr>
                <w:rFonts w:ascii="Calibri" w:hAnsi="Calibri"/>
              </w:rPr>
            </w:pPr>
            <w:r>
              <w:rPr>
                <w:rFonts w:ascii="Calibri" w:hAnsi="Calibri"/>
              </w:rPr>
              <w:t xml:space="preserve">18 comments </w:t>
            </w:r>
            <w:hyperlink r:id="rId12" w:history="1">
              <w:r w:rsidR="00625A9A">
                <w:rPr>
                  <w:rStyle w:val="Hyperlink"/>
                  <w:rFonts w:ascii="Calibri" w:hAnsi="Calibri"/>
                </w:rPr>
                <w:t>received</w:t>
              </w:r>
            </w:hyperlink>
            <w:r w:rsidR="00625A9A">
              <w:rPr>
                <w:rFonts w:ascii="Calibri" w:hAnsi="Calibri"/>
              </w:rPr>
              <w:t xml:space="preserve"> </w:t>
            </w:r>
          </w:p>
          <w:p w:rsidR="00625A9A" w:rsidRPr="00D81744" w:rsidRDefault="00625A9A" w:rsidP="0035281A">
            <w:pPr>
              <w:rPr>
                <w:rFonts w:ascii="Calibri" w:hAnsi="Calibri"/>
              </w:rPr>
            </w:pPr>
          </w:p>
        </w:tc>
      </w:tr>
      <w:tr w:rsidR="0035281A" w:rsidRPr="00D81744" w:rsidTr="0035281A">
        <w:tc>
          <w:tcPr>
            <w:tcW w:w="2855" w:type="dxa"/>
            <w:shd w:val="clear" w:color="auto" w:fill="auto"/>
          </w:tcPr>
          <w:p w:rsidR="0035281A" w:rsidRPr="00D81744" w:rsidRDefault="0035281A" w:rsidP="0035281A">
            <w:pPr>
              <w:rPr>
                <w:rFonts w:ascii="Calibri" w:hAnsi="Calibri"/>
              </w:rPr>
            </w:pPr>
            <w:r>
              <w:rPr>
                <w:rFonts w:ascii="Calibri" w:hAnsi="Calibri"/>
              </w:rPr>
              <w:lastRenderedPageBreak/>
              <w:t xml:space="preserve">Final Report </w:t>
            </w:r>
            <w:r w:rsidRPr="00D81744">
              <w:rPr>
                <w:rFonts w:ascii="Calibri" w:hAnsi="Calibri"/>
              </w:rPr>
              <w:t xml:space="preserve">Recommendations </w:t>
            </w:r>
            <w:r>
              <w:rPr>
                <w:rFonts w:ascii="Calibri" w:hAnsi="Calibri"/>
              </w:rPr>
              <w:t>approved by GNSO Council prior</w:t>
            </w:r>
            <w:r w:rsidRPr="00D81744">
              <w:rPr>
                <w:rFonts w:ascii="Calibri" w:hAnsi="Calibri"/>
              </w:rPr>
              <w:t xml:space="preserve"> to Board consideration</w:t>
            </w:r>
          </w:p>
        </w:tc>
        <w:tc>
          <w:tcPr>
            <w:tcW w:w="2315" w:type="dxa"/>
            <w:shd w:val="clear" w:color="auto" w:fill="auto"/>
          </w:tcPr>
          <w:p w:rsidR="0035281A" w:rsidRPr="00D81744" w:rsidRDefault="0035281A" w:rsidP="0035281A">
            <w:pPr>
              <w:rPr>
                <w:rFonts w:ascii="Calibri" w:hAnsi="Calibri"/>
              </w:rPr>
            </w:pPr>
            <w:r>
              <w:rPr>
                <w:rFonts w:ascii="Calibri" w:hAnsi="Calibri"/>
              </w:rPr>
              <w:t>27 November 2013</w:t>
            </w:r>
            <w:r w:rsidR="00625A9A">
              <w:rPr>
                <w:rFonts w:ascii="Calibri" w:hAnsi="Calibri"/>
              </w:rPr>
              <w:t xml:space="preserve"> (closed 8 January 2014)</w:t>
            </w:r>
          </w:p>
        </w:tc>
        <w:tc>
          <w:tcPr>
            <w:tcW w:w="1508" w:type="dxa"/>
            <w:shd w:val="clear" w:color="auto" w:fill="auto"/>
          </w:tcPr>
          <w:p w:rsidR="0035281A" w:rsidRPr="00D81744" w:rsidRDefault="0035281A" w:rsidP="0035281A">
            <w:pPr>
              <w:rPr>
                <w:rFonts w:ascii="Calibri" w:hAnsi="Calibri"/>
              </w:rPr>
            </w:pPr>
            <w:r>
              <w:rPr>
                <w:rFonts w:ascii="Calibri" w:hAnsi="Calibri"/>
              </w:rPr>
              <w:t xml:space="preserve">40 comments </w:t>
            </w:r>
            <w:hyperlink r:id="rId13" w:history="1">
              <w:r w:rsidR="00625A9A">
                <w:rPr>
                  <w:rStyle w:val="Hyperlink"/>
                  <w:rFonts w:ascii="Calibri" w:hAnsi="Calibri"/>
                </w:rPr>
                <w:t>received</w:t>
              </w:r>
            </w:hyperlink>
            <w:r w:rsidR="00625A9A">
              <w:rPr>
                <w:rFonts w:ascii="Calibri" w:hAnsi="Calibri"/>
              </w:rPr>
              <w:t xml:space="preserve"> </w:t>
            </w:r>
          </w:p>
        </w:tc>
      </w:tr>
    </w:tbl>
    <w:p w:rsidR="0035281A" w:rsidRDefault="0035281A"/>
    <w:p w:rsidR="0035281A" w:rsidRDefault="0035281A" w:rsidP="0035281A">
      <w:pPr>
        <w:pStyle w:val="ListParagraph"/>
        <w:numPr>
          <w:ilvl w:val="0"/>
          <w:numId w:val="2"/>
        </w:numPr>
      </w:pPr>
      <w:r>
        <w:t>WG employed a number of spreadsheets and tools to collect, review and incorporate community feedback, e.g.:</w:t>
      </w:r>
    </w:p>
    <w:p w:rsidR="0035281A" w:rsidRDefault="0035281A" w:rsidP="0035281A"/>
    <w:p w:rsidR="0035281A" w:rsidRPr="00625A9A" w:rsidRDefault="0035281A" w:rsidP="0035281A">
      <w:pPr>
        <w:pStyle w:val="ListParagraph"/>
        <w:numPr>
          <w:ilvl w:val="0"/>
          <w:numId w:val="3"/>
        </w:numPr>
        <w:rPr>
          <w:sz w:val="20"/>
          <w:szCs w:val="20"/>
        </w:rPr>
      </w:pPr>
      <w:r w:rsidRPr="00625A9A">
        <w:rPr>
          <w:sz w:val="20"/>
          <w:szCs w:val="20"/>
        </w:rPr>
        <w:t xml:space="preserve">Protections Matrix Tool: </w:t>
      </w:r>
      <w:hyperlink r:id="rId14" w:history="1">
        <w:r w:rsidRPr="00625A9A">
          <w:rPr>
            <w:rStyle w:val="Hyperlink"/>
            <w:sz w:val="20"/>
            <w:szCs w:val="20"/>
          </w:rPr>
          <w:t>https://community.icann.org/x/qo5wAg</w:t>
        </w:r>
      </w:hyperlink>
    </w:p>
    <w:p w:rsidR="0035281A" w:rsidRDefault="0035281A" w:rsidP="0035281A">
      <w:pPr>
        <w:pStyle w:val="ListParagraph"/>
        <w:numPr>
          <w:ilvl w:val="0"/>
          <w:numId w:val="3"/>
        </w:numPr>
      </w:pPr>
      <w:r w:rsidRPr="00625A9A">
        <w:rPr>
          <w:sz w:val="20"/>
          <w:szCs w:val="20"/>
        </w:rPr>
        <w:t xml:space="preserve">Public Comment Review Tool: </w:t>
      </w:r>
      <w:hyperlink r:id="rId15" w:history="1">
        <w:r w:rsidRPr="00625A9A">
          <w:rPr>
            <w:rStyle w:val="Hyperlink"/>
            <w:sz w:val="20"/>
            <w:szCs w:val="20"/>
          </w:rPr>
          <w:t>https://community.icann.org/x/tRmfAg</w:t>
        </w:r>
      </w:hyperlink>
    </w:p>
    <w:p w:rsidR="0035281A" w:rsidRDefault="0035281A" w:rsidP="0035281A"/>
    <w:p w:rsidR="0035281A" w:rsidRDefault="0035281A" w:rsidP="0035281A">
      <w:pPr>
        <w:pStyle w:val="ListParagraph"/>
        <w:numPr>
          <w:ilvl w:val="0"/>
          <w:numId w:val="2"/>
        </w:numPr>
      </w:pPr>
      <w:r>
        <w:t>WG also requested research from ICANN General</w:t>
      </w:r>
      <w:r w:rsidR="00F4052E">
        <w:t xml:space="preserve"> Counsel and</w:t>
      </w:r>
      <w:r>
        <w:t xml:space="preserve"> </w:t>
      </w:r>
      <w:r w:rsidR="00625A9A">
        <w:t>registration/cybersquatting statistics from IGOs and INGOs</w:t>
      </w:r>
      <w:r w:rsidR="00FC4547">
        <w:t>.</w:t>
      </w:r>
    </w:p>
    <w:p w:rsidR="00625A9A" w:rsidRDefault="00625A9A" w:rsidP="00625A9A"/>
    <w:p w:rsidR="00F4052E" w:rsidRDefault="00625A9A" w:rsidP="00F4052E">
      <w:pPr>
        <w:pStyle w:val="ListParagraph"/>
        <w:numPr>
          <w:ilvl w:val="0"/>
          <w:numId w:val="2"/>
        </w:numPr>
      </w:pPr>
      <w:r>
        <w:t>Formal Consensu</w:t>
      </w:r>
      <w:r w:rsidR="00FC4547">
        <w:t xml:space="preserve">s Call on final recommendations </w:t>
      </w:r>
      <w:r w:rsidR="00F4052E">
        <w:t>initiat</w:t>
      </w:r>
      <w:r>
        <w:t xml:space="preserve">ed by WG Chair on </w:t>
      </w:r>
      <w:r w:rsidRPr="00625A9A">
        <w:rPr>
          <w:b/>
          <w:i/>
        </w:rPr>
        <w:t>21 August 2013</w:t>
      </w:r>
      <w:r>
        <w:t xml:space="preserve">: </w:t>
      </w:r>
      <w:hyperlink r:id="rId16" w:history="1">
        <w:r w:rsidRPr="00313B2D">
          <w:rPr>
            <w:rStyle w:val="Hyperlink"/>
          </w:rPr>
          <w:t>http://forum.icann.org/lists/gnso-igo-ingo/msg00869.html</w:t>
        </w:r>
      </w:hyperlink>
      <w:r w:rsidR="00F4052E">
        <w:t xml:space="preserve">. </w:t>
      </w:r>
      <w:r w:rsidR="00A55D45">
        <w:t xml:space="preserve">Responses to </w:t>
      </w:r>
      <w:r w:rsidR="00FC4547">
        <w:t xml:space="preserve">the </w:t>
      </w:r>
      <w:r w:rsidR="00A55D45">
        <w:t xml:space="preserve">Consensus Call </w:t>
      </w:r>
      <w:r w:rsidR="00FC4547">
        <w:t xml:space="preserve">were </w:t>
      </w:r>
      <w:r w:rsidR="00A55D45">
        <w:t xml:space="preserve">received from </w:t>
      </w:r>
      <w:proofErr w:type="spellStart"/>
      <w:r w:rsidR="00A55D45">
        <w:t>RySG</w:t>
      </w:r>
      <w:proofErr w:type="spellEnd"/>
      <w:r w:rsidR="00A55D45">
        <w:t xml:space="preserve">; BC; IPC; ISPC; NCSG; ALAC; and from IGO, INGO, RCRC and IOC representatives and other individuals. </w:t>
      </w:r>
    </w:p>
    <w:p w:rsidR="00F4052E" w:rsidRDefault="00F4052E" w:rsidP="00F4052E"/>
    <w:p w:rsidR="00625A9A" w:rsidRDefault="00A55D45" w:rsidP="00F4052E">
      <w:pPr>
        <w:pStyle w:val="ListParagraph"/>
        <w:numPr>
          <w:ilvl w:val="0"/>
          <w:numId w:val="2"/>
        </w:numPr>
      </w:pPr>
      <w:r>
        <w:t xml:space="preserve">Responses were reviewed during four separate WG calls and on the mailing list prior to publication of </w:t>
      </w:r>
      <w:r w:rsidR="00FC4547">
        <w:t xml:space="preserve">the WG’s </w:t>
      </w:r>
      <w:r>
        <w:t xml:space="preserve">Draft Final Report for public comment on </w:t>
      </w:r>
      <w:r w:rsidRPr="00F4052E">
        <w:rPr>
          <w:b/>
          <w:i/>
        </w:rPr>
        <w:t>20 September 2013</w:t>
      </w:r>
      <w:r>
        <w:t>.</w:t>
      </w:r>
    </w:p>
    <w:p w:rsidR="0035281A" w:rsidRDefault="0035281A">
      <w:r>
        <w:t xml:space="preserve"> </w:t>
      </w:r>
    </w:p>
    <w:p w:rsidR="0035281A" w:rsidRDefault="0035281A"/>
    <w:p w:rsidR="0035281A" w:rsidRPr="00F4052E" w:rsidRDefault="00F4052E">
      <w:pPr>
        <w:rPr>
          <w:b/>
        </w:rPr>
      </w:pPr>
      <w:r w:rsidRPr="00F4052E">
        <w:rPr>
          <w:b/>
        </w:rPr>
        <w:t xml:space="preserve">II. WG </w:t>
      </w:r>
      <w:r w:rsidR="00FB3689">
        <w:rPr>
          <w:b/>
        </w:rPr>
        <w:t xml:space="preserve">Deliberations in </w:t>
      </w:r>
      <w:r w:rsidRPr="00F4052E">
        <w:rPr>
          <w:b/>
        </w:rPr>
        <w:t>Context: GAC Advice &amp; NGPC Actions</w:t>
      </w:r>
    </w:p>
    <w:p w:rsidR="00F4052E" w:rsidRDefault="00F4052E"/>
    <w:p w:rsidR="00F4052E" w:rsidRDefault="00F4052E" w:rsidP="00F4052E">
      <w:pPr>
        <w:pStyle w:val="ListParagraph"/>
        <w:numPr>
          <w:ilvl w:val="0"/>
          <w:numId w:val="4"/>
        </w:numPr>
      </w:pPr>
      <w:r>
        <w:t xml:space="preserve">Between June 2011 and November 2012 the Board’s </w:t>
      </w:r>
      <w:proofErr w:type="gramStart"/>
      <w:r>
        <w:t>New</w:t>
      </w:r>
      <w:proofErr w:type="gramEnd"/>
      <w:r>
        <w:t xml:space="preserve"> </w:t>
      </w:r>
      <w:proofErr w:type="spellStart"/>
      <w:r>
        <w:t>gTLD</w:t>
      </w:r>
      <w:proofErr w:type="spellEnd"/>
      <w:r>
        <w:t xml:space="preserve"> Program Committee (NGPC) passed 4 resolutions relating to </w:t>
      </w:r>
      <w:r w:rsidR="00FB3689">
        <w:t xml:space="preserve">temporary </w:t>
      </w:r>
      <w:r>
        <w:t>protections of RCRC, IOC and IGO names and acronyms</w:t>
      </w:r>
      <w:r w:rsidR="00FB3689">
        <w:t>, pending the outcome of GNSO policy work and GAC advice</w:t>
      </w:r>
      <w:r>
        <w:t>.</w:t>
      </w:r>
    </w:p>
    <w:p w:rsidR="00F4052E" w:rsidRDefault="00F4052E" w:rsidP="00F4052E"/>
    <w:p w:rsidR="00F4052E" w:rsidRDefault="00F4052E" w:rsidP="00F4052E">
      <w:pPr>
        <w:pStyle w:val="ListParagraph"/>
        <w:numPr>
          <w:ilvl w:val="0"/>
          <w:numId w:val="4"/>
        </w:numPr>
      </w:pPr>
      <w:r>
        <w:t xml:space="preserve">Between May 2011 and </w:t>
      </w:r>
      <w:r w:rsidR="0022311F">
        <w:t xml:space="preserve">November 2013 the Government Advisory Committee (GAC) issued 13 letters, </w:t>
      </w:r>
      <w:proofErr w:type="spellStart"/>
      <w:r w:rsidR="0022311F">
        <w:t>Communiques</w:t>
      </w:r>
      <w:proofErr w:type="spellEnd"/>
      <w:r w:rsidR="0022311F">
        <w:t xml:space="preserve"> and other </w:t>
      </w:r>
      <w:r w:rsidR="00FB3689">
        <w:t>a</w:t>
      </w:r>
      <w:r w:rsidR="0022311F">
        <w:t xml:space="preserve">dvice relating to protections for RCRC, IOC and IGO identifiers in the </w:t>
      </w:r>
      <w:proofErr w:type="gramStart"/>
      <w:r w:rsidR="0022311F">
        <w:t>New</w:t>
      </w:r>
      <w:proofErr w:type="gramEnd"/>
      <w:r w:rsidR="0022311F">
        <w:t xml:space="preserve"> </w:t>
      </w:r>
      <w:proofErr w:type="spellStart"/>
      <w:r w:rsidR="0022311F">
        <w:t>gTLD</w:t>
      </w:r>
      <w:proofErr w:type="spellEnd"/>
      <w:r w:rsidR="0022311F">
        <w:t xml:space="preserve"> Program.</w:t>
      </w:r>
    </w:p>
    <w:p w:rsidR="0022311F" w:rsidRDefault="0022311F" w:rsidP="0022311F"/>
    <w:p w:rsidR="0022311F" w:rsidRDefault="0022311F" w:rsidP="0022311F"/>
    <w:p w:rsidR="0022311F" w:rsidRPr="0022311F" w:rsidRDefault="0022311F" w:rsidP="0022311F">
      <w:pPr>
        <w:rPr>
          <w:b/>
        </w:rPr>
      </w:pPr>
      <w:r w:rsidRPr="0022311F">
        <w:rPr>
          <w:b/>
        </w:rPr>
        <w:t xml:space="preserve">III. </w:t>
      </w:r>
      <w:r w:rsidR="009965B4">
        <w:rPr>
          <w:b/>
        </w:rPr>
        <w:t>Origin of t</w:t>
      </w:r>
      <w:r w:rsidRPr="0022311F">
        <w:rPr>
          <w:b/>
        </w:rPr>
        <w:t>he GNSO Council Request to the Standing Committee for Improvements (SCI)</w:t>
      </w:r>
    </w:p>
    <w:p w:rsidR="0022311F" w:rsidRDefault="0022311F" w:rsidP="0022311F"/>
    <w:p w:rsidR="0022311F" w:rsidRDefault="0022311F" w:rsidP="0022311F">
      <w:pPr>
        <w:pStyle w:val="ListParagraph"/>
        <w:numPr>
          <w:ilvl w:val="0"/>
          <w:numId w:val="5"/>
        </w:numPr>
      </w:pPr>
      <w:r>
        <w:t xml:space="preserve">Originated in the WG’s notation in its </w:t>
      </w:r>
      <w:hyperlink r:id="rId17" w:history="1">
        <w:r w:rsidR="00DC040A">
          <w:rPr>
            <w:rStyle w:val="Hyperlink"/>
          </w:rPr>
          <w:t>Final Report</w:t>
        </w:r>
      </w:hyperlink>
      <w:r w:rsidR="00DC040A">
        <w:t xml:space="preserve"> </w:t>
      </w:r>
      <w:r>
        <w:t>as follows:</w:t>
      </w:r>
    </w:p>
    <w:p w:rsidR="0022311F" w:rsidRDefault="0022311F" w:rsidP="0022311F"/>
    <w:p w:rsidR="0022311F" w:rsidRPr="0022311F" w:rsidRDefault="0022311F" w:rsidP="0022311F">
      <w:pPr>
        <w:ind w:left="720"/>
      </w:pPr>
      <w:r w:rsidRPr="0022311F">
        <w:rPr>
          <w:rFonts w:cs="Calibri"/>
          <w:i/>
        </w:rPr>
        <w:t>This WG experienced a possible limitation in the currently defined Consensus Levels when assigning “Divergence” to recommendations regarding acronym protections</w:t>
      </w:r>
      <w:r w:rsidR="00FB3689">
        <w:rPr>
          <w:rFonts w:cs="Calibri"/>
          <w:i/>
        </w:rPr>
        <w:t>...</w:t>
      </w:r>
      <w:r w:rsidRPr="0022311F">
        <w:rPr>
          <w:rFonts w:cs="Calibri"/>
          <w:i/>
        </w:rPr>
        <w:t>. The use of “Divergence” did not adequately represent the lack of support for the proposed recommendation when said recommendation was stated in the affirmative, for example “Do you support.</w:t>
      </w:r>
      <w:r>
        <w:rPr>
          <w:rFonts w:cs="Calibri"/>
          <w:i/>
        </w:rPr>
        <w:t>.</w:t>
      </w:r>
      <w:r w:rsidRPr="0022311F">
        <w:rPr>
          <w:rFonts w:cs="Calibri"/>
          <w:i/>
        </w:rPr>
        <w:t xml:space="preserve">.?”. The Chair was equally concerned </w:t>
      </w:r>
      <w:r>
        <w:rPr>
          <w:rFonts w:cs="Calibri"/>
          <w:i/>
        </w:rPr>
        <w:t>[that]</w:t>
      </w:r>
      <w:r w:rsidRPr="0022311F">
        <w:rPr>
          <w:rFonts w:cs="Calibri"/>
          <w:i/>
        </w:rPr>
        <w:t xml:space="preserve"> not adhering to current Working Group Guidelines could introduce risk to the process, because “Consensus Against” is not formally defined. Note this recommendation for an SCI review was not part of the formal consensus call within the WG, but full support was determined via WG conference calls.</w:t>
      </w:r>
    </w:p>
    <w:p w:rsidR="0022311F" w:rsidRDefault="0022311F" w:rsidP="0022311F"/>
    <w:p w:rsidR="0022311F" w:rsidRDefault="00FB3689" w:rsidP="00FB3689">
      <w:pPr>
        <w:pStyle w:val="ListParagraph"/>
        <w:numPr>
          <w:ilvl w:val="0"/>
          <w:numId w:val="5"/>
        </w:numPr>
      </w:pPr>
      <w:r>
        <w:t xml:space="preserve">The </w:t>
      </w:r>
      <w:r w:rsidR="00DC040A">
        <w:t>r</w:t>
      </w:r>
      <w:r>
        <w:t xml:space="preserve">ecommendations that gave rise to this problem concerned protections for acronyms. While there was Consensus </w:t>
      </w:r>
      <w:proofErr w:type="gramStart"/>
      <w:r>
        <w:t>Against</w:t>
      </w:r>
      <w:proofErr w:type="gramEnd"/>
      <w:r>
        <w:t xml:space="preserve"> that particular proposal, there was no consensus about whether there could be other forms of protection for acronyms ot</w:t>
      </w:r>
      <w:r w:rsidR="00DC040A">
        <w:t>her than those laid out in the r</w:t>
      </w:r>
      <w:r>
        <w:t>ecommendations.</w:t>
      </w:r>
    </w:p>
    <w:p w:rsidR="00FB3689" w:rsidRDefault="00FB3689" w:rsidP="00FB3689"/>
    <w:p w:rsidR="00FB3689" w:rsidRDefault="00FB3689" w:rsidP="00FB3689">
      <w:pPr>
        <w:pStyle w:val="ListParagraph"/>
        <w:numPr>
          <w:ilvl w:val="0"/>
          <w:numId w:val="5"/>
        </w:numPr>
      </w:pPr>
      <w:r>
        <w:t>Due to the number and complexity of the recommendations that were sent out for the Consensus Call, each recommendation was phrased to derive a Yes/No answer from each SG/C. It would therefore have been difficult to (1) foresee which recommendation might result in a Consensus Against (since this would not be clear until all responses are received), and (2) rephrase particular recommendations in a less affirmative/negative way.</w:t>
      </w:r>
    </w:p>
    <w:p w:rsidR="00FB3689" w:rsidRDefault="00FB3689" w:rsidP="00FB3689"/>
    <w:p w:rsidR="00FB3689" w:rsidRDefault="00FB3689" w:rsidP="00FB3689">
      <w:pPr>
        <w:pStyle w:val="ListParagraph"/>
        <w:numPr>
          <w:ilvl w:val="0"/>
          <w:numId w:val="5"/>
        </w:numPr>
      </w:pPr>
      <w:r>
        <w:t>Due to the sensitivities surrounding this particular PDP, the WG agreed that it could not rephrase a recommendation after a Consensus Call had been issued and responses received. It therefore had to determine whether to adopt the recognized term “Divergence” or use the unspecified phrase “Consensus Against”.</w:t>
      </w:r>
    </w:p>
    <w:p w:rsidR="00FB3689" w:rsidRDefault="00FB3689" w:rsidP="00FB3689"/>
    <w:p w:rsidR="00D05EF0" w:rsidRDefault="00D05EF0" w:rsidP="00FB3689">
      <w:pPr>
        <w:rPr>
          <w:b/>
        </w:rPr>
      </w:pPr>
    </w:p>
    <w:p w:rsidR="00FB3689" w:rsidRPr="00FB3689" w:rsidRDefault="00FB3689" w:rsidP="00FB3689">
      <w:pPr>
        <w:rPr>
          <w:b/>
        </w:rPr>
      </w:pPr>
      <w:r w:rsidRPr="00FB3689">
        <w:rPr>
          <w:b/>
        </w:rPr>
        <w:t>IV. Options for the SCI to Consider</w:t>
      </w:r>
    </w:p>
    <w:p w:rsidR="00FB3689" w:rsidRDefault="00FB3689" w:rsidP="00FB3689"/>
    <w:p w:rsidR="00FB3689" w:rsidRDefault="00FB3689" w:rsidP="00FB3689">
      <w:r>
        <w:t>The SCI could consider the following potential actions:</w:t>
      </w:r>
    </w:p>
    <w:p w:rsidR="00FB3689" w:rsidRDefault="00FB3689" w:rsidP="00FB3689"/>
    <w:p w:rsidR="00D05EF0" w:rsidRDefault="00FB3689" w:rsidP="00D05EF0">
      <w:pPr>
        <w:pStyle w:val="ListParagraph"/>
        <w:numPr>
          <w:ilvl w:val="0"/>
          <w:numId w:val="6"/>
        </w:numPr>
        <w:spacing w:line="276" w:lineRule="auto"/>
      </w:pPr>
      <w:r>
        <w:t xml:space="preserve">Add a new Consensus Level defining “Consensus Against” to the </w:t>
      </w:r>
      <w:hyperlink r:id="rId18" w:history="1">
        <w:r w:rsidR="00DC040A">
          <w:rPr>
            <w:rStyle w:val="Hyperlink"/>
          </w:rPr>
          <w:t>GNSO WG Guidelines</w:t>
        </w:r>
      </w:hyperlink>
    </w:p>
    <w:p w:rsidR="00DC040A" w:rsidRDefault="00DC040A" w:rsidP="00DC040A">
      <w:pPr>
        <w:spacing w:line="276" w:lineRule="auto"/>
      </w:pPr>
    </w:p>
    <w:p w:rsidR="00FB3689" w:rsidRDefault="00FB3689" w:rsidP="00D05EF0">
      <w:pPr>
        <w:pStyle w:val="ListParagraph"/>
        <w:numPr>
          <w:ilvl w:val="0"/>
          <w:numId w:val="6"/>
        </w:numPr>
        <w:spacing w:line="276" w:lineRule="auto"/>
      </w:pPr>
      <w:r>
        <w:t>Without adding a new Consensus Level, clarify that the existing definition/description of “Consensus” includes situations appropriately determined to be “Consensus Against”</w:t>
      </w:r>
    </w:p>
    <w:p w:rsidR="00D05EF0" w:rsidRDefault="00D05EF0" w:rsidP="00D05EF0">
      <w:pPr>
        <w:spacing w:line="276" w:lineRule="auto"/>
      </w:pPr>
    </w:p>
    <w:p w:rsidR="00FB3689" w:rsidRDefault="00FB3689" w:rsidP="00D05EF0">
      <w:pPr>
        <w:pStyle w:val="ListParagraph"/>
        <w:numPr>
          <w:ilvl w:val="0"/>
          <w:numId w:val="6"/>
        </w:numPr>
        <w:spacing w:line="276" w:lineRule="auto"/>
      </w:pPr>
      <w:r>
        <w:t>In either case, determine if the current “Divergence” level needs to be amended, e.g.:</w:t>
      </w:r>
    </w:p>
    <w:p w:rsidR="00FB3689" w:rsidRDefault="00FB3689" w:rsidP="00FB3689"/>
    <w:p w:rsidR="00FB3689" w:rsidRPr="00DC040A" w:rsidRDefault="00FB3689" w:rsidP="00FB3689">
      <w:pPr>
        <w:pStyle w:val="ListParagraph"/>
        <w:numPr>
          <w:ilvl w:val="0"/>
          <w:numId w:val="3"/>
        </w:numPr>
        <w:rPr>
          <w:i/>
        </w:rPr>
      </w:pPr>
      <w:r w:rsidRPr="00DC040A">
        <w:rPr>
          <w:i/>
        </w:rPr>
        <w:t>Does “Divergence” always equate to “No Consensus”?</w:t>
      </w:r>
    </w:p>
    <w:p w:rsidR="00D05EF0" w:rsidRPr="00DC040A" w:rsidRDefault="00FB3689" w:rsidP="00FB3689">
      <w:pPr>
        <w:pStyle w:val="ListParagraph"/>
        <w:numPr>
          <w:ilvl w:val="0"/>
          <w:numId w:val="3"/>
        </w:numPr>
        <w:rPr>
          <w:i/>
        </w:rPr>
      </w:pPr>
      <w:r w:rsidRPr="00DC040A">
        <w:rPr>
          <w:i/>
        </w:rPr>
        <w:t>Does “Divergence” always mean there is a plurality of views?</w:t>
      </w:r>
    </w:p>
    <w:p w:rsidR="00FB3689" w:rsidRDefault="00D05EF0" w:rsidP="00FB3689">
      <w:pPr>
        <w:pStyle w:val="ListParagraph"/>
        <w:numPr>
          <w:ilvl w:val="0"/>
          <w:numId w:val="3"/>
        </w:numPr>
      </w:pPr>
      <w:r w:rsidRPr="00DC040A">
        <w:rPr>
          <w:i/>
        </w:rPr>
        <w:t>Does the current definition/description of “Divergence” require clarification or amendment?</w:t>
      </w:r>
    </w:p>
    <w:p w:rsidR="00D05EF0" w:rsidRDefault="00D05EF0" w:rsidP="00D05EF0"/>
    <w:p w:rsidR="00D05EF0" w:rsidRDefault="00D05EF0" w:rsidP="00D05EF0">
      <w:pPr>
        <w:pStyle w:val="ListParagraph"/>
        <w:numPr>
          <w:ilvl w:val="0"/>
          <w:numId w:val="8"/>
        </w:numPr>
      </w:pPr>
      <w:r>
        <w:t xml:space="preserve">Determine that the current Consensus Levels are adequate to cover even the situation experienced by the IGO-INGO PDP WG. </w:t>
      </w:r>
    </w:p>
    <w:p w:rsidR="00A01C8B" w:rsidRDefault="00A01C8B">
      <w:r>
        <w:t xml:space="preserve"> </w:t>
      </w:r>
    </w:p>
    <w:p w:rsidR="009965B4" w:rsidRDefault="009965B4" w:rsidP="009965B4">
      <w:pPr>
        <w:ind w:left="360"/>
      </w:pPr>
    </w:p>
    <w:p w:rsidR="009965B4" w:rsidRPr="009965B4" w:rsidRDefault="009965B4" w:rsidP="009965B4">
      <w:pPr>
        <w:rPr>
          <w:b/>
        </w:rPr>
      </w:pPr>
      <w:r w:rsidRPr="009965B4">
        <w:rPr>
          <w:b/>
        </w:rPr>
        <w:t>V. Links to Relevant WG Transcripts &amp; Recordings</w:t>
      </w:r>
    </w:p>
    <w:p w:rsidR="009965B4" w:rsidRDefault="009965B4" w:rsidP="009965B4"/>
    <w:p w:rsidR="009965B4" w:rsidRDefault="009965B4" w:rsidP="009965B4">
      <w:r>
        <w:t>Meeting of 11 September 2013:</w:t>
      </w:r>
    </w:p>
    <w:p w:rsidR="009965B4" w:rsidRDefault="009965B4" w:rsidP="009965B4">
      <w:hyperlink r:id="rId19" w:history="1">
        <w:r>
          <w:rPr>
            <w:rStyle w:val="Hyperlink"/>
          </w:rPr>
          <w:t>Transcript</w:t>
        </w:r>
      </w:hyperlink>
    </w:p>
    <w:p w:rsidR="009965B4" w:rsidRDefault="009965B4" w:rsidP="009965B4">
      <w:hyperlink r:id="rId20" w:history="1">
        <w:r>
          <w:rPr>
            <w:rStyle w:val="Hyperlink"/>
          </w:rPr>
          <w:t>MP3 recording</w:t>
        </w:r>
      </w:hyperlink>
      <w:r>
        <w:t xml:space="preserve"> </w:t>
      </w:r>
    </w:p>
    <w:p w:rsidR="009965B4" w:rsidRDefault="009965B4" w:rsidP="009965B4"/>
    <w:p w:rsidR="009965B4" w:rsidRDefault="009965B4" w:rsidP="009965B4">
      <w:r>
        <w:t>Meeting of 18 September 2013:</w:t>
      </w:r>
    </w:p>
    <w:p w:rsidR="009965B4" w:rsidRDefault="009965B4" w:rsidP="009965B4">
      <w:hyperlink r:id="rId21" w:history="1">
        <w:r>
          <w:rPr>
            <w:rStyle w:val="Hyperlink"/>
          </w:rPr>
          <w:t>Transcript</w:t>
        </w:r>
      </w:hyperlink>
    </w:p>
    <w:p w:rsidR="009965B4" w:rsidRDefault="009965B4" w:rsidP="009965B4">
      <w:hyperlink r:id="rId22" w:history="1">
        <w:r>
          <w:rPr>
            <w:rStyle w:val="Hyperlink"/>
          </w:rPr>
          <w:t>MP3 recording</w:t>
        </w:r>
      </w:hyperlink>
      <w:r>
        <w:t xml:space="preserve"> </w:t>
      </w:r>
    </w:p>
    <w:p w:rsidR="009965B4" w:rsidRDefault="009965B4" w:rsidP="009965B4"/>
    <w:p w:rsidR="009965B4" w:rsidRDefault="009965B4" w:rsidP="009965B4">
      <w:r>
        <w:t>WG Wiki with all meeting agendas, working drafts, community input and other background documents:</w:t>
      </w:r>
      <w:bookmarkStart w:id="0" w:name="_GoBack"/>
      <w:bookmarkEnd w:id="0"/>
    </w:p>
    <w:p w:rsidR="009965B4" w:rsidRDefault="009965B4" w:rsidP="009965B4">
      <w:hyperlink r:id="rId23" w:history="1">
        <w:r w:rsidRPr="00313B2D">
          <w:rPr>
            <w:rStyle w:val="Hyperlink"/>
          </w:rPr>
          <w:t>https://community.icann.org/x/2YJEAg</w:t>
        </w:r>
      </w:hyperlink>
      <w:r>
        <w:t xml:space="preserve"> </w:t>
      </w:r>
    </w:p>
    <w:sectPr w:rsidR="009965B4"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70F96"/>
    <w:multiLevelType w:val="hybridMultilevel"/>
    <w:tmpl w:val="2BB2C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7B491D"/>
    <w:multiLevelType w:val="hybridMultilevel"/>
    <w:tmpl w:val="21F8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0A5108"/>
    <w:multiLevelType w:val="hybridMultilevel"/>
    <w:tmpl w:val="C5BA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AB7604"/>
    <w:multiLevelType w:val="hybridMultilevel"/>
    <w:tmpl w:val="9AC0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3C09AF"/>
    <w:multiLevelType w:val="hybridMultilevel"/>
    <w:tmpl w:val="E8EA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6733A9"/>
    <w:multiLevelType w:val="hybridMultilevel"/>
    <w:tmpl w:val="746CE4DC"/>
    <w:lvl w:ilvl="0" w:tplc="30BCED20">
      <w:start w:val="4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4A61D5"/>
    <w:multiLevelType w:val="hybridMultilevel"/>
    <w:tmpl w:val="555E7C42"/>
    <w:lvl w:ilvl="0" w:tplc="C8B8D0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1C6320"/>
    <w:multiLevelType w:val="hybridMultilevel"/>
    <w:tmpl w:val="370A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EA6A35"/>
    <w:multiLevelType w:val="hybridMultilevel"/>
    <w:tmpl w:val="93C6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8"/>
  </w:num>
  <w:num w:numId="5">
    <w:abstractNumId w:val="4"/>
  </w:num>
  <w:num w:numId="6">
    <w:abstractNumId w:val="1"/>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8B"/>
    <w:rsid w:val="0022311F"/>
    <w:rsid w:val="003164D1"/>
    <w:rsid w:val="0035281A"/>
    <w:rsid w:val="00625A9A"/>
    <w:rsid w:val="009965B4"/>
    <w:rsid w:val="00A01C8B"/>
    <w:rsid w:val="00A55D45"/>
    <w:rsid w:val="00D05EF0"/>
    <w:rsid w:val="00D16ED3"/>
    <w:rsid w:val="00DC040A"/>
    <w:rsid w:val="00F4052E"/>
    <w:rsid w:val="00FB3689"/>
    <w:rsid w:val="00FC4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81A"/>
    <w:pPr>
      <w:ind w:left="720"/>
      <w:contextualSpacing/>
    </w:pPr>
  </w:style>
  <w:style w:type="character" w:styleId="Hyperlink">
    <w:name w:val="Hyperlink"/>
    <w:basedOn w:val="DefaultParagraphFont"/>
    <w:uiPriority w:val="99"/>
    <w:unhideWhenUsed/>
    <w:rsid w:val="0035281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81A"/>
    <w:pPr>
      <w:ind w:left="720"/>
      <w:contextualSpacing/>
    </w:pPr>
  </w:style>
  <w:style w:type="character" w:styleId="Hyperlink">
    <w:name w:val="Hyperlink"/>
    <w:basedOn w:val="DefaultParagraphFont"/>
    <w:uiPriority w:val="99"/>
    <w:unhideWhenUsed/>
    <w:rsid w:val="003528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cann.org/en/news/public-comment/report-comments-igo-ingo-initial-03sep13-en.pdf" TargetMode="External"/><Relationship Id="rId20" Type="http://schemas.openxmlformats.org/officeDocument/2006/relationships/hyperlink" Target="http://audio.icann.org/gnso/gnso-igo-ingo-20130911-en.mp3" TargetMode="External"/><Relationship Id="rId21" Type="http://schemas.openxmlformats.org/officeDocument/2006/relationships/hyperlink" Target="http://gnso.icann.org/en/meetings/transcript-igo-ingo-18sep13-en.pdf" TargetMode="External"/><Relationship Id="rId22" Type="http://schemas.openxmlformats.org/officeDocument/2006/relationships/hyperlink" Target="http://audio.icann.org/gnso/gnso-igo-ingo-20130918-en.mp3" TargetMode="External"/><Relationship Id="rId23" Type="http://schemas.openxmlformats.org/officeDocument/2006/relationships/hyperlink" Target="https://community.icann.org/x/2YJEAg"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durban47.icann.org/meetings/durban2013/transcript-igo-ingo-15jul13-en.pdf" TargetMode="External"/><Relationship Id="rId11" Type="http://schemas.openxmlformats.org/officeDocument/2006/relationships/hyperlink" Target="http://durban47.icann.org/meetings/durban2013/presentation-igo-ingo-policy-17jul13-en.pdf" TargetMode="External"/><Relationship Id="rId12" Type="http://schemas.openxmlformats.org/officeDocument/2006/relationships/hyperlink" Target="http://www.icann.org/en/news/public-comment/report-comments-igo-ingo-final-13jan14-en.pdf" TargetMode="External"/><Relationship Id="rId13" Type="http://schemas.openxmlformats.org/officeDocument/2006/relationships/hyperlink" Target="http://www.icann.org/en/news/public-comment/report-comments-igo-ingo-recommendations-24jan14-en.pdf" TargetMode="External"/><Relationship Id="rId14" Type="http://schemas.openxmlformats.org/officeDocument/2006/relationships/hyperlink" Target="https://community.icann.org/x/qo5wAg" TargetMode="External"/><Relationship Id="rId15" Type="http://schemas.openxmlformats.org/officeDocument/2006/relationships/hyperlink" Target="https://community.icann.org/x/tRmfAg" TargetMode="External"/><Relationship Id="rId16" Type="http://schemas.openxmlformats.org/officeDocument/2006/relationships/hyperlink" Target="http://forum.icann.org/lists/gnso-igo-ingo/msg00869.html" TargetMode="External"/><Relationship Id="rId17" Type="http://schemas.openxmlformats.org/officeDocument/2006/relationships/hyperlink" Target="http://gnso.icann.org/en/issues/igo-ingo-final-10nov13-en.pdf" TargetMode="External"/><Relationship Id="rId18" Type="http://schemas.openxmlformats.org/officeDocument/2006/relationships/hyperlink" Target="http://gnso.icann.org/council/annex-1-gnso-wg-guidelines-08apr11-en.pdf" TargetMode="External"/><Relationship Id="rId19" Type="http://schemas.openxmlformats.org/officeDocument/2006/relationships/hyperlink" Target="http://gnso.icann.org/en/meetings/transcript-igo-ingo-11sep13-en.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nso.icann.org/en/council/resolutions" TargetMode="External"/><Relationship Id="rId7" Type="http://schemas.openxmlformats.org/officeDocument/2006/relationships/hyperlink" Target="http://gnso.icann.org/en/council/resolutions" TargetMode="External"/><Relationship Id="rId8" Type="http://schemas.openxmlformats.org/officeDocument/2006/relationships/hyperlink" Target="http://forum.icann.org/lists/gnso-igo-in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1096</Words>
  <Characters>6248</Characters>
  <Application>Microsoft Macintosh Word</Application>
  <DocSecurity>0</DocSecurity>
  <Lines>52</Lines>
  <Paragraphs>14</Paragraphs>
  <ScaleCrop>false</ScaleCrop>
  <Company>ICANN</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2014-01-31T19:00:00Z</dcterms:created>
  <dcterms:modified xsi:type="dcterms:W3CDTF">2014-01-31T19:00:00Z</dcterms:modified>
</cp:coreProperties>
</file>