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6CC" w:rsidRDefault="00EA06CC" w:rsidP="00A8705C">
      <w:pPr>
        <w:spacing w:line="276" w:lineRule="auto"/>
        <w:rPr>
          <w:rFonts w:ascii="Calibri" w:hAnsi="Calibri"/>
          <w:b/>
          <w:sz w:val="22"/>
        </w:rPr>
      </w:pPr>
      <w:r>
        <w:rPr>
          <w:rFonts w:ascii="Calibri" w:hAnsi="Calibri"/>
          <w:b/>
          <w:sz w:val="22"/>
        </w:rPr>
        <w:t xml:space="preserve">IRTP Part D </w:t>
      </w:r>
      <w:r w:rsidR="00911434">
        <w:rPr>
          <w:rFonts w:ascii="Calibri" w:hAnsi="Calibri"/>
          <w:b/>
          <w:sz w:val="22"/>
        </w:rPr>
        <w:t xml:space="preserve"> - </w:t>
      </w:r>
      <w:r w:rsidR="006D3A4F">
        <w:rPr>
          <w:rFonts w:ascii="Calibri" w:hAnsi="Calibri"/>
          <w:b/>
          <w:sz w:val="22"/>
        </w:rPr>
        <w:t>Working Group</w:t>
      </w:r>
      <w:r w:rsidR="00911434">
        <w:rPr>
          <w:rFonts w:ascii="Calibri" w:hAnsi="Calibri"/>
          <w:b/>
          <w:sz w:val="22"/>
        </w:rPr>
        <w:t xml:space="preserve"> </w:t>
      </w:r>
      <w:r>
        <w:rPr>
          <w:rFonts w:ascii="Calibri" w:hAnsi="Calibri"/>
          <w:b/>
          <w:sz w:val="22"/>
        </w:rPr>
        <w:t>Discussions on Charter Questions C and D</w:t>
      </w:r>
    </w:p>
    <w:p w:rsidR="00EA06CC" w:rsidRDefault="00EA06CC" w:rsidP="00A8705C">
      <w:pPr>
        <w:spacing w:line="276" w:lineRule="auto"/>
        <w:rPr>
          <w:rFonts w:ascii="Calibri" w:hAnsi="Calibri"/>
          <w:b/>
          <w:sz w:val="22"/>
        </w:rPr>
      </w:pPr>
    </w:p>
    <w:p w:rsidR="00A8705C" w:rsidRPr="00FB4831" w:rsidRDefault="00A8705C" w:rsidP="00A8705C">
      <w:pPr>
        <w:spacing w:line="276" w:lineRule="auto"/>
        <w:rPr>
          <w:rFonts w:ascii="Calibri" w:hAnsi="Calibri"/>
          <w:b/>
          <w:sz w:val="22"/>
        </w:rPr>
      </w:pPr>
      <w:r w:rsidRPr="00FB4831">
        <w:rPr>
          <w:rFonts w:ascii="Calibri" w:hAnsi="Calibri"/>
          <w:b/>
          <w:sz w:val="22"/>
        </w:rPr>
        <w:t>Charter Question c)</w:t>
      </w:r>
    </w:p>
    <w:p w:rsidR="00911434" w:rsidRDefault="00A8705C" w:rsidP="00911434">
      <w:pPr>
        <w:spacing w:line="276" w:lineRule="auto"/>
        <w:rPr>
          <w:rFonts w:ascii="Calibri" w:hAnsi="Calibri"/>
          <w:b/>
          <w:sz w:val="22"/>
        </w:rPr>
      </w:pPr>
      <w:r w:rsidRPr="00FB4831">
        <w:rPr>
          <w:rFonts w:ascii="Calibri" w:eastAsia="Times New Roman" w:hAnsi="Calibri" w:cs="Arial"/>
          <w:i/>
          <w:color w:val="000000"/>
          <w:sz w:val="22"/>
          <w:shd w:val="clear" w:color="auto" w:fill="FFFFFF"/>
        </w:rPr>
        <w:t>Whether dispute options for registrants should be developed and implemented as part of the policy (registrants currently depend on registrars to initiate a dispute on their behalf)</w:t>
      </w:r>
      <w:proofErr w:type="gramStart"/>
      <w:r w:rsidRPr="00FB4831">
        <w:rPr>
          <w:rFonts w:ascii="Calibri" w:eastAsia="Times New Roman" w:hAnsi="Calibri" w:cs="Arial"/>
          <w:i/>
          <w:color w:val="000000"/>
          <w:sz w:val="22"/>
          <w:shd w:val="clear" w:color="auto" w:fill="FFFFFF"/>
        </w:rPr>
        <w:t>;</w:t>
      </w:r>
      <w:proofErr w:type="gramEnd"/>
    </w:p>
    <w:p w:rsidR="00911434" w:rsidRDefault="00911434" w:rsidP="00911434">
      <w:pPr>
        <w:spacing w:line="276" w:lineRule="auto"/>
        <w:rPr>
          <w:rFonts w:ascii="Calibri" w:hAnsi="Calibri"/>
          <w:b/>
          <w:sz w:val="22"/>
        </w:rPr>
      </w:pPr>
    </w:p>
    <w:p w:rsidR="00A8705C" w:rsidRPr="00FB4831" w:rsidRDefault="00EC71F7" w:rsidP="00A8705C">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WG Observation/Discussion</w:t>
      </w:r>
      <w:r w:rsidR="00A8705C" w:rsidRPr="00FB4831">
        <w:rPr>
          <w:rFonts w:ascii="Calibri" w:hAnsi="Calibri"/>
          <w:b/>
          <w:sz w:val="22"/>
        </w:rPr>
        <w:t>:</w:t>
      </w:r>
      <w:r w:rsidR="00A8705C" w:rsidRPr="00FB4831">
        <w:rPr>
          <w:rFonts w:ascii="Calibri" w:hAnsi="Calibri"/>
          <w:sz w:val="22"/>
        </w:rPr>
        <w:t xml:space="preserve"> </w:t>
      </w:r>
    </w:p>
    <w:p w:rsidR="002945E3" w:rsidRDefault="008E4C4D" w:rsidP="00A8705C">
      <w:pPr>
        <w:spacing w:line="276" w:lineRule="auto"/>
        <w:rPr>
          <w:rFonts w:ascii="Calibri" w:hAnsi="Calibri" w:cs="Arial"/>
          <w:sz w:val="22"/>
        </w:rPr>
      </w:pPr>
      <w:r>
        <w:rPr>
          <w:rFonts w:ascii="Calibri" w:hAnsi="Calibri" w:cs="Arial"/>
          <w:sz w:val="22"/>
        </w:rPr>
        <w:t>The</w:t>
      </w:r>
      <w:r w:rsidR="00D54DBE">
        <w:rPr>
          <w:rFonts w:ascii="Calibri" w:hAnsi="Calibri" w:cs="Arial"/>
          <w:sz w:val="22"/>
        </w:rPr>
        <w:t xml:space="preserve"> Working Group agrees </w:t>
      </w:r>
      <w:r>
        <w:rPr>
          <w:rFonts w:ascii="Calibri" w:hAnsi="Calibri" w:cs="Arial"/>
          <w:sz w:val="22"/>
        </w:rPr>
        <w:t xml:space="preserve">in principle </w:t>
      </w:r>
      <w:r w:rsidR="00D54DBE">
        <w:rPr>
          <w:rFonts w:ascii="Calibri" w:hAnsi="Calibri" w:cs="Arial"/>
          <w:sz w:val="22"/>
        </w:rPr>
        <w:t xml:space="preserve">that there should be a mechanism for RDNH to initiate a TDRP process. However, due to the possibility of gaming, there should be appropriate mechanisms in </w:t>
      </w:r>
      <w:r>
        <w:rPr>
          <w:rFonts w:ascii="Calibri" w:hAnsi="Calibri" w:cs="Arial"/>
          <w:sz w:val="22"/>
        </w:rPr>
        <w:t xml:space="preserve">place </w:t>
      </w:r>
      <w:r w:rsidR="00D54DBE">
        <w:rPr>
          <w:rFonts w:ascii="Calibri" w:hAnsi="Calibri" w:cs="Arial"/>
          <w:sz w:val="22"/>
        </w:rPr>
        <w:t>to assure that the power to launch TDRPs i</w:t>
      </w:r>
      <w:r w:rsidR="002945E3">
        <w:rPr>
          <w:rFonts w:ascii="Calibri" w:hAnsi="Calibri" w:cs="Arial"/>
          <w:sz w:val="22"/>
        </w:rPr>
        <w:t>s not abused by RDNH or others.</w:t>
      </w:r>
    </w:p>
    <w:p w:rsidR="008E4C4D" w:rsidRDefault="008E4C4D" w:rsidP="00A8705C">
      <w:pPr>
        <w:spacing w:line="276" w:lineRule="auto"/>
        <w:rPr>
          <w:rFonts w:ascii="Calibri" w:hAnsi="Calibri" w:cs="Arial"/>
          <w:sz w:val="22"/>
        </w:rPr>
      </w:pPr>
    </w:p>
    <w:p w:rsidR="0033194E" w:rsidRDefault="002945E3" w:rsidP="00A8705C">
      <w:pPr>
        <w:spacing w:line="276" w:lineRule="auto"/>
        <w:rPr>
          <w:rFonts w:ascii="Calibri" w:hAnsi="Calibri" w:cs="Arial"/>
          <w:sz w:val="22"/>
        </w:rPr>
      </w:pPr>
      <w:r>
        <w:rPr>
          <w:rFonts w:ascii="Calibri" w:hAnsi="Calibri" w:cs="Arial"/>
          <w:sz w:val="22"/>
        </w:rPr>
        <w:t xml:space="preserve">The first, and most important, step should be </w:t>
      </w:r>
      <w:r w:rsidR="008E4C4D">
        <w:rPr>
          <w:rFonts w:ascii="Calibri" w:hAnsi="Calibri" w:cs="Arial"/>
          <w:sz w:val="22"/>
        </w:rPr>
        <w:t xml:space="preserve">to assure </w:t>
      </w:r>
      <w:r>
        <w:rPr>
          <w:rFonts w:ascii="Calibri" w:hAnsi="Calibri" w:cs="Arial"/>
          <w:sz w:val="22"/>
        </w:rPr>
        <w:t>that the RDNH used to be the legitimat</w:t>
      </w:r>
      <w:r w:rsidR="0033194E">
        <w:rPr>
          <w:rFonts w:ascii="Calibri" w:hAnsi="Calibri" w:cs="Arial"/>
          <w:sz w:val="22"/>
        </w:rPr>
        <w:t>e registered domain name holder</w:t>
      </w:r>
      <w:r w:rsidR="00C80EE1">
        <w:rPr>
          <w:rFonts w:ascii="Calibri" w:hAnsi="Calibri" w:cs="Arial"/>
          <w:sz w:val="22"/>
        </w:rPr>
        <w:t xml:space="preserve"> and for him/her</w:t>
      </w:r>
      <w:r w:rsidR="0033194E">
        <w:rPr>
          <w:rFonts w:ascii="Calibri" w:hAnsi="Calibri" w:cs="Arial"/>
          <w:sz w:val="22"/>
        </w:rPr>
        <w:t xml:space="preserve"> to build a substantial </w:t>
      </w:r>
      <w:proofErr w:type="gramStart"/>
      <w:r w:rsidR="0033194E">
        <w:rPr>
          <w:rFonts w:ascii="Calibri" w:hAnsi="Calibri" w:cs="Arial"/>
          <w:sz w:val="22"/>
        </w:rPr>
        <w:t>record</w:t>
      </w:r>
      <w:r w:rsidR="008E4C4D">
        <w:rPr>
          <w:rFonts w:ascii="Calibri" w:hAnsi="Calibri" w:cs="Arial"/>
          <w:sz w:val="22"/>
        </w:rPr>
        <w:t>,</w:t>
      </w:r>
      <w:proofErr w:type="gramEnd"/>
      <w:r w:rsidR="008E4C4D">
        <w:rPr>
          <w:rFonts w:ascii="Calibri" w:hAnsi="Calibri" w:cs="Arial"/>
          <w:sz w:val="22"/>
        </w:rPr>
        <w:t xml:space="preserve"> forming the basis </w:t>
      </w:r>
      <w:r w:rsidR="0033194E">
        <w:rPr>
          <w:rFonts w:ascii="Calibri" w:hAnsi="Calibri" w:cs="Arial"/>
          <w:sz w:val="22"/>
        </w:rPr>
        <w:t>of a</w:t>
      </w:r>
      <w:r w:rsidR="00C80EE1">
        <w:rPr>
          <w:rFonts w:ascii="Calibri" w:hAnsi="Calibri" w:cs="Arial"/>
          <w:sz w:val="22"/>
        </w:rPr>
        <w:t xml:space="preserve"> RDNH-launched</w:t>
      </w:r>
      <w:r w:rsidR="0033194E">
        <w:rPr>
          <w:rFonts w:ascii="Calibri" w:hAnsi="Calibri" w:cs="Arial"/>
          <w:sz w:val="22"/>
        </w:rPr>
        <w:t xml:space="preserve"> TDRP.</w:t>
      </w:r>
    </w:p>
    <w:p w:rsidR="00E02CA1" w:rsidRDefault="00E02CA1" w:rsidP="00A8705C">
      <w:pPr>
        <w:spacing w:line="276" w:lineRule="auto"/>
        <w:rPr>
          <w:rFonts w:ascii="Calibri" w:hAnsi="Calibri" w:cs="Arial"/>
          <w:sz w:val="22"/>
        </w:rPr>
      </w:pPr>
    </w:p>
    <w:p w:rsidR="00E02CA1" w:rsidRDefault="00E02CA1" w:rsidP="00A8705C">
      <w:pPr>
        <w:spacing w:line="276" w:lineRule="auto"/>
        <w:rPr>
          <w:rFonts w:ascii="Calibri" w:hAnsi="Calibri" w:cs="Arial"/>
          <w:sz w:val="22"/>
        </w:rPr>
      </w:pPr>
      <w:r>
        <w:rPr>
          <w:rFonts w:ascii="Calibri" w:hAnsi="Calibri" w:cs="Arial"/>
          <w:sz w:val="22"/>
        </w:rPr>
        <w:t xml:space="preserve">The Working Group foresees the following steps as a </w:t>
      </w:r>
      <w:r w:rsidR="008E4C4D">
        <w:rPr>
          <w:rFonts w:ascii="Calibri" w:hAnsi="Calibri" w:cs="Arial"/>
          <w:sz w:val="22"/>
        </w:rPr>
        <w:t xml:space="preserve">basic </w:t>
      </w:r>
      <w:r>
        <w:rPr>
          <w:rFonts w:ascii="Calibri" w:hAnsi="Calibri" w:cs="Arial"/>
          <w:sz w:val="22"/>
        </w:rPr>
        <w:t>principle</w:t>
      </w:r>
      <w:r w:rsidR="00C80EE1">
        <w:rPr>
          <w:rFonts w:ascii="Calibri" w:hAnsi="Calibri" w:cs="Arial"/>
          <w:sz w:val="22"/>
        </w:rPr>
        <w:t>:</w:t>
      </w:r>
    </w:p>
    <w:p w:rsidR="00C80EE1" w:rsidRDefault="00C80EE1" w:rsidP="00A8705C">
      <w:pPr>
        <w:spacing w:line="276" w:lineRule="auto"/>
        <w:rPr>
          <w:rFonts w:ascii="Calibri" w:hAnsi="Calibri" w:cs="Arial"/>
          <w:sz w:val="22"/>
        </w:rPr>
      </w:pPr>
    </w:p>
    <w:p w:rsidR="00E02CA1" w:rsidRPr="00FB4831" w:rsidRDefault="00E02CA1" w:rsidP="00E02CA1">
      <w:pPr>
        <w:numPr>
          <w:ilvl w:val="2"/>
          <w:numId w:val="1"/>
        </w:numPr>
        <w:spacing w:line="276" w:lineRule="auto"/>
        <w:rPr>
          <w:rFonts w:ascii="Calibri" w:hAnsi="Calibri" w:cs="Arial"/>
          <w:sz w:val="22"/>
        </w:rPr>
      </w:pPr>
      <w:r w:rsidRPr="00FB4831">
        <w:rPr>
          <w:rFonts w:ascii="Calibri" w:hAnsi="Calibri" w:cs="Arial"/>
          <w:sz w:val="22"/>
        </w:rPr>
        <w:t>Step 1--some</w:t>
      </w:r>
      <w:r w:rsidR="007D3623">
        <w:rPr>
          <w:rFonts w:ascii="Calibri" w:hAnsi="Calibri" w:cs="Arial"/>
          <w:sz w:val="22"/>
        </w:rPr>
        <w:t xml:space="preserve"> sort of clearance at Registrar, including RDNH authentication</w:t>
      </w:r>
    </w:p>
    <w:p w:rsidR="00E02CA1" w:rsidRPr="00FB4831" w:rsidRDefault="00E02CA1" w:rsidP="00E02CA1">
      <w:pPr>
        <w:numPr>
          <w:ilvl w:val="2"/>
          <w:numId w:val="1"/>
        </w:numPr>
        <w:spacing w:line="276" w:lineRule="auto"/>
        <w:rPr>
          <w:rFonts w:ascii="Calibri" w:hAnsi="Calibri" w:cs="Arial"/>
          <w:sz w:val="22"/>
        </w:rPr>
      </w:pPr>
      <w:r w:rsidRPr="00FB4831">
        <w:rPr>
          <w:rFonts w:ascii="Calibri" w:hAnsi="Calibri" w:cs="Arial"/>
          <w:sz w:val="22"/>
        </w:rPr>
        <w:t>Step 2--some sort of clearance at Registry</w:t>
      </w:r>
    </w:p>
    <w:p w:rsidR="00E02CA1" w:rsidRPr="00FB4831" w:rsidRDefault="00E02CA1" w:rsidP="00E02CA1">
      <w:pPr>
        <w:numPr>
          <w:ilvl w:val="2"/>
          <w:numId w:val="1"/>
        </w:numPr>
        <w:spacing w:line="276" w:lineRule="auto"/>
        <w:rPr>
          <w:rFonts w:ascii="Calibri" w:hAnsi="Calibri" w:cs="Arial"/>
          <w:sz w:val="22"/>
        </w:rPr>
      </w:pPr>
      <w:r w:rsidRPr="00FB4831">
        <w:rPr>
          <w:rFonts w:ascii="Calibri" w:hAnsi="Calibri" w:cs="Arial"/>
          <w:sz w:val="22"/>
        </w:rPr>
        <w:t>Step 3--some interaction with ICANN Compliance/Legal</w:t>
      </w:r>
    </w:p>
    <w:p w:rsidR="0033194E" w:rsidRDefault="00E02CA1" w:rsidP="00A8705C">
      <w:pPr>
        <w:numPr>
          <w:ilvl w:val="2"/>
          <w:numId w:val="1"/>
        </w:numPr>
        <w:spacing w:line="276" w:lineRule="auto"/>
        <w:rPr>
          <w:rFonts w:ascii="Calibri" w:hAnsi="Calibri" w:cs="Arial"/>
          <w:sz w:val="22"/>
        </w:rPr>
      </w:pPr>
      <w:r w:rsidRPr="00FB4831">
        <w:rPr>
          <w:rFonts w:ascii="Calibri" w:hAnsi="Calibri" w:cs="Arial"/>
          <w:sz w:val="22"/>
        </w:rPr>
        <w:t>S</w:t>
      </w:r>
      <w:r w:rsidR="00EC71F7">
        <w:rPr>
          <w:rFonts w:ascii="Calibri" w:hAnsi="Calibri" w:cs="Arial"/>
          <w:sz w:val="22"/>
        </w:rPr>
        <w:t>tep 4—submit TDRP with Provider</w:t>
      </w:r>
    </w:p>
    <w:p w:rsidR="00EC71F7" w:rsidRPr="00911434" w:rsidRDefault="00EC71F7" w:rsidP="00EC71F7">
      <w:pPr>
        <w:spacing w:line="276" w:lineRule="auto"/>
        <w:rPr>
          <w:rFonts w:ascii="Calibri" w:hAnsi="Calibri" w:cs="Arial"/>
          <w:sz w:val="22"/>
        </w:rPr>
      </w:pPr>
    </w:p>
    <w:p w:rsidR="002945E3" w:rsidRDefault="006D3659" w:rsidP="00A8705C">
      <w:pPr>
        <w:spacing w:line="276" w:lineRule="auto"/>
        <w:rPr>
          <w:rFonts w:ascii="Calibri" w:hAnsi="Calibri" w:cs="Arial"/>
          <w:sz w:val="22"/>
        </w:rPr>
      </w:pPr>
      <w:r>
        <w:rPr>
          <w:rFonts w:ascii="Calibri" w:hAnsi="Calibri" w:cs="Arial"/>
          <w:sz w:val="22"/>
        </w:rPr>
        <w:t xml:space="preserve">The Working Group has also considered the possibility of changing the TDRP to the extent that the current first level disputes resolution via the Registry is eliminated, </w:t>
      </w:r>
      <w:r w:rsidR="00C80EE1">
        <w:rPr>
          <w:rFonts w:ascii="Calibri" w:hAnsi="Calibri" w:cs="Arial"/>
          <w:sz w:val="22"/>
        </w:rPr>
        <w:t xml:space="preserve">with </w:t>
      </w:r>
      <w:r>
        <w:rPr>
          <w:rFonts w:ascii="Calibri" w:hAnsi="Calibri" w:cs="Arial"/>
          <w:sz w:val="22"/>
        </w:rPr>
        <w:t>the external Dispute Resolution Providers</w:t>
      </w:r>
      <w:r w:rsidR="00C80EE1">
        <w:rPr>
          <w:rFonts w:ascii="Calibri" w:hAnsi="Calibri" w:cs="Arial"/>
          <w:sz w:val="22"/>
        </w:rPr>
        <w:t xml:space="preserve"> becoming the only arena for TDRP</w:t>
      </w:r>
      <w:r w:rsidR="008E4C4D">
        <w:rPr>
          <w:rFonts w:ascii="Calibri" w:hAnsi="Calibri" w:cs="Arial"/>
          <w:sz w:val="22"/>
        </w:rPr>
        <w:t>s</w:t>
      </w:r>
      <w:r w:rsidR="00DC5715">
        <w:rPr>
          <w:rFonts w:ascii="Calibri" w:hAnsi="Calibri" w:cs="Arial"/>
          <w:sz w:val="22"/>
        </w:rPr>
        <w:t>.</w:t>
      </w:r>
      <w:r w:rsidR="00DC5715">
        <w:rPr>
          <w:rStyle w:val="FootnoteReference"/>
          <w:rFonts w:ascii="Calibri" w:hAnsi="Calibri" w:cs="Arial"/>
          <w:sz w:val="22"/>
        </w:rPr>
        <w:footnoteReference w:id="1"/>
      </w:r>
    </w:p>
    <w:p w:rsidR="00D54DBE" w:rsidRDefault="00D54DBE" w:rsidP="00A8705C">
      <w:pPr>
        <w:spacing w:line="276" w:lineRule="auto"/>
        <w:rPr>
          <w:rFonts w:ascii="Calibri" w:hAnsi="Calibri" w:cs="Arial"/>
          <w:sz w:val="22"/>
        </w:rPr>
      </w:pPr>
    </w:p>
    <w:p w:rsidR="00A8705C" w:rsidRPr="00FB4831" w:rsidRDefault="007D3623" w:rsidP="007D3623">
      <w:pPr>
        <w:spacing w:line="276" w:lineRule="auto"/>
        <w:rPr>
          <w:rFonts w:ascii="Calibri" w:hAnsi="Calibri" w:cs="Arial"/>
          <w:sz w:val="22"/>
        </w:rPr>
      </w:pPr>
      <w:r>
        <w:rPr>
          <w:rFonts w:ascii="Calibri" w:hAnsi="Calibri" w:cs="Arial"/>
          <w:sz w:val="22"/>
        </w:rPr>
        <w:t>Discussi</w:t>
      </w:r>
      <w:r w:rsidR="00C80EE1">
        <w:rPr>
          <w:rFonts w:ascii="Calibri" w:hAnsi="Calibri" w:cs="Arial"/>
          <w:sz w:val="22"/>
        </w:rPr>
        <w:t>ng</w:t>
      </w:r>
      <w:r>
        <w:rPr>
          <w:rFonts w:ascii="Calibri" w:hAnsi="Calibri" w:cs="Arial"/>
          <w:sz w:val="22"/>
        </w:rPr>
        <w:t xml:space="preserve"> costs, the Working Group noted </w:t>
      </w:r>
      <w:r w:rsidR="008E4C4D">
        <w:rPr>
          <w:rFonts w:ascii="Calibri" w:hAnsi="Calibri" w:cs="Arial"/>
          <w:sz w:val="22"/>
        </w:rPr>
        <w:t xml:space="preserve">that </w:t>
      </w:r>
      <w:r w:rsidR="00C80EE1">
        <w:rPr>
          <w:rFonts w:ascii="Calibri" w:hAnsi="Calibri" w:cs="Arial"/>
          <w:sz w:val="22"/>
        </w:rPr>
        <w:t xml:space="preserve">costs </w:t>
      </w:r>
      <w:r w:rsidR="008E4C4D">
        <w:rPr>
          <w:rFonts w:ascii="Calibri" w:hAnsi="Calibri" w:cs="Arial"/>
          <w:sz w:val="22"/>
        </w:rPr>
        <w:t xml:space="preserve">to the RDNH to launch a </w:t>
      </w:r>
      <w:r w:rsidR="00C80EE1">
        <w:rPr>
          <w:rFonts w:ascii="Calibri" w:hAnsi="Calibri" w:cs="Arial"/>
          <w:sz w:val="22"/>
        </w:rPr>
        <w:t xml:space="preserve">TDRP with </w:t>
      </w:r>
      <w:proofErr w:type="gramStart"/>
      <w:r w:rsidR="00C80EE1">
        <w:rPr>
          <w:rFonts w:ascii="Calibri" w:hAnsi="Calibri" w:cs="Arial"/>
          <w:sz w:val="22"/>
        </w:rPr>
        <w:t>an</w:t>
      </w:r>
      <w:proofErr w:type="gramEnd"/>
      <w:r w:rsidR="00C80EE1">
        <w:rPr>
          <w:rFonts w:ascii="Calibri" w:hAnsi="Calibri" w:cs="Arial"/>
          <w:sz w:val="22"/>
        </w:rPr>
        <w:t xml:space="preserve"> </w:t>
      </w:r>
      <w:r>
        <w:rPr>
          <w:rFonts w:ascii="Calibri" w:hAnsi="Calibri" w:cs="Arial"/>
          <w:sz w:val="22"/>
        </w:rPr>
        <w:t>Dispute Resolution Providers would be inevitable.</w:t>
      </w:r>
      <w:r>
        <w:rPr>
          <w:rStyle w:val="FootnoteReference"/>
          <w:rFonts w:ascii="Calibri" w:hAnsi="Calibri" w:cs="Arial"/>
          <w:sz w:val="22"/>
        </w:rPr>
        <w:footnoteReference w:id="2"/>
      </w:r>
      <w:r>
        <w:rPr>
          <w:rFonts w:ascii="Calibri" w:hAnsi="Calibri" w:cs="Arial"/>
          <w:sz w:val="22"/>
        </w:rPr>
        <w:t xml:space="preserve"> However, it was agreed that the f</w:t>
      </w:r>
      <w:r w:rsidR="00A8705C" w:rsidRPr="00FB4831">
        <w:rPr>
          <w:rFonts w:ascii="Calibri" w:hAnsi="Calibri" w:cs="Arial"/>
          <w:sz w:val="22"/>
        </w:rPr>
        <w:t xml:space="preserve">irst few </w:t>
      </w:r>
      <w:r w:rsidR="00A8705C" w:rsidRPr="00FB4831">
        <w:rPr>
          <w:rFonts w:ascii="Calibri" w:hAnsi="Calibri" w:cs="Arial"/>
          <w:sz w:val="22"/>
        </w:rPr>
        <w:lastRenderedPageBreak/>
        <w:t xml:space="preserve">steps </w:t>
      </w:r>
      <w:r>
        <w:rPr>
          <w:rFonts w:ascii="Calibri" w:hAnsi="Calibri" w:cs="Arial"/>
          <w:sz w:val="22"/>
        </w:rPr>
        <w:t xml:space="preserve">– to build the record necessary to launch a TDRP – should </w:t>
      </w:r>
      <w:r w:rsidR="008E4C4D">
        <w:rPr>
          <w:rFonts w:ascii="Calibri" w:hAnsi="Calibri" w:cs="Arial"/>
          <w:sz w:val="22"/>
        </w:rPr>
        <w:t xml:space="preserve">involve only </w:t>
      </w:r>
      <w:r w:rsidR="00A8705C" w:rsidRPr="00FB4831">
        <w:rPr>
          <w:rFonts w:ascii="Calibri" w:hAnsi="Calibri" w:cs="Arial"/>
          <w:sz w:val="22"/>
        </w:rPr>
        <w:t xml:space="preserve">minimal </w:t>
      </w:r>
      <w:r w:rsidR="008E4C4D">
        <w:rPr>
          <w:rFonts w:ascii="Calibri" w:hAnsi="Calibri" w:cs="Arial"/>
          <w:sz w:val="22"/>
        </w:rPr>
        <w:t xml:space="preserve">or zero </w:t>
      </w:r>
      <w:r w:rsidR="00A8705C" w:rsidRPr="00FB4831">
        <w:rPr>
          <w:rFonts w:ascii="Calibri" w:hAnsi="Calibri" w:cs="Arial"/>
          <w:sz w:val="22"/>
        </w:rPr>
        <w:t>cost</w:t>
      </w:r>
      <w:r w:rsidR="006D3A4F">
        <w:rPr>
          <w:rFonts w:ascii="Calibri" w:hAnsi="Calibri" w:cs="Arial"/>
          <w:sz w:val="22"/>
        </w:rPr>
        <w:t>s, of which the RDNH needs to be aware before launching the process</w:t>
      </w:r>
      <w:r>
        <w:rPr>
          <w:rFonts w:ascii="Calibri" w:hAnsi="Calibri" w:cs="Arial"/>
          <w:sz w:val="22"/>
        </w:rPr>
        <w:t>.</w:t>
      </w:r>
      <w:r w:rsidR="006D3A4F">
        <w:rPr>
          <w:rFonts w:ascii="Calibri" w:hAnsi="Calibri" w:cs="Arial"/>
          <w:sz w:val="22"/>
        </w:rPr>
        <w:t xml:space="preserve"> This could be part of the information provisions of Question d) below.</w:t>
      </w:r>
    </w:p>
    <w:p w:rsidR="00A8705C" w:rsidRDefault="00A8705C" w:rsidP="00A8705C">
      <w:pPr>
        <w:spacing w:line="276" w:lineRule="auto"/>
        <w:rPr>
          <w:rFonts w:ascii="Calibri" w:hAnsi="Calibri" w:cs="Arial"/>
          <w:sz w:val="22"/>
        </w:rPr>
      </w:pPr>
    </w:p>
    <w:p w:rsidR="00911434" w:rsidRPr="00FB4831" w:rsidRDefault="00911434" w:rsidP="00911434">
      <w:pPr>
        <w:spacing w:line="276" w:lineRule="auto"/>
        <w:rPr>
          <w:rFonts w:ascii="Calibri" w:hAnsi="Calibri" w:cs="Arial"/>
          <w:sz w:val="22"/>
        </w:rPr>
      </w:pPr>
      <w:r w:rsidRPr="00C80EE1">
        <w:rPr>
          <w:rFonts w:ascii="Calibri" w:hAnsi="Calibri" w:cs="Arial"/>
          <w:b/>
          <w:sz w:val="22"/>
        </w:rPr>
        <w:t xml:space="preserve">Note: </w:t>
      </w:r>
      <w:r w:rsidRPr="00FB4831">
        <w:rPr>
          <w:rFonts w:ascii="Calibri" w:hAnsi="Calibri" w:cs="Arial"/>
          <w:sz w:val="22"/>
        </w:rPr>
        <w:t>The WG discussed one case where a UDRP filed where web-host/developer is listed as the RDNH, but services are terminated and a transfer cannot be performed, and UDRP cannot produce a positive result because it is not a Trademark issue</w:t>
      </w:r>
      <w:r>
        <w:rPr>
          <w:rFonts w:ascii="Calibri" w:hAnsi="Calibri" w:cs="Arial"/>
          <w:sz w:val="22"/>
        </w:rPr>
        <w:t xml:space="preserve">. This might be not </w:t>
      </w:r>
      <w:proofErr w:type="gramStart"/>
      <w:r>
        <w:rPr>
          <w:rFonts w:ascii="Calibri" w:hAnsi="Calibri" w:cs="Arial"/>
          <w:sz w:val="22"/>
        </w:rPr>
        <w:t>be</w:t>
      </w:r>
      <w:proofErr w:type="gramEnd"/>
      <w:r>
        <w:rPr>
          <w:rFonts w:ascii="Calibri" w:hAnsi="Calibri" w:cs="Arial"/>
          <w:sz w:val="22"/>
        </w:rPr>
        <w:t xml:space="preserve"> </w:t>
      </w:r>
      <w:r w:rsidRPr="00FB4831">
        <w:rPr>
          <w:rFonts w:ascii="Calibri" w:hAnsi="Calibri" w:cs="Arial"/>
          <w:sz w:val="22"/>
        </w:rPr>
        <w:t xml:space="preserve">a transfer issue, but a defined </w:t>
      </w:r>
      <w:r>
        <w:rPr>
          <w:rFonts w:ascii="Calibri" w:hAnsi="Calibri" w:cs="Arial"/>
          <w:sz w:val="22"/>
        </w:rPr>
        <w:t xml:space="preserve">TDRP </w:t>
      </w:r>
      <w:r w:rsidRPr="00FB4831">
        <w:rPr>
          <w:rFonts w:ascii="Calibri" w:hAnsi="Calibri" w:cs="Arial"/>
          <w:sz w:val="22"/>
        </w:rPr>
        <w:t>process may be helpful</w:t>
      </w:r>
      <w:r>
        <w:rPr>
          <w:rFonts w:ascii="Calibri" w:hAnsi="Calibri" w:cs="Arial"/>
          <w:sz w:val="22"/>
        </w:rPr>
        <w:t xml:space="preserve"> for such a circumstance too. The WG noted that this could be </w:t>
      </w:r>
      <w:r w:rsidRPr="00FB4831">
        <w:rPr>
          <w:rFonts w:ascii="Calibri" w:hAnsi="Calibri" w:cs="Arial"/>
          <w:sz w:val="22"/>
        </w:rPr>
        <w:t xml:space="preserve">reviewed in conjunction with </w:t>
      </w:r>
      <w:r>
        <w:rPr>
          <w:rFonts w:ascii="Calibri" w:hAnsi="Calibri" w:cs="Arial"/>
          <w:sz w:val="22"/>
        </w:rPr>
        <w:t>the implementation of</w:t>
      </w:r>
      <w:r w:rsidRPr="00FB4831">
        <w:rPr>
          <w:rFonts w:ascii="Calibri" w:hAnsi="Calibri" w:cs="Arial"/>
          <w:sz w:val="22"/>
        </w:rPr>
        <w:t xml:space="preserve"> IRTP-C</w:t>
      </w:r>
      <w:r>
        <w:rPr>
          <w:rFonts w:ascii="Calibri" w:hAnsi="Calibri" w:cs="Arial"/>
          <w:sz w:val="22"/>
        </w:rPr>
        <w:t xml:space="preserve"> since it is related more to a </w:t>
      </w:r>
      <w:r w:rsidRPr="00FB4831">
        <w:rPr>
          <w:rFonts w:ascii="Calibri" w:hAnsi="Calibri" w:cs="Arial"/>
          <w:sz w:val="22"/>
        </w:rPr>
        <w:t>Change of Registrant</w:t>
      </w:r>
      <w:r>
        <w:rPr>
          <w:rFonts w:ascii="Calibri" w:hAnsi="Calibri" w:cs="Arial"/>
          <w:sz w:val="22"/>
        </w:rPr>
        <w:t>.</w:t>
      </w:r>
    </w:p>
    <w:p w:rsidR="00911434" w:rsidRDefault="00911434" w:rsidP="007A4E27">
      <w:pPr>
        <w:spacing w:line="276" w:lineRule="auto"/>
        <w:rPr>
          <w:rFonts w:ascii="Calibri" w:hAnsi="Calibri"/>
          <w:sz w:val="22"/>
        </w:rPr>
      </w:pPr>
    </w:p>
    <w:p w:rsidR="007A4E27" w:rsidRPr="00833B13" w:rsidRDefault="007A4E27" w:rsidP="007A4E27">
      <w:pPr>
        <w:spacing w:line="276" w:lineRule="auto"/>
        <w:rPr>
          <w:rFonts w:ascii="Calibri" w:hAnsi="Calibri"/>
          <w:b/>
          <w:sz w:val="22"/>
        </w:rPr>
      </w:pPr>
      <w:r>
        <w:rPr>
          <w:rFonts w:ascii="Calibri" w:hAnsi="Calibri"/>
          <w:b/>
          <w:sz w:val="22"/>
        </w:rPr>
        <w:t xml:space="preserve">Remaining </w:t>
      </w:r>
      <w:r w:rsidRPr="00833B13">
        <w:rPr>
          <w:rFonts w:ascii="Calibri" w:hAnsi="Calibri"/>
          <w:b/>
          <w:sz w:val="22"/>
        </w:rPr>
        <w:t>Questions:</w:t>
      </w:r>
    </w:p>
    <w:p w:rsidR="007A4E27" w:rsidRPr="007A4E27" w:rsidRDefault="007A4E27" w:rsidP="007A4E27">
      <w:pPr>
        <w:pStyle w:val="ListParagraph"/>
        <w:numPr>
          <w:ilvl w:val="0"/>
          <w:numId w:val="3"/>
        </w:numPr>
        <w:spacing w:line="276" w:lineRule="auto"/>
        <w:rPr>
          <w:rFonts w:ascii="Calibri" w:hAnsi="Calibri"/>
          <w:sz w:val="22"/>
          <w:szCs w:val="22"/>
        </w:rPr>
      </w:pPr>
      <w:r w:rsidRPr="007A4E27">
        <w:rPr>
          <w:rFonts w:ascii="Calibri" w:hAnsi="Calibri"/>
          <w:sz w:val="22"/>
          <w:szCs w:val="22"/>
        </w:rPr>
        <w:t xml:space="preserve">What should the concrete steps for </w:t>
      </w:r>
      <w:proofErr w:type="gramStart"/>
      <w:r w:rsidRPr="007A4E27">
        <w:rPr>
          <w:rFonts w:ascii="Calibri" w:hAnsi="Calibri"/>
          <w:sz w:val="22"/>
          <w:szCs w:val="22"/>
        </w:rPr>
        <w:t>a</w:t>
      </w:r>
      <w:proofErr w:type="gramEnd"/>
      <w:r w:rsidRPr="007A4E27">
        <w:rPr>
          <w:rFonts w:ascii="Calibri" w:hAnsi="Calibri"/>
          <w:sz w:val="22"/>
          <w:szCs w:val="22"/>
        </w:rPr>
        <w:t xml:space="preserve"> RDNH-</w:t>
      </w:r>
      <w:r w:rsidR="00911434" w:rsidRPr="007A4E27">
        <w:rPr>
          <w:rFonts w:ascii="Calibri" w:hAnsi="Calibri"/>
          <w:sz w:val="22"/>
          <w:szCs w:val="22"/>
        </w:rPr>
        <w:t>launched</w:t>
      </w:r>
      <w:r w:rsidRPr="007A4E27">
        <w:rPr>
          <w:rFonts w:ascii="Calibri" w:hAnsi="Calibri"/>
          <w:sz w:val="22"/>
          <w:szCs w:val="22"/>
        </w:rPr>
        <w:t xml:space="preserve"> TDRP be?</w:t>
      </w:r>
    </w:p>
    <w:p w:rsidR="007A4E27" w:rsidRPr="007A4E27" w:rsidRDefault="007A4E27" w:rsidP="007A4E27">
      <w:pPr>
        <w:pStyle w:val="ListParagraph"/>
        <w:numPr>
          <w:ilvl w:val="0"/>
          <w:numId w:val="3"/>
        </w:numPr>
        <w:spacing w:line="276" w:lineRule="auto"/>
        <w:rPr>
          <w:rFonts w:ascii="Calibri" w:hAnsi="Calibri"/>
          <w:sz w:val="22"/>
          <w:szCs w:val="22"/>
        </w:rPr>
      </w:pPr>
      <w:r w:rsidRPr="007A4E27">
        <w:rPr>
          <w:rFonts w:ascii="Calibri" w:hAnsi="Calibri"/>
          <w:sz w:val="22"/>
          <w:szCs w:val="22"/>
        </w:rPr>
        <w:t>What is the role of the Registry in this process if any?</w:t>
      </w:r>
    </w:p>
    <w:p w:rsidR="007A4E27" w:rsidRPr="007A4E27" w:rsidRDefault="007A4E27" w:rsidP="007A4E27">
      <w:pPr>
        <w:pStyle w:val="ListParagraph"/>
        <w:numPr>
          <w:ilvl w:val="0"/>
          <w:numId w:val="3"/>
        </w:numPr>
        <w:spacing w:line="276" w:lineRule="auto"/>
        <w:rPr>
          <w:rFonts w:ascii="Calibri" w:hAnsi="Calibri"/>
          <w:sz w:val="22"/>
          <w:szCs w:val="22"/>
        </w:rPr>
      </w:pPr>
      <w:r w:rsidRPr="007A4E27">
        <w:rPr>
          <w:rFonts w:ascii="Calibri" w:hAnsi="Calibri"/>
          <w:sz w:val="22"/>
          <w:szCs w:val="22"/>
        </w:rPr>
        <w:t>Can the Registrar still launch a TDRP?</w:t>
      </w:r>
    </w:p>
    <w:p w:rsidR="007A4E27" w:rsidRPr="007A4E27" w:rsidRDefault="007A4E27" w:rsidP="007A4E27">
      <w:pPr>
        <w:pStyle w:val="ListParagraph"/>
        <w:numPr>
          <w:ilvl w:val="0"/>
          <w:numId w:val="3"/>
        </w:numPr>
        <w:spacing w:line="276" w:lineRule="auto"/>
        <w:rPr>
          <w:rFonts w:ascii="Calibri" w:hAnsi="Calibri"/>
          <w:sz w:val="22"/>
          <w:szCs w:val="22"/>
        </w:rPr>
      </w:pPr>
      <w:r w:rsidRPr="007A4E27">
        <w:rPr>
          <w:rFonts w:ascii="Calibri" w:hAnsi="Calibri"/>
          <w:sz w:val="22"/>
          <w:szCs w:val="22"/>
        </w:rPr>
        <w:t xml:space="preserve">Can the potential costs involved for </w:t>
      </w:r>
      <w:proofErr w:type="gramStart"/>
      <w:r w:rsidRPr="007A4E27">
        <w:rPr>
          <w:rFonts w:ascii="Calibri" w:hAnsi="Calibri"/>
          <w:sz w:val="22"/>
          <w:szCs w:val="22"/>
        </w:rPr>
        <w:t>the RDNH be reduced by policy streamlining</w:t>
      </w:r>
      <w:proofErr w:type="gramEnd"/>
      <w:r w:rsidRPr="007A4E27">
        <w:rPr>
          <w:rFonts w:ascii="Calibri" w:hAnsi="Calibri"/>
          <w:sz w:val="22"/>
          <w:szCs w:val="22"/>
        </w:rPr>
        <w:t>?</w:t>
      </w:r>
    </w:p>
    <w:p w:rsidR="00911434" w:rsidRPr="007A4E27" w:rsidRDefault="00911434" w:rsidP="00A8705C">
      <w:pPr>
        <w:spacing w:line="276" w:lineRule="auto"/>
        <w:rPr>
          <w:rFonts w:ascii="Calibri" w:hAnsi="Calibri" w:cs="Arial"/>
          <w:sz w:val="22"/>
          <w:szCs w:val="22"/>
        </w:rPr>
      </w:pPr>
    </w:p>
    <w:p w:rsidR="00EC71F7" w:rsidRDefault="00EC71F7" w:rsidP="00A8705C">
      <w:pPr>
        <w:spacing w:line="276" w:lineRule="auto"/>
        <w:rPr>
          <w:rFonts w:ascii="Calibri" w:hAnsi="Calibri"/>
          <w:b/>
          <w:sz w:val="22"/>
          <w:szCs w:val="22"/>
        </w:rPr>
      </w:pPr>
    </w:p>
    <w:p w:rsidR="007A4E27" w:rsidRPr="00911434" w:rsidRDefault="007A4E27" w:rsidP="00A8705C">
      <w:pPr>
        <w:spacing w:line="276" w:lineRule="auto"/>
        <w:rPr>
          <w:rFonts w:ascii="Calibri" w:hAnsi="Calibri"/>
          <w:b/>
          <w:sz w:val="22"/>
          <w:szCs w:val="22"/>
        </w:rPr>
      </w:pPr>
      <w:r w:rsidRPr="007A4E27">
        <w:rPr>
          <w:rFonts w:ascii="Calibri" w:hAnsi="Calibri"/>
          <w:b/>
          <w:sz w:val="22"/>
          <w:szCs w:val="22"/>
        </w:rPr>
        <w:t xml:space="preserve">Further Information to consider: </w:t>
      </w:r>
    </w:p>
    <w:p w:rsidR="00EC71F7" w:rsidRDefault="00EC71F7" w:rsidP="007A4E27">
      <w:pPr>
        <w:spacing w:line="276" w:lineRule="auto"/>
        <w:rPr>
          <w:rFonts w:ascii="Calibri" w:hAnsi="Calibri"/>
          <w:sz w:val="22"/>
        </w:rPr>
      </w:pPr>
    </w:p>
    <w:p w:rsidR="00EC71F7" w:rsidRPr="00FB4831" w:rsidRDefault="007A4E27" w:rsidP="007A4E27">
      <w:pPr>
        <w:spacing w:line="276" w:lineRule="auto"/>
        <w:rPr>
          <w:rFonts w:ascii="Calibri" w:hAnsi="Calibri"/>
          <w:sz w:val="22"/>
        </w:rPr>
      </w:pPr>
      <w:r>
        <w:rPr>
          <w:rFonts w:ascii="Calibri" w:hAnsi="Calibri"/>
          <w:sz w:val="22"/>
        </w:rPr>
        <w:t xml:space="preserve">A </w:t>
      </w:r>
      <w:r w:rsidR="00A8705C">
        <w:rPr>
          <w:rFonts w:ascii="Calibri" w:hAnsi="Calibri"/>
          <w:sz w:val="22"/>
        </w:rPr>
        <w:t xml:space="preserve">quick </w:t>
      </w:r>
      <w:r w:rsidR="00A8705C" w:rsidRPr="007A4E27">
        <w:rPr>
          <w:rFonts w:ascii="Calibri" w:hAnsi="Calibri"/>
          <w:b/>
          <w:sz w:val="22"/>
        </w:rPr>
        <w:t xml:space="preserve">survey of cc-TLDs </w:t>
      </w:r>
      <w:r w:rsidR="00A8705C">
        <w:rPr>
          <w:rFonts w:ascii="Calibri" w:hAnsi="Calibri"/>
          <w:sz w:val="22"/>
        </w:rPr>
        <w:t xml:space="preserve">showed that </w:t>
      </w:r>
      <w:r w:rsidR="00A8705C" w:rsidRPr="00FB4831">
        <w:rPr>
          <w:rFonts w:ascii="Calibri" w:hAnsi="Calibri"/>
          <w:sz w:val="22"/>
        </w:rPr>
        <w:t xml:space="preserve">individual registrants </w:t>
      </w:r>
      <w:proofErr w:type="gramStart"/>
      <w:r w:rsidR="00A8705C" w:rsidRPr="00FB4831">
        <w:rPr>
          <w:rFonts w:ascii="Calibri" w:hAnsi="Calibri"/>
          <w:sz w:val="22"/>
        </w:rPr>
        <w:t>can</w:t>
      </w:r>
      <w:proofErr w:type="gramEnd"/>
      <w:r w:rsidR="00A8705C" w:rsidRPr="00FB4831">
        <w:rPr>
          <w:rFonts w:ascii="Calibri" w:hAnsi="Calibri"/>
          <w:sz w:val="22"/>
        </w:rPr>
        <w:t xml:space="preserve"> complain to the operating registry if they are unhappy with the performance of their registrar. In </w:t>
      </w:r>
      <w:r w:rsidR="00A8705C">
        <w:rPr>
          <w:rFonts w:ascii="Calibri" w:hAnsi="Calibri"/>
          <w:sz w:val="22"/>
        </w:rPr>
        <w:t xml:space="preserve">some cases this explicitly includes </w:t>
      </w:r>
      <w:r w:rsidR="00A8705C" w:rsidRPr="00FB4831">
        <w:rPr>
          <w:rFonts w:ascii="Calibri" w:hAnsi="Calibri"/>
          <w:sz w:val="22"/>
        </w:rPr>
        <w:t xml:space="preserve">unauthorized domain transfers; for the others this is </w:t>
      </w:r>
      <w:r w:rsidR="00A8705C">
        <w:rPr>
          <w:rFonts w:ascii="Calibri" w:hAnsi="Calibri"/>
          <w:sz w:val="22"/>
        </w:rPr>
        <w:t xml:space="preserve">only </w:t>
      </w:r>
      <w:r w:rsidR="00A8705C" w:rsidRPr="00FB4831">
        <w:rPr>
          <w:rFonts w:ascii="Calibri" w:hAnsi="Calibri"/>
          <w:sz w:val="22"/>
        </w:rPr>
        <w:t xml:space="preserve">implicitly included </w:t>
      </w:r>
      <w:r w:rsidR="00A8705C">
        <w:rPr>
          <w:rFonts w:ascii="Calibri" w:hAnsi="Calibri"/>
          <w:sz w:val="22"/>
        </w:rPr>
        <w:t>but in all cases the registr</w:t>
      </w:r>
      <w:r>
        <w:rPr>
          <w:rFonts w:ascii="Calibri" w:hAnsi="Calibri"/>
          <w:sz w:val="22"/>
        </w:rPr>
        <w:t>ants have the opportunity to com</w:t>
      </w:r>
      <w:r w:rsidR="00A8705C">
        <w:rPr>
          <w:rFonts w:ascii="Calibri" w:hAnsi="Calibri"/>
          <w:sz w:val="22"/>
        </w:rPr>
        <w:t>plain to the operating cc-TLD regi</w:t>
      </w:r>
      <w:r>
        <w:rPr>
          <w:rFonts w:ascii="Calibri" w:hAnsi="Calibri"/>
          <w:sz w:val="22"/>
        </w:rPr>
        <w:t>stry on transfer related issues:</w:t>
      </w:r>
    </w:p>
    <w:p w:rsidR="00A8705C" w:rsidRPr="00EC71F7" w:rsidRDefault="00A8705C" w:rsidP="007A4E27">
      <w:pPr>
        <w:pStyle w:val="ListParagraph"/>
        <w:numPr>
          <w:ilvl w:val="0"/>
          <w:numId w:val="2"/>
        </w:numPr>
        <w:spacing w:line="276" w:lineRule="auto"/>
        <w:rPr>
          <w:rFonts w:ascii="Calibri" w:hAnsi="Calibri"/>
          <w:sz w:val="22"/>
        </w:rPr>
      </w:pPr>
      <w:proofErr w:type="spellStart"/>
      <w:r w:rsidRPr="007A4E27">
        <w:rPr>
          <w:rFonts w:ascii="Calibri" w:hAnsi="Calibri"/>
          <w:sz w:val="22"/>
        </w:rPr>
        <w:t>Nominet</w:t>
      </w:r>
      <w:proofErr w:type="spellEnd"/>
      <w:r w:rsidRPr="007A4E27">
        <w:rPr>
          <w:rFonts w:ascii="Calibri" w:hAnsi="Calibri"/>
          <w:sz w:val="22"/>
        </w:rPr>
        <w:t xml:space="preserve">: Registrants can launch a complaint against a Registrar (e.g. for alleged non-compliance with Registrar Agreement) with </w:t>
      </w:r>
      <w:proofErr w:type="spellStart"/>
      <w:r w:rsidRPr="007A4E27">
        <w:rPr>
          <w:rFonts w:ascii="Calibri" w:hAnsi="Calibri"/>
          <w:sz w:val="22"/>
        </w:rPr>
        <w:t>Nominet</w:t>
      </w:r>
      <w:proofErr w:type="spellEnd"/>
      <w:r w:rsidRPr="007A4E27">
        <w:rPr>
          <w:rFonts w:ascii="Calibri" w:hAnsi="Calibri"/>
          <w:sz w:val="22"/>
        </w:rPr>
        <w:t xml:space="preserve"> who will investigate on their behalf – no costs involved. </w:t>
      </w:r>
      <w:proofErr w:type="spellStart"/>
      <w:r w:rsidRPr="007A4E27">
        <w:rPr>
          <w:rFonts w:ascii="Calibri" w:hAnsi="Calibri"/>
          <w:sz w:val="22"/>
        </w:rPr>
        <w:t>Nominet</w:t>
      </w:r>
      <w:proofErr w:type="spellEnd"/>
      <w:r w:rsidRPr="007A4E27">
        <w:rPr>
          <w:rFonts w:ascii="Calibri" w:hAnsi="Calibri"/>
          <w:sz w:val="22"/>
        </w:rPr>
        <w:t xml:space="preserve"> will recuperate any costs from the Registrar if they are found at fault. See </w:t>
      </w:r>
      <w:proofErr w:type="spellStart"/>
      <w:r w:rsidRPr="007A4E27">
        <w:rPr>
          <w:rFonts w:ascii="Calibri" w:hAnsi="Calibri"/>
          <w:sz w:val="22"/>
        </w:rPr>
        <w:t>Nominet</w:t>
      </w:r>
      <w:proofErr w:type="spellEnd"/>
      <w:r w:rsidRPr="007A4E27">
        <w:rPr>
          <w:rFonts w:ascii="Calibri" w:hAnsi="Calibri"/>
          <w:sz w:val="22"/>
        </w:rPr>
        <w:t xml:space="preserve"> </w:t>
      </w:r>
      <w:hyperlink r:id="rId8" w:history="1">
        <w:r w:rsidRPr="007A4E27">
          <w:rPr>
            <w:rStyle w:val="Hyperlink"/>
            <w:rFonts w:ascii="Calibri" w:hAnsi="Calibri"/>
            <w:sz w:val="22"/>
          </w:rPr>
          <w:t>Registrar Agreement</w:t>
        </w:r>
      </w:hyperlink>
      <w:r w:rsidRPr="007A4E27">
        <w:rPr>
          <w:rFonts w:ascii="Calibri" w:hAnsi="Calibri"/>
          <w:sz w:val="22"/>
        </w:rPr>
        <w:t xml:space="preserve"> Section 2.8</w:t>
      </w:r>
    </w:p>
    <w:p w:rsidR="00A8705C" w:rsidRPr="00EC71F7" w:rsidRDefault="00A8705C" w:rsidP="007A4E27">
      <w:pPr>
        <w:pStyle w:val="ListParagraph"/>
        <w:numPr>
          <w:ilvl w:val="0"/>
          <w:numId w:val="2"/>
        </w:numPr>
        <w:rPr>
          <w:rFonts w:ascii="Calibri" w:hAnsi="Calibri"/>
          <w:sz w:val="22"/>
        </w:rPr>
      </w:pPr>
      <w:r w:rsidRPr="007A4E27">
        <w:rPr>
          <w:rFonts w:ascii="Calibri" w:hAnsi="Calibri"/>
          <w:sz w:val="22"/>
        </w:rPr>
        <w:t xml:space="preserve">SIDN: 7.3. </w:t>
      </w:r>
      <w:proofErr w:type="gramStart"/>
      <w:r w:rsidRPr="007A4E27">
        <w:rPr>
          <w:rFonts w:ascii="Calibri" w:hAnsi="Calibri"/>
          <w:sz w:val="22"/>
        </w:rPr>
        <w:t>of</w:t>
      </w:r>
      <w:proofErr w:type="gramEnd"/>
      <w:r w:rsidRPr="007A4E27">
        <w:rPr>
          <w:rFonts w:ascii="Calibri" w:hAnsi="Calibri"/>
          <w:sz w:val="22"/>
        </w:rPr>
        <w:t xml:space="preserve"> the </w:t>
      </w:r>
      <w:hyperlink r:id="rId9" w:history="1">
        <w:r w:rsidRPr="007A4E27">
          <w:rPr>
            <w:rStyle w:val="Hyperlink"/>
            <w:rFonts w:ascii="Calibri" w:hAnsi="Calibri"/>
            <w:sz w:val="22"/>
          </w:rPr>
          <w:t>Terms and Conditions</w:t>
        </w:r>
      </w:hyperlink>
      <w:r w:rsidRPr="007A4E27">
        <w:rPr>
          <w:rFonts w:ascii="Calibri" w:hAnsi="Calibri"/>
          <w:sz w:val="22"/>
        </w:rPr>
        <w:t xml:space="preserve"> states: If SIDN finds it necessary to reverse an amendment to a registration, SIDN may charge the registrar that requested the amendment for the reversal. The amount payable will be a fixed amount, determined by SIDN on a reasonable basis.</w:t>
      </w:r>
    </w:p>
    <w:p w:rsidR="00A8705C" w:rsidRPr="00EC71F7" w:rsidRDefault="00A8705C" w:rsidP="00EC71F7">
      <w:pPr>
        <w:pStyle w:val="ListParagraph"/>
        <w:numPr>
          <w:ilvl w:val="0"/>
          <w:numId w:val="2"/>
        </w:numPr>
        <w:rPr>
          <w:rFonts w:ascii="Calibri" w:hAnsi="Calibri"/>
          <w:sz w:val="22"/>
        </w:rPr>
      </w:pPr>
      <w:r w:rsidRPr="007A4E27">
        <w:rPr>
          <w:rFonts w:ascii="Calibri" w:hAnsi="Calibri"/>
          <w:sz w:val="22"/>
        </w:rPr>
        <w:t xml:space="preserve">DENIC: </w:t>
      </w:r>
      <w:r w:rsidRPr="007A4E27">
        <w:rPr>
          <w:rFonts w:ascii="Calibri" w:hAnsi="Calibri"/>
          <w:color w:val="000000"/>
          <w:sz w:val="22"/>
        </w:rPr>
        <w:t xml:space="preserve">“If your domain has been transferred for administration to another provider without your consent and without you even being informed, you should first of all contact your provider, who will try and sort the matter out for you. It is also advisable to seek the viewpoint of the new provider, since there may simply have been a genuine mistake, given that there is not always a malicious intent underlying such incidents. If you find that you are getting nowhere with these contacts, you can then get in touch with DENIC, who will need a description of all the steps you have already tried” </w:t>
      </w:r>
      <w:hyperlink r:id="rId10" w:history="1">
        <w:r w:rsidRPr="007A4E27">
          <w:rPr>
            <w:rStyle w:val="Hyperlink"/>
            <w:rFonts w:ascii="Calibri" w:hAnsi="Calibri"/>
            <w:sz w:val="22"/>
          </w:rPr>
          <w:t>http://www.denic.de/en/faq-single/363/247.html?cHash=ba9da8ddb6632ef0db4a20270458494c</w:t>
        </w:r>
      </w:hyperlink>
      <w:r w:rsidRPr="007A4E27">
        <w:rPr>
          <w:rFonts w:ascii="Calibri" w:hAnsi="Calibri"/>
          <w:color w:val="000000"/>
          <w:sz w:val="22"/>
        </w:rPr>
        <w:t>).</w:t>
      </w:r>
    </w:p>
    <w:p w:rsidR="00A8705C" w:rsidRPr="007E7AE5" w:rsidRDefault="00A8705C" w:rsidP="00A8705C">
      <w:pPr>
        <w:spacing w:line="276" w:lineRule="auto"/>
        <w:rPr>
          <w:rFonts w:ascii="Calibri" w:hAnsi="Calibri"/>
          <w:sz w:val="20"/>
          <w:szCs w:val="22"/>
        </w:rPr>
      </w:pPr>
      <w:r w:rsidRPr="00FB4831">
        <w:rPr>
          <w:rFonts w:ascii="Calibri" w:hAnsi="Calibri"/>
          <w:b/>
          <w:sz w:val="22"/>
        </w:rPr>
        <w:br w:type="page"/>
        <w:t>Charter Question d)</w:t>
      </w:r>
    </w:p>
    <w:p w:rsidR="00A8705C" w:rsidRPr="00FB4831" w:rsidRDefault="00A8705C" w:rsidP="00A8705C">
      <w:pPr>
        <w:spacing w:line="276" w:lineRule="auto"/>
        <w:rPr>
          <w:rFonts w:ascii="Calibri" w:eastAsia="Times New Roman" w:hAnsi="Calibri" w:cs="Arial"/>
          <w:i/>
          <w:color w:val="000000"/>
          <w:sz w:val="22"/>
          <w:shd w:val="clear" w:color="auto" w:fill="FFFFFF"/>
        </w:rPr>
      </w:pPr>
    </w:p>
    <w:p w:rsidR="00A8705C" w:rsidRPr="00FB4831" w:rsidRDefault="00A8705C" w:rsidP="00A8705C">
      <w:pPr>
        <w:widowControl w:val="0"/>
        <w:tabs>
          <w:tab w:val="left" w:pos="0"/>
          <w:tab w:val="left" w:pos="220"/>
        </w:tabs>
        <w:autoSpaceDE w:val="0"/>
        <w:autoSpaceDN w:val="0"/>
        <w:adjustRightInd w:val="0"/>
        <w:spacing w:after="240" w:line="276" w:lineRule="auto"/>
        <w:rPr>
          <w:rFonts w:ascii="Calibri" w:hAnsi="Calibri"/>
          <w:b/>
          <w:sz w:val="22"/>
        </w:rPr>
      </w:pPr>
      <w:r w:rsidRPr="00FB4831">
        <w:rPr>
          <w:rFonts w:ascii="Calibri" w:eastAsia="Times New Roman" w:hAnsi="Calibri" w:cs="Arial"/>
          <w:i/>
          <w:color w:val="000000"/>
          <w:sz w:val="22"/>
          <w:shd w:val="clear" w:color="auto" w:fill="FFFFFF"/>
        </w:rPr>
        <w:t>Whether requirements or best practices should be put into place for registrars to make information on transfer dispute resolution options available to registrants</w:t>
      </w:r>
      <w:proofErr w:type="gramStart"/>
      <w:r w:rsidRPr="00FB4831">
        <w:rPr>
          <w:rFonts w:ascii="Calibri" w:eastAsia="Times New Roman" w:hAnsi="Calibri" w:cs="Arial"/>
          <w:i/>
          <w:color w:val="000000"/>
          <w:sz w:val="22"/>
          <w:shd w:val="clear" w:color="auto" w:fill="FFFFFF"/>
        </w:rPr>
        <w:t>;</w:t>
      </w:r>
      <w:proofErr w:type="gramEnd"/>
    </w:p>
    <w:p w:rsidR="00EA3910" w:rsidRPr="00FB4831" w:rsidRDefault="00EA3910" w:rsidP="00A8705C">
      <w:pPr>
        <w:widowControl w:val="0"/>
        <w:tabs>
          <w:tab w:val="left" w:pos="220"/>
          <w:tab w:val="left" w:pos="720"/>
        </w:tabs>
        <w:autoSpaceDE w:val="0"/>
        <w:autoSpaceDN w:val="0"/>
        <w:adjustRightInd w:val="0"/>
        <w:spacing w:after="240"/>
        <w:rPr>
          <w:rFonts w:ascii="Times" w:hAnsi="Times" w:cs="Times"/>
          <w:sz w:val="22"/>
        </w:rPr>
      </w:pPr>
    </w:p>
    <w:p w:rsidR="00EA3910" w:rsidRDefault="00A8705C" w:rsidP="00A8705C">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b/>
          <w:sz w:val="22"/>
        </w:rPr>
        <w:t>WG Observation</w:t>
      </w:r>
      <w:r w:rsidR="00EC71F7">
        <w:rPr>
          <w:rFonts w:ascii="Calibri" w:hAnsi="Calibri"/>
          <w:b/>
          <w:sz w:val="22"/>
        </w:rPr>
        <w:t>/Discussion</w:t>
      </w:r>
      <w:r w:rsidRPr="00FB4831">
        <w:rPr>
          <w:rFonts w:ascii="Calibri" w:hAnsi="Calibri"/>
          <w:b/>
          <w:sz w:val="22"/>
        </w:rPr>
        <w:t>:</w:t>
      </w:r>
    </w:p>
    <w:p w:rsidR="00A8705C" w:rsidRDefault="00A8705C" w:rsidP="00A8705C">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The WG agrees </w:t>
      </w:r>
      <w:r w:rsidR="00EA3910">
        <w:rPr>
          <w:rFonts w:ascii="Calibri" w:hAnsi="Calibri"/>
          <w:sz w:val="22"/>
        </w:rPr>
        <w:t xml:space="preserve">in principle </w:t>
      </w:r>
      <w:r w:rsidRPr="00FB4831">
        <w:rPr>
          <w:rFonts w:ascii="Calibri" w:hAnsi="Calibri"/>
          <w:sz w:val="22"/>
        </w:rPr>
        <w:t>tha</w:t>
      </w:r>
      <w:r w:rsidR="00EA3910">
        <w:rPr>
          <w:rFonts w:ascii="Calibri" w:hAnsi="Calibri"/>
          <w:sz w:val="22"/>
        </w:rPr>
        <w:t>t best practice should be put in place for registrars to make information on transfer resolution options available to registrants. The details of this could be defined based on the outcome of Charter question C.</w:t>
      </w:r>
    </w:p>
    <w:p w:rsidR="00EA3910" w:rsidRDefault="009A09C1" w:rsidP="00A8705C">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In this context it is important that the information </w:t>
      </w:r>
      <w:r w:rsidR="0094749E">
        <w:rPr>
          <w:rFonts w:ascii="Calibri" w:hAnsi="Calibri"/>
          <w:sz w:val="22"/>
        </w:rPr>
        <w:t xml:space="preserve">the </w:t>
      </w:r>
      <w:r>
        <w:rPr>
          <w:rFonts w:ascii="Calibri" w:hAnsi="Calibri"/>
          <w:sz w:val="22"/>
        </w:rPr>
        <w:t>registrant receives is consistent</w:t>
      </w:r>
      <w:r w:rsidR="0094749E">
        <w:rPr>
          <w:rFonts w:ascii="Calibri" w:hAnsi="Calibri"/>
          <w:sz w:val="22"/>
        </w:rPr>
        <w:t xml:space="preserve"> and up-to-date</w:t>
      </w:r>
      <w:r>
        <w:rPr>
          <w:rFonts w:ascii="Calibri" w:hAnsi="Calibri"/>
          <w:sz w:val="22"/>
        </w:rPr>
        <w:t xml:space="preserve">. A viable option </w:t>
      </w:r>
      <w:r w:rsidR="0094749E">
        <w:rPr>
          <w:rFonts w:ascii="Calibri" w:hAnsi="Calibri"/>
          <w:sz w:val="22"/>
        </w:rPr>
        <w:t xml:space="preserve">would be </w:t>
      </w:r>
      <w:r>
        <w:rPr>
          <w:rFonts w:ascii="Calibri" w:hAnsi="Calibri"/>
          <w:sz w:val="22"/>
        </w:rPr>
        <w:t xml:space="preserve">an ICANN website containing all relevant information. All registrars and registries could then simply point to the ICANN hosted site, allowing for </w:t>
      </w:r>
      <w:proofErr w:type="gramStart"/>
      <w:r>
        <w:rPr>
          <w:rFonts w:ascii="Calibri" w:hAnsi="Calibri"/>
          <w:sz w:val="22"/>
        </w:rPr>
        <w:t>a</w:t>
      </w:r>
      <w:proofErr w:type="gramEnd"/>
      <w:r>
        <w:rPr>
          <w:rFonts w:ascii="Calibri" w:hAnsi="Calibri"/>
          <w:sz w:val="22"/>
        </w:rPr>
        <w:t xml:space="preserve"> easier </w:t>
      </w:r>
      <w:r w:rsidR="0094749E">
        <w:rPr>
          <w:rFonts w:ascii="Calibri" w:hAnsi="Calibri"/>
          <w:sz w:val="22"/>
        </w:rPr>
        <w:t xml:space="preserve">an </w:t>
      </w:r>
      <w:r>
        <w:rPr>
          <w:rFonts w:ascii="Calibri" w:hAnsi="Calibri"/>
          <w:sz w:val="22"/>
        </w:rPr>
        <w:t xml:space="preserve">up-to date </w:t>
      </w:r>
      <w:r w:rsidR="0094749E">
        <w:rPr>
          <w:rFonts w:ascii="Calibri" w:hAnsi="Calibri"/>
          <w:sz w:val="22"/>
        </w:rPr>
        <w:t>provision of relevant information for the registrant.</w:t>
      </w:r>
    </w:p>
    <w:p w:rsidR="00A8705C" w:rsidRPr="0094749E" w:rsidRDefault="00EA3910" w:rsidP="00EA3910">
      <w:pPr>
        <w:spacing w:line="276" w:lineRule="auto"/>
        <w:rPr>
          <w:rFonts w:ascii="Calibri" w:hAnsi="Calibri" w:cs="Arial"/>
          <w:b/>
          <w:sz w:val="22"/>
        </w:rPr>
      </w:pPr>
      <w:r w:rsidRPr="0094749E">
        <w:rPr>
          <w:rFonts w:ascii="Calibri" w:hAnsi="Calibri" w:cs="Arial"/>
          <w:b/>
          <w:sz w:val="22"/>
        </w:rPr>
        <w:t>Remaining Questions</w:t>
      </w:r>
      <w:r w:rsidR="00A8705C" w:rsidRPr="0094749E">
        <w:rPr>
          <w:rFonts w:ascii="Calibri" w:hAnsi="Calibri" w:cs="Arial"/>
          <w:b/>
          <w:sz w:val="22"/>
        </w:rPr>
        <w:t>:</w:t>
      </w:r>
    </w:p>
    <w:p w:rsidR="00A8705C" w:rsidRPr="00FB4831" w:rsidRDefault="00A8705C" w:rsidP="00EA3910">
      <w:pPr>
        <w:spacing w:line="276" w:lineRule="auto"/>
        <w:rPr>
          <w:rFonts w:ascii="Calibri" w:hAnsi="Calibri" w:cs="Arial"/>
          <w:sz w:val="22"/>
        </w:rPr>
      </w:pPr>
      <w:r>
        <w:rPr>
          <w:rFonts w:ascii="Calibri" w:hAnsi="Calibri" w:cs="Arial"/>
          <w:sz w:val="22"/>
        </w:rPr>
        <w:t xml:space="preserve">- </w:t>
      </w:r>
      <w:r w:rsidRPr="00FB4831">
        <w:rPr>
          <w:rFonts w:ascii="Calibri" w:hAnsi="Calibri" w:cs="Arial"/>
          <w:sz w:val="22"/>
        </w:rPr>
        <w:t xml:space="preserve">Who would define </w:t>
      </w:r>
      <w:r w:rsidR="0094749E">
        <w:rPr>
          <w:rFonts w:ascii="Calibri" w:hAnsi="Calibri" w:cs="Arial"/>
          <w:sz w:val="22"/>
        </w:rPr>
        <w:t xml:space="preserve">what the </w:t>
      </w:r>
      <w:r w:rsidRPr="00FB4831">
        <w:rPr>
          <w:rFonts w:ascii="Calibri" w:hAnsi="Calibri" w:cs="Arial"/>
          <w:sz w:val="22"/>
        </w:rPr>
        <w:t>Best Practices</w:t>
      </w:r>
      <w:r w:rsidR="0094749E">
        <w:rPr>
          <w:rFonts w:ascii="Calibri" w:hAnsi="Calibri" w:cs="Arial"/>
          <w:sz w:val="22"/>
        </w:rPr>
        <w:t xml:space="preserve"> would look it and what would define what it includes?</w:t>
      </w:r>
    </w:p>
    <w:p w:rsidR="0094749E" w:rsidRPr="00FB4831" w:rsidRDefault="00A8705C" w:rsidP="00EA3910">
      <w:pPr>
        <w:spacing w:line="276" w:lineRule="auto"/>
        <w:rPr>
          <w:rFonts w:ascii="Calibri" w:hAnsi="Calibri" w:cs="Arial"/>
          <w:sz w:val="22"/>
        </w:rPr>
      </w:pPr>
      <w:r>
        <w:rPr>
          <w:rFonts w:ascii="Calibri" w:hAnsi="Calibri" w:cs="Arial"/>
          <w:sz w:val="22"/>
        </w:rPr>
        <w:t xml:space="preserve">- </w:t>
      </w:r>
      <w:r w:rsidR="0094749E">
        <w:rPr>
          <w:rFonts w:ascii="Calibri" w:hAnsi="Calibri" w:cs="Arial"/>
          <w:sz w:val="22"/>
        </w:rPr>
        <w:t>What information should be included on the ICANN-hosted website?</w:t>
      </w:r>
    </w:p>
    <w:sectPr w:rsidR="0094749E" w:rsidRPr="00FB4831" w:rsidSect="00A125C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E67" w:rsidRDefault="00655E67" w:rsidP="00A8705C">
      <w:r>
        <w:separator/>
      </w:r>
    </w:p>
  </w:endnote>
  <w:endnote w:type="continuationSeparator" w:id="0">
    <w:p w:rsidR="00655E67" w:rsidRDefault="00655E67" w:rsidP="00A8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E67" w:rsidRDefault="00655E67" w:rsidP="00A8705C">
      <w:r>
        <w:separator/>
      </w:r>
    </w:p>
  </w:footnote>
  <w:footnote w:type="continuationSeparator" w:id="0">
    <w:p w:rsidR="00655E67" w:rsidRDefault="00655E67" w:rsidP="00A8705C">
      <w:r>
        <w:continuationSeparator/>
      </w:r>
    </w:p>
  </w:footnote>
  <w:footnote w:id="1">
    <w:p w:rsidR="00EA3910" w:rsidRPr="00EC71F7" w:rsidRDefault="00EA3910" w:rsidP="00911434">
      <w:pPr>
        <w:rPr>
          <w:rFonts w:ascii="Calibri" w:eastAsia="Times New Roman" w:hAnsi="Calibri"/>
          <w:sz w:val="19"/>
          <w:szCs w:val="19"/>
        </w:rPr>
      </w:pPr>
      <w:r w:rsidRPr="00EC71F7">
        <w:rPr>
          <w:rStyle w:val="FootnoteReference"/>
          <w:rFonts w:ascii="Calibri" w:hAnsi="Calibri"/>
          <w:sz w:val="19"/>
          <w:szCs w:val="19"/>
        </w:rPr>
        <w:footnoteRef/>
      </w:r>
      <w:r w:rsidRPr="00EC71F7">
        <w:rPr>
          <w:rFonts w:ascii="Calibri" w:hAnsi="Calibri"/>
          <w:sz w:val="19"/>
          <w:szCs w:val="19"/>
        </w:rPr>
        <w:t xml:space="preserve"> </w:t>
      </w:r>
      <w:r w:rsidRPr="00EC71F7">
        <w:rPr>
          <w:rFonts w:ascii="Calibri" w:hAnsi="Calibri" w:cs="Arial"/>
          <w:sz w:val="19"/>
          <w:szCs w:val="19"/>
        </w:rPr>
        <w:t xml:space="preserve">A potential model for this could be the Registry Restriction Problem Report System (RRPRS) that allows Registrants to file a complaint against Registries for non-compliance with registration restrictions: “Initial complaints that a Registry has failed to comply with registration restrictions shall be processed through a Registry Restriction Problem Report System (RRPRS) using an online form similar to the Whois Data Problem Report System (WDPRS) at InterNIC.net. A nominal processing fee could serve to decrease frivolous complaints. The registry operator shall receive a copy of the complaint and will be required to take reasonable steps to investigate (and remedy if warranted) the reported non-compliance. The Complainant will have the option to escalate the complaint in accordance with this RRDRP, if the alleged non-compliance continues. Failure by the Registry to address the complaint to complainant’s satisfaction does not itself give the complainant standing to file an RRDRP complaint.” Also: “Complainants must have filed a claim through the Registry Restriction Problem Report System (RRPRS) to have standing to file an RRDRP.” See </w:t>
      </w:r>
      <w:r w:rsidRPr="00EC71F7">
        <w:rPr>
          <w:rFonts w:ascii="Calibri" w:eastAsia="Times New Roman" w:hAnsi="Calibri" w:cs="Arial"/>
          <w:color w:val="00802A"/>
          <w:sz w:val="19"/>
          <w:szCs w:val="19"/>
          <w:shd w:val="clear" w:color="auto" w:fill="FFFFFF"/>
        </w:rPr>
        <w:t>http://newgtlds.icann.org/en/applicants/agb/rrdrp-04jun12-</w:t>
      </w:r>
      <w:proofErr w:type="gramStart"/>
      <w:r w:rsidRPr="00EC71F7">
        <w:rPr>
          <w:rFonts w:ascii="Calibri" w:eastAsia="Times New Roman" w:hAnsi="Calibri" w:cs="Arial"/>
          <w:color w:val="00802A"/>
          <w:sz w:val="19"/>
          <w:szCs w:val="19"/>
          <w:shd w:val="clear" w:color="auto" w:fill="FFFFFF"/>
        </w:rPr>
        <w:t>en.pdf</w:t>
      </w:r>
      <w:r w:rsidRPr="00EC71F7">
        <w:rPr>
          <w:rFonts w:ascii="Calibri" w:eastAsia="Times New Roman" w:hAnsi="Calibri" w:cs="Arial"/>
          <w:color w:val="666666"/>
          <w:sz w:val="19"/>
          <w:szCs w:val="19"/>
          <w:shd w:val="clear" w:color="auto" w:fill="FFFFFF"/>
        </w:rPr>
        <w:t>‎.</w:t>
      </w:r>
      <w:proofErr w:type="gramEnd"/>
    </w:p>
  </w:footnote>
  <w:footnote w:id="2">
    <w:p w:rsidR="00EA3910" w:rsidRPr="00EC71F7" w:rsidRDefault="00EA3910" w:rsidP="00EC71F7">
      <w:pPr>
        <w:rPr>
          <w:rFonts w:ascii="Calibri" w:hAnsi="Calibri"/>
          <w:sz w:val="19"/>
          <w:szCs w:val="19"/>
        </w:rPr>
      </w:pPr>
      <w:r w:rsidRPr="00EC71F7">
        <w:rPr>
          <w:rStyle w:val="FootnoteReference"/>
          <w:rFonts w:ascii="Calibri" w:hAnsi="Calibri"/>
          <w:sz w:val="19"/>
          <w:szCs w:val="19"/>
        </w:rPr>
        <w:footnoteRef/>
      </w:r>
      <w:r w:rsidRPr="00EC71F7">
        <w:rPr>
          <w:rFonts w:ascii="Calibri" w:hAnsi="Calibri"/>
          <w:sz w:val="19"/>
          <w:szCs w:val="19"/>
        </w:rPr>
        <w:t xml:space="preserve"> </w:t>
      </w:r>
      <w:r w:rsidRPr="00EC71F7">
        <w:rPr>
          <w:rFonts w:ascii="Calibri" w:hAnsi="Calibri" w:cs="Arial"/>
          <w:sz w:val="19"/>
          <w:szCs w:val="19"/>
        </w:rPr>
        <w:t xml:space="preserve">NAF US$1100 </w:t>
      </w:r>
      <w:proofErr w:type="spellStart"/>
      <w:r w:rsidRPr="00EC71F7">
        <w:rPr>
          <w:rFonts w:ascii="Calibri" w:hAnsi="Calibri" w:cs="Arial"/>
          <w:sz w:val="19"/>
          <w:szCs w:val="19"/>
        </w:rPr>
        <w:t>appx</w:t>
      </w:r>
      <w:proofErr w:type="spellEnd"/>
      <w:r w:rsidRPr="00EC71F7">
        <w:rPr>
          <w:rFonts w:ascii="Calibri" w:hAnsi="Calibri" w:cs="Arial"/>
          <w:sz w:val="19"/>
          <w:szCs w:val="19"/>
        </w:rPr>
        <w:t xml:space="preserve"> charge for TDRP (2/3 goes to arbitrator)</w:t>
      </w:r>
      <w:r w:rsidR="00EC71F7">
        <w:rPr>
          <w:rFonts w:ascii="Calibri" w:hAnsi="Calibri" w:cs="Arial"/>
          <w:sz w:val="19"/>
          <w:szCs w:val="19"/>
        </w:rPr>
        <w:t xml:space="preserve">; </w:t>
      </w:r>
      <w:hyperlink r:id="rId1" w:history="1">
        <w:r w:rsidRPr="00EC71F7">
          <w:rPr>
            <w:rStyle w:val="Hyperlink"/>
            <w:rFonts w:ascii="Calibri" w:hAnsi="Calibri" w:cs="Arial"/>
            <w:sz w:val="19"/>
            <w:szCs w:val="19"/>
          </w:rPr>
          <w:t>ADNDRC charges</w:t>
        </w:r>
      </w:hyperlink>
      <w:r w:rsidRPr="00EC71F7">
        <w:rPr>
          <w:rFonts w:ascii="Calibri" w:hAnsi="Calibri" w:cs="Arial"/>
          <w:sz w:val="19"/>
          <w:szCs w:val="19"/>
        </w:rPr>
        <w:t xml:space="preserve"> range between US$1000 (for single panelist arbitrations) and US$2500 for three panelist arbitrations).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C360A"/>
    <w:multiLevelType w:val="hybridMultilevel"/>
    <w:tmpl w:val="BD0044D6"/>
    <w:lvl w:ilvl="0" w:tplc="A84AA68C">
      <w:start w:val="29"/>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3638F8"/>
    <w:multiLevelType w:val="hybridMultilevel"/>
    <w:tmpl w:val="647C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B759EF"/>
    <w:multiLevelType w:val="hybridMultilevel"/>
    <w:tmpl w:val="C2665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5C"/>
    <w:rsid w:val="001D7062"/>
    <w:rsid w:val="002945E3"/>
    <w:rsid w:val="0033194E"/>
    <w:rsid w:val="00501042"/>
    <w:rsid w:val="00551F03"/>
    <w:rsid w:val="00655E67"/>
    <w:rsid w:val="006D3659"/>
    <w:rsid w:val="006D3A4F"/>
    <w:rsid w:val="007A4E27"/>
    <w:rsid w:val="007D3623"/>
    <w:rsid w:val="008E4C4D"/>
    <w:rsid w:val="00911434"/>
    <w:rsid w:val="0094749E"/>
    <w:rsid w:val="009A09C1"/>
    <w:rsid w:val="00A125CA"/>
    <w:rsid w:val="00A8705C"/>
    <w:rsid w:val="00C80EE1"/>
    <w:rsid w:val="00D54DBE"/>
    <w:rsid w:val="00DC5715"/>
    <w:rsid w:val="00E02CA1"/>
    <w:rsid w:val="00E80890"/>
    <w:rsid w:val="00EA06CC"/>
    <w:rsid w:val="00EA3910"/>
    <w:rsid w:val="00EC71F7"/>
    <w:rsid w:val="00EF3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091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05C"/>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8705C"/>
    <w:rPr>
      <w:sz w:val="18"/>
      <w:szCs w:val="18"/>
    </w:rPr>
  </w:style>
  <w:style w:type="paragraph" w:styleId="CommentText">
    <w:name w:val="annotation text"/>
    <w:basedOn w:val="Normal"/>
    <w:link w:val="CommentTextChar"/>
    <w:uiPriority w:val="99"/>
    <w:semiHidden/>
    <w:unhideWhenUsed/>
    <w:rsid w:val="00A8705C"/>
  </w:style>
  <w:style w:type="character" w:customStyle="1" w:styleId="CommentTextChar">
    <w:name w:val="Comment Text Char"/>
    <w:basedOn w:val="DefaultParagraphFont"/>
    <w:link w:val="CommentText"/>
    <w:uiPriority w:val="99"/>
    <w:semiHidden/>
    <w:rsid w:val="00A8705C"/>
    <w:rPr>
      <w:rFonts w:ascii="Cambria" w:eastAsia="MS Mincho" w:hAnsi="Cambria" w:cs="Times New Roman"/>
    </w:rPr>
  </w:style>
  <w:style w:type="paragraph" w:styleId="FootnoteText">
    <w:name w:val="footnote text"/>
    <w:basedOn w:val="Normal"/>
    <w:link w:val="FootnoteTextChar"/>
    <w:uiPriority w:val="99"/>
    <w:unhideWhenUsed/>
    <w:rsid w:val="00A8705C"/>
  </w:style>
  <w:style w:type="character" w:customStyle="1" w:styleId="FootnoteTextChar">
    <w:name w:val="Footnote Text Char"/>
    <w:basedOn w:val="DefaultParagraphFont"/>
    <w:link w:val="FootnoteText"/>
    <w:uiPriority w:val="99"/>
    <w:rsid w:val="00A8705C"/>
    <w:rPr>
      <w:rFonts w:ascii="Cambria" w:eastAsia="MS Mincho" w:hAnsi="Cambria" w:cs="Times New Roman"/>
    </w:rPr>
  </w:style>
  <w:style w:type="character" w:styleId="FootnoteReference">
    <w:name w:val="footnote reference"/>
    <w:uiPriority w:val="99"/>
    <w:unhideWhenUsed/>
    <w:rsid w:val="00A8705C"/>
    <w:rPr>
      <w:vertAlign w:val="superscript"/>
    </w:rPr>
  </w:style>
  <w:style w:type="character" w:styleId="Hyperlink">
    <w:name w:val="Hyperlink"/>
    <w:uiPriority w:val="99"/>
    <w:unhideWhenUsed/>
    <w:rsid w:val="00A8705C"/>
    <w:rPr>
      <w:color w:val="0000FF"/>
      <w:u w:val="single"/>
    </w:rPr>
  </w:style>
  <w:style w:type="paragraph" w:styleId="BalloonText">
    <w:name w:val="Balloon Text"/>
    <w:basedOn w:val="Normal"/>
    <w:link w:val="BalloonTextChar"/>
    <w:uiPriority w:val="99"/>
    <w:semiHidden/>
    <w:unhideWhenUsed/>
    <w:rsid w:val="00A870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705C"/>
    <w:rPr>
      <w:rFonts w:ascii="Lucida Grande" w:eastAsia="MS Mincho" w:hAnsi="Lucida Grande" w:cs="Lucida Grande"/>
      <w:sz w:val="18"/>
      <w:szCs w:val="18"/>
    </w:rPr>
  </w:style>
  <w:style w:type="character" w:styleId="HTMLCite">
    <w:name w:val="HTML Cite"/>
    <w:basedOn w:val="DefaultParagraphFont"/>
    <w:uiPriority w:val="99"/>
    <w:semiHidden/>
    <w:unhideWhenUsed/>
    <w:rsid w:val="00DC5715"/>
    <w:rPr>
      <w:i/>
      <w:iCs/>
    </w:rPr>
  </w:style>
  <w:style w:type="paragraph" w:styleId="ListParagraph">
    <w:name w:val="List Paragraph"/>
    <w:basedOn w:val="Normal"/>
    <w:uiPriority w:val="34"/>
    <w:qFormat/>
    <w:rsid w:val="007A4E2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05C"/>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8705C"/>
    <w:rPr>
      <w:sz w:val="18"/>
      <w:szCs w:val="18"/>
    </w:rPr>
  </w:style>
  <w:style w:type="paragraph" w:styleId="CommentText">
    <w:name w:val="annotation text"/>
    <w:basedOn w:val="Normal"/>
    <w:link w:val="CommentTextChar"/>
    <w:uiPriority w:val="99"/>
    <w:semiHidden/>
    <w:unhideWhenUsed/>
    <w:rsid w:val="00A8705C"/>
  </w:style>
  <w:style w:type="character" w:customStyle="1" w:styleId="CommentTextChar">
    <w:name w:val="Comment Text Char"/>
    <w:basedOn w:val="DefaultParagraphFont"/>
    <w:link w:val="CommentText"/>
    <w:uiPriority w:val="99"/>
    <w:semiHidden/>
    <w:rsid w:val="00A8705C"/>
    <w:rPr>
      <w:rFonts w:ascii="Cambria" w:eastAsia="MS Mincho" w:hAnsi="Cambria" w:cs="Times New Roman"/>
    </w:rPr>
  </w:style>
  <w:style w:type="paragraph" w:styleId="FootnoteText">
    <w:name w:val="footnote text"/>
    <w:basedOn w:val="Normal"/>
    <w:link w:val="FootnoteTextChar"/>
    <w:uiPriority w:val="99"/>
    <w:unhideWhenUsed/>
    <w:rsid w:val="00A8705C"/>
  </w:style>
  <w:style w:type="character" w:customStyle="1" w:styleId="FootnoteTextChar">
    <w:name w:val="Footnote Text Char"/>
    <w:basedOn w:val="DefaultParagraphFont"/>
    <w:link w:val="FootnoteText"/>
    <w:uiPriority w:val="99"/>
    <w:rsid w:val="00A8705C"/>
    <w:rPr>
      <w:rFonts w:ascii="Cambria" w:eastAsia="MS Mincho" w:hAnsi="Cambria" w:cs="Times New Roman"/>
    </w:rPr>
  </w:style>
  <w:style w:type="character" w:styleId="FootnoteReference">
    <w:name w:val="footnote reference"/>
    <w:uiPriority w:val="99"/>
    <w:unhideWhenUsed/>
    <w:rsid w:val="00A8705C"/>
    <w:rPr>
      <w:vertAlign w:val="superscript"/>
    </w:rPr>
  </w:style>
  <w:style w:type="character" w:styleId="Hyperlink">
    <w:name w:val="Hyperlink"/>
    <w:uiPriority w:val="99"/>
    <w:unhideWhenUsed/>
    <w:rsid w:val="00A8705C"/>
    <w:rPr>
      <w:color w:val="0000FF"/>
      <w:u w:val="single"/>
    </w:rPr>
  </w:style>
  <w:style w:type="paragraph" w:styleId="BalloonText">
    <w:name w:val="Balloon Text"/>
    <w:basedOn w:val="Normal"/>
    <w:link w:val="BalloonTextChar"/>
    <w:uiPriority w:val="99"/>
    <w:semiHidden/>
    <w:unhideWhenUsed/>
    <w:rsid w:val="00A870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705C"/>
    <w:rPr>
      <w:rFonts w:ascii="Lucida Grande" w:eastAsia="MS Mincho" w:hAnsi="Lucida Grande" w:cs="Lucida Grande"/>
      <w:sz w:val="18"/>
      <w:szCs w:val="18"/>
    </w:rPr>
  </w:style>
  <w:style w:type="character" w:styleId="HTMLCite">
    <w:name w:val="HTML Cite"/>
    <w:basedOn w:val="DefaultParagraphFont"/>
    <w:uiPriority w:val="99"/>
    <w:semiHidden/>
    <w:unhideWhenUsed/>
    <w:rsid w:val="00DC5715"/>
    <w:rPr>
      <w:i/>
      <w:iCs/>
    </w:rPr>
  </w:style>
  <w:style w:type="paragraph" w:styleId="ListParagraph">
    <w:name w:val="List Paragraph"/>
    <w:basedOn w:val="Normal"/>
    <w:uiPriority w:val="34"/>
    <w:qFormat/>
    <w:rsid w:val="007A4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735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ominet.org.uk/become-registrar/registrar-agreement/registrar-agreement-contract" TargetMode="External"/><Relationship Id="rId9" Type="http://schemas.openxmlformats.org/officeDocument/2006/relationships/hyperlink" Target="https://www.sidn.nl/fileadmin/downloads_en/Terms_and_Conditions/General_Terms_and_Conditions_for_Registrars.pdf" TargetMode="External"/><Relationship Id="rId10" Type="http://schemas.openxmlformats.org/officeDocument/2006/relationships/hyperlink" Target="http://www.denic.de/en/faq-single/363/247.html?cHash=ba9da8ddb6632ef0db4a20270458494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dndrc.org/tdrp/tdrphk_schedule_fe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829</Words>
  <Characters>4727</Characters>
  <Application>Microsoft Macintosh Word</Application>
  <DocSecurity>0</DocSecurity>
  <Lines>39</Lines>
  <Paragraphs>11</Paragraphs>
  <ScaleCrop>false</ScaleCrop>
  <Company>ICANN</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4</cp:revision>
  <dcterms:created xsi:type="dcterms:W3CDTF">2013-09-06T11:57:00Z</dcterms:created>
  <dcterms:modified xsi:type="dcterms:W3CDTF">2013-09-06T12:07:00Z</dcterms:modified>
</cp:coreProperties>
</file>