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D3E10" w14:textId="1511D66F" w:rsidR="003F13B2" w:rsidRPr="00C553A4" w:rsidRDefault="009B0326" w:rsidP="009849DD">
      <w:pPr>
        <w:tabs>
          <w:tab w:val="left" w:pos="5245"/>
        </w:tabs>
        <w:rPr>
          <w:rFonts w:ascii="Arial" w:hAnsi="Arial"/>
          <w:color w:val="548DD4" w:themeColor="text2" w:themeTint="99"/>
          <w:sz w:val="32"/>
          <w:szCs w:val="32"/>
        </w:rPr>
      </w:pPr>
      <w:r w:rsidRPr="00C553A4">
        <w:rPr>
          <w:rFonts w:ascii="Arial" w:hAnsi="Arial"/>
          <w:b/>
          <w:color w:val="548DD4" w:themeColor="text2" w:themeTint="99"/>
          <w:sz w:val="32"/>
          <w:szCs w:val="32"/>
        </w:rPr>
        <w:t>Base Registry Agreement (4.3.2)</w:t>
      </w:r>
    </w:p>
    <w:p w14:paraId="5FD75EAF" w14:textId="3BCC0C98" w:rsidR="003D567E" w:rsidRPr="00C553A4" w:rsidRDefault="00D378B1" w:rsidP="009849DD">
      <w:pPr>
        <w:rPr>
          <w:rFonts w:ascii="Arial" w:hAnsi="Arial"/>
          <w:b/>
          <w:sz w:val="22"/>
          <w:szCs w:val="22"/>
        </w:rPr>
      </w:pPr>
      <w:r w:rsidRPr="00C553A4">
        <w:rPr>
          <w:rFonts w:ascii="Arial" w:hAnsi="Arial"/>
          <w:b/>
          <w:sz w:val="22"/>
          <w:szCs w:val="22"/>
        </w:rPr>
        <w:t xml:space="preserve">Deliberations </w:t>
      </w:r>
      <w:r w:rsidR="008B015A">
        <w:rPr>
          <w:rFonts w:ascii="Arial" w:hAnsi="Arial" w:hint="eastAsia"/>
          <w:b/>
          <w:sz w:val="22"/>
          <w:szCs w:val="22"/>
        </w:rPr>
        <w:t>Over</w:t>
      </w:r>
      <w:r w:rsidR="008B015A">
        <w:rPr>
          <w:rFonts w:ascii="Arial" w:hAnsi="Arial"/>
          <w:b/>
          <w:sz w:val="22"/>
          <w:szCs w:val="22"/>
        </w:rPr>
        <w:t>view</w:t>
      </w:r>
    </w:p>
    <w:p w14:paraId="48D6BE2C" w14:textId="6F3F2D65" w:rsidR="003D567E" w:rsidRPr="00C553A4" w:rsidRDefault="00D378B1" w:rsidP="009849DD">
      <w:pPr>
        <w:pStyle w:val="Normal1"/>
        <w:spacing w:line="240" w:lineRule="auto"/>
        <w:jc w:val="both"/>
      </w:pPr>
      <w:r w:rsidRPr="00C553A4">
        <w:t>The d</w:t>
      </w:r>
      <w:r w:rsidR="003D567E" w:rsidRPr="00C553A4">
        <w:t xml:space="preserve">irection of travel for the base registry agreement is highly dependent upon the work in a number of different areas still under discussion. WT </w:t>
      </w:r>
      <w:r w:rsidRPr="00C553A4">
        <w:t xml:space="preserve">has </w:t>
      </w:r>
      <w:r w:rsidR="003D567E" w:rsidRPr="00C553A4">
        <w:t xml:space="preserve">conducted preliminary discussions on different approaches </w:t>
      </w:r>
      <w:r w:rsidR="00C553A4" w:rsidRPr="00C553A4">
        <w:t xml:space="preserve">to the base Registry Agreement </w:t>
      </w:r>
      <w:r w:rsidR="00C553A4">
        <w:t xml:space="preserve">including various pros and </w:t>
      </w:r>
      <w:r w:rsidR="003D567E" w:rsidRPr="00C553A4">
        <w:t xml:space="preserve">cons exercise. </w:t>
      </w:r>
    </w:p>
    <w:p w14:paraId="28FA654D" w14:textId="3BD3C64C" w:rsidR="0081403C" w:rsidRPr="00C553A4" w:rsidRDefault="0081403C" w:rsidP="009849DD">
      <w:pPr>
        <w:rPr>
          <w:rFonts w:ascii="Arial" w:hAnsi="Arial"/>
          <w:sz w:val="22"/>
          <w:szCs w:val="22"/>
        </w:rPr>
      </w:pPr>
    </w:p>
    <w:p w14:paraId="2043BEDA" w14:textId="75B43981" w:rsidR="003D567E" w:rsidRPr="00C553A4" w:rsidRDefault="00C553A4" w:rsidP="009849DD">
      <w:pPr>
        <w:rPr>
          <w:rFonts w:ascii="Arial" w:hAnsi="Arial"/>
          <w:color w:val="000000"/>
          <w:sz w:val="22"/>
          <w:szCs w:val="22"/>
        </w:rPr>
      </w:pPr>
      <w:r>
        <w:rPr>
          <w:rFonts w:ascii="Arial" w:hAnsi="Arial"/>
          <w:b/>
          <w:color w:val="000000"/>
          <w:sz w:val="22"/>
          <w:szCs w:val="22"/>
        </w:rPr>
        <w:t xml:space="preserve">Summary of </w:t>
      </w:r>
      <w:r w:rsidR="003D567E" w:rsidRPr="00C553A4">
        <w:rPr>
          <w:rFonts w:ascii="Arial" w:hAnsi="Arial"/>
          <w:b/>
          <w:color w:val="000000"/>
          <w:sz w:val="22"/>
          <w:szCs w:val="22"/>
        </w:rPr>
        <w:t>Single vs. Multiple Base Registry Agreement(s)</w:t>
      </w:r>
      <w:r>
        <w:rPr>
          <w:rFonts w:ascii="Arial" w:hAnsi="Arial"/>
          <w:b/>
          <w:color w:val="000000"/>
          <w:sz w:val="22"/>
          <w:szCs w:val="22"/>
        </w:rPr>
        <w:t xml:space="preserve"> Deliberation:</w:t>
      </w:r>
    </w:p>
    <w:p w14:paraId="5CD8EC4D" w14:textId="4731BFA9" w:rsidR="003D567E" w:rsidRDefault="00C553A4" w:rsidP="009849DD">
      <w:pPr>
        <w:pStyle w:val="Normal1"/>
        <w:numPr>
          <w:ilvl w:val="0"/>
          <w:numId w:val="7"/>
        </w:numPr>
        <w:spacing w:line="240" w:lineRule="auto"/>
        <w:contextualSpacing/>
        <w:jc w:val="both"/>
        <w:rPr>
          <w:highlight w:val="white"/>
        </w:rPr>
      </w:pPr>
      <w:r w:rsidRPr="00C553A4">
        <w:rPr>
          <w:highlight w:val="white"/>
        </w:rPr>
        <w:t>The h</w:t>
      </w:r>
      <w:r w:rsidR="003D567E" w:rsidRPr="00C553A4">
        <w:rPr>
          <w:highlight w:val="white"/>
        </w:rPr>
        <w:t xml:space="preserve">igh-level arguments for a single base Registry Agreement focused on predictability, fairness, efficiency, and a lack of clear and definitive boundaries around potential categories that would warrant separate agreements. </w:t>
      </w:r>
    </w:p>
    <w:p w14:paraId="1BE98F83" w14:textId="552B32D5" w:rsidR="00C553A4" w:rsidRPr="00C553A4" w:rsidRDefault="000D00E2" w:rsidP="009849DD">
      <w:pPr>
        <w:pStyle w:val="Normal1"/>
        <w:numPr>
          <w:ilvl w:val="0"/>
          <w:numId w:val="7"/>
        </w:numPr>
        <w:spacing w:line="240" w:lineRule="auto"/>
        <w:contextualSpacing/>
        <w:jc w:val="both"/>
        <w:rPr>
          <w:highlight w:val="white"/>
        </w:rPr>
      </w:pPr>
      <w:r>
        <w:t>The h</w:t>
      </w:r>
      <w:r w:rsidR="003D567E" w:rsidRPr="00C553A4">
        <w:t xml:space="preserve">igh-level arguments for different agreements focused on the need for ICANN to recognize and more fully support different business models for operating TLDs and the fact that exemptions were difficult to obtain in the 2012 round, indicating that in may be cleaner to have different versions from the outset. </w:t>
      </w:r>
    </w:p>
    <w:p w14:paraId="5596A7C0" w14:textId="77777777" w:rsidR="00C553A4" w:rsidRPr="00C553A4" w:rsidRDefault="008B07E7" w:rsidP="009849DD">
      <w:pPr>
        <w:pStyle w:val="Normal1"/>
        <w:numPr>
          <w:ilvl w:val="0"/>
          <w:numId w:val="7"/>
        </w:numPr>
        <w:spacing w:line="240" w:lineRule="auto"/>
        <w:contextualSpacing/>
        <w:jc w:val="both"/>
        <w:rPr>
          <w:highlight w:val="white"/>
        </w:rPr>
      </w:pPr>
      <w:r w:rsidRPr="00C553A4">
        <w:t>WT considered CC2 comments on this topic and will likely continue to revisit the issue as other discussions, for example deliberations on categories, move forward</w:t>
      </w:r>
      <w:r w:rsidR="00C553A4">
        <w:t>.</w:t>
      </w:r>
    </w:p>
    <w:p w14:paraId="745163CC" w14:textId="77777777" w:rsidR="00C553A4" w:rsidRPr="00C553A4" w:rsidRDefault="008B07E7" w:rsidP="009849DD">
      <w:pPr>
        <w:pStyle w:val="Normal1"/>
        <w:numPr>
          <w:ilvl w:val="0"/>
          <w:numId w:val="7"/>
        </w:numPr>
        <w:spacing w:line="240" w:lineRule="auto"/>
        <w:contextualSpacing/>
        <w:jc w:val="both"/>
        <w:rPr>
          <w:highlight w:val="white"/>
        </w:rPr>
      </w:pPr>
      <w:r w:rsidRPr="00C553A4">
        <w:t>WT appears to be converging on the concept of single base registry agreement with flexibility for different business models</w:t>
      </w:r>
      <w:r w:rsidR="00C553A4">
        <w:t>.</w:t>
      </w:r>
    </w:p>
    <w:p w14:paraId="5FD6A2F2" w14:textId="037842A9" w:rsidR="00C553A4" w:rsidRPr="00C553A4" w:rsidRDefault="00C553A4" w:rsidP="009849DD">
      <w:pPr>
        <w:pStyle w:val="Normal1"/>
        <w:numPr>
          <w:ilvl w:val="0"/>
          <w:numId w:val="7"/>
        </w:numPr>
        <w:spacing w:line="240" w:lineRule="auto"/>
        <w:contextualSpacing/>
        <w:jc w:val="both"/>
        <w:rPr>
          <w:highlight w:val="white"/>
        </w:rPr>
      </w:pPr>
      <w:r>
        <w:t>One WT member</w:t>
      </w:r>
      <w:r w:rsidR="008B07E7" w:rsidRPr="00C553A4">
        <w:t xml:space="preserve"> suggested that 1) There should be no presumption </w:t>
      </w:r>
      <w:r w:rsidR="008B015A">
        <w:t xml:space="preserve">that every TLD operates using an open model. </w:t>
      </w:r>
      <w:r w:rsidR="008B07E7" w:rsidRPr="00C553A4">
        <w:t>2) ICANN staff and Board should be open to listening about other models and incorporating other specifications.</w:t>
      </w:r>
    </w:p>
    <w:p w14:paraId="535CC372" w14:textId="7E9FB3EA" w:rsidR="008B07E7" w:rsidRPr="00C553A4" w:rsidRDefault="008B07E7" w:rsidP="009849DD">
      <w:pPr>
        <w:pStyle w:val="Normal1"/>
        <w:numPr>
          <w:ilvl w:val="0"/>
          <w:numId w:val="7"/>
        </w:numPr>
        <w:spacing w:line="240" w:lineRule="auto"/>
        <w:contextualSpacing/>
        <w:jc w:val="both"/>
        <w:rPr>
          <w:highlight w:val="white"/>
        </w:rPr>
      </w:pPr>
      <w:r w:rsidRPr="00C553A4">
        <w:t>WT members suggested brainstorming types of business models and corresponding provisions</w:t>
      </w:r>
      <w:r w:rsidR="008B015A">
        <w:t xml:space="preserve"> and </w:t>
      </w:r>
      <w:r w:rsidRPr="00C553A4">
        <w:t>options in the</w:t>
      </w:r>
      <w:r w:rsidR="008B015A">
        <w:t xml:space="preserve"> base registry agreement f</w:t>
      </w:r>
      <w:r w:rsidRPr="00C553A4">
        <w:t>or these models</w:t>
      </w:r>
    </w:p>
    <w:p w14:paraId="71FE50BC" w14:textId="77777777" w:rsidR="003D567E" w:rsidRPr="00C553A4" w:rsidRDefault="003D567E" w:rsidP="009849DD">
      <w:pPr>
        <w:rPr>
          <w:rFonts w:ascii="Arial" w:hAnsi="Arial" w:cs="Arial"/>
          <w:color w:val="000000"/>
          <w:kern w:val="0"/>
          <w:sz w:val="22"/>
          <w:szCs w:val="22"/>
          <w:lang w:val="en"/>
        </w:rPr>
      </w:pPr>
    </w:p>
    <w:p w14:paraId="3498DFF0" w14:textId="62B9A4B1" w:rsidR="009B0326" w:rsidRPr="00C553A4" w:rsidRDefault="00C553A4" w:rsidP="009849DD">
      <w:pPr>
        <w:rPr>
          <w:rFonts w:ascii="Arial" w:hAnsi="Arial"/>
          <w:b/>
          <w:color w:val="000000"/>
          <w:sz w:val="22"/>
          <w:szCs w:val="22"/>
        </w:rPr>
      </w:pPr>
      <w:r>
        <w:rPr>
          <w:rFonts w:ascii="Arial" w:hAnsi="Arial"/>
          <w:b/>
          <w:color w:val="000000"/>
          <w:sz w:val="22"/>
          <w:szCs w:val="22"/>
        </w:rPr>
        <w:t>High Level Agreement</w:t>
      </w:r>
      <w:r w:rsidR="009B0326" w:rsidRPr="00C553A4">
        <w:rPr>
          <w:rFonts w:ascii="Arial" w:hAnsi="Arial"/>
          <w:b/>
          <w:color w:val="000000"/>
          <w:sz w:val="22"/>
          <w:szCs w:val="22"/>
        </w:rPr>
        <w:t xml:space="preserve">: </w:t>
      </w:r>
    </w:p>
    <w:p w14:paraId="456CD0E7" w14:textId="67D3B6CD" w:rsidR="003F13B2" w:rsidRPr="00C553A4" w:rsidRDefault="003F13B2" w:rsidP="009849DD">
      <w:pPr>
        <w:rPr>
          <w:rFonts w:ascii="Arial" w:hAnsi="Arial"/>
          <w:b/>
          <w:i/>
          <w:sz w:val="22"/>
          <w:szCs w:val="22"/>
        </w:rPr>
      </w:pPr>
      <w:r w:rsidRPr="00C553A4">
        <w:rPr>
          <w:rFonts w:ascii="Arial" w:hAnsi="Arial"/>
          <w:b/>
          <w:i/>
          <w:sz w:val="22"/>
          <w:szCs w:val="22"/>
        </w:rPr>
        <w:t>Maintaining a single base Registry Agreement with specific sections for different TLD Types.</w:t>
      </w:r>
    </w:p>
    <w:p w14:paraId="32DFA03A" w14:textId="77777777" w:rsidR="003F13B2" w:rsidRPr="00C553A4" w:rsidRDefault="003F13B2" w:rsidP="009849DD">
      <w:pPr>
        <w:rPr>
          <w:rFonts w:ascii="Arial" w:hAnsi="Arial"/>
          <w:b/>
          <w:color w:val="000000"/>
          <w:sz w:val="22"/>
          <w:szCs w:val="22"/>
        </w:rPr>
      </w:pPr>
    </w:p>
    <w:p w14:paraId="6C564FD5" w14:textId="4FC6027B" w:rsidR="003F13B2" w:rsidRDefault="001A00B3" w:rsidP="009849DD">
      <w:pPr>
        <w:rPr>
          <w:rFonts w:ascii="Arial" w:hAnsi="Arial"/>
          <w:color w:val="000000"/>
          <w:sz w:val="22"/>
          <w:szCs w:val="22"/>
        </w:rPr>
      </w:pPr>
      <w:r>
        <w:rPr>
          <w:rFonts w:ascii="Arial" w:hAnsi="Arial"/>
          <w:color w:val="000000"/>
          <w:sz w:val="22"/>
          <w:szCs w:val="22"/>
        </w:rPr>
        <w:t>From WT deliberations until now, t</w:t>
      </w:r>
      <w:r w:rsidR="003F13B2" w:rsidRPr="00C553A4">
        <w:rPr>
          <w:rFonts w:ascii="Arial" w:hAnsi="Arial"/>
          <w:color w:val="000000"/>
          <w:sz w:val="22"/>
          <w:szCs w:val="22"/>
        </w:rPr>
        <w:t xml:space="preserve">here seems to be general agreement that there </w:t>
      </w:r>
      <w:r w:rsidR="003F558C">
        <w:rPr>
          <w:rFonts w:ascii="Arial" w:hAnsi="Arial"/>
          <w:color w:val="000000"/>
          <w:sz w:val="22"/>
          <w:szCs w:val="22"/>
        </w:rPr>
        <w:t xml:space="preserve">are </w:t>
      </w:r>
      <w:r w:rsidR="003F13B2" w:rsidRPr="00C553A4">
        <w:rPr>
          <w:rFonts w:ascii="Arial" w:hAnsi="Arial"/>
          <w:color w:val="000000"/>
          <w:sz w:val="22"/>
          <w:szCs w:val="22"/>
        </w:rPr>
        <w:t xml:space="preserve">core provisions of the base Registry Agreement </w:t>
      </w:r>
      <w:r w:rsidR="003F558C">
        <w:rPr>
          <w:rFonts w:ascii="Arial" w:hAnsi="Arial"/>
          <w:color w:val="000000"/>
          <w:sz w:val="22"/>
          <w:szCs w:val="22"/>
        </w:rPr>
        <w:t xml:space="preserve">that </w:t>
      </w:r>
      <w:r w:rsidR="003F13B2" w:rsidRPr="00C553A4">
        <w:rPr>
          <w:rFonts w:ascii="Arial" w:hAnsi="Arial"/>
          <w:color w:val="000000"/>
          <w:sz w:val="22"/>
          <w:szCs w:val="22"/>
        </w:rPr>
        <w:t xml:space="preserve">apply to </w:t>
      </w:r>
      <w:r w:rsidR="00A93DB7">
        <w:rPr>
          <w:rFonts w:ascii="Arial" w:hAnsi="Arial"/>
          <w:color w:val="000000"/>
          <w:sz w:val="22"/>
          <w:szCs w:val="22"/>
        </w:rPr>
        <w:t>all, while there appears to be k</w:t>
      </w:r>
      <w:r w:rsidR="003F13B2" w:rsidRPr="00C553A4">
        <w:rPr>
          <w:rFonts w:ascii="Arial" w:hAnsi="Arial"/>
          <w:color w:val="000000"/>
          <w:sz w:val="22"/>
          <w:szCs w:val="22"/>
        </w:rPr>
        <w:t>ey concerns around the difficulties in obtaining exemptions. Outcome may be along the lines of the compromise solutions raised, with a single base Agreement and a cle</w:t>
      </w:r>
      <w:r>
        <w:rPr>
          <w:rFonts w:ascii="Arial" w:hAnsi="Arial"/>
          <w:color w:val="000000"/>
          <w:sz w:val="22"/>
          <w:szCs w:val="22"/>
        </w:rPr>
        <w:t xml:space="preserve">ar system of exemptions or </w:t>
      </w:r>
      <w:r w:rsidR="003F13B2" w:rsidRPr="00C553A4">
        <w:rPr>
          <w:rFonts w:ascii="Arial" w:hAnsi="Arial"/>
          <w:color w:val="000000"/>
          <w:sz w:val="22"/>
          <w:szCs w:val="22"/>
        </w:rPr>
        <w:t>variations to be used based on categories or other factors.</w:t>
      </w:r>
    </w:p>
    <w:p w14:paraId="1452459B" w14:textId="77777777" w:rsidR="00A93DB7" w:rsidRDefault="00A93DB7" w:rsidP="009849DD">
      <w:pPr>
        <w:pStyle w:val="Normal1"/>
        <w:spacing w:line="240" w:lineRule="auto"/>
        <w:jc w:val="both"/>
        <w:rPr>
          <w:rFonts w:cstheme="minorBidi"/>
          <w:kern w:val="2"/>
          <w:lang w:val="en-US"/>
        </w:rPr>
      </w:pPr>
    </w:p>
    <w:p w14:paraId="4BB2EB0C" w14:textId="33451184" w:rsidR="003F13B2" w:rsidRDefault="00A93DB7" w:rsidP="009849DD">
      <w:pPr>
        <w:pStyle w:val="Normal1"/>
        <w:spacing w:line="240" w:lineRule="auto"/>
        <w:jc w:val="both"/>
        <w:rPr>
          <w:b/>
        </w:rPr>
      </w:pPr>
      <w:r w:rsidRPr="00010929">
        <w:rPr>
          <w:b/>
        </w:rPr>
        <w:t>As a collective whole, the following paths forward are proposed for the WT to further consider in the proposal to the full WG.</w:t>
      </w:r>
    </w:p>
    <w:p w14:paraId="32886801" w14:textId="77777777" w:rsidR="00005666" w:rsidRDefault="00005666" w:rsidP="009849DD">
      <w:pPr>
        <w:pStyle w:val="Normal1"/>
        <w:spacing w:line="240" w:lineRule="auto"/>
        <w:jc w:val="both"/>
        <w:rPr>
          <w:b/>
        </w:rPr>
      </w:pPr>
    </w:p>
    <w:p w14:paraId="360ACC19" w14:textId="77777777" w:rsidR="00005666" w:rsidRPr="00010929" w:rsidRDefault="00005666" w:rsidP="009849DD">
      <w:pPr>
        <w:pStyle w:val="Normal1"/>
        <w:spacing w:line="240" w:lineRule="auto"/>
        <w:jc w:val="both"/>
        <w:rPr>
          <w:b/>
        </w:rPr>
      </w:pPr>
    </w:p>
    <w:p w14:paraId="34A3F96F" w14:textId="1892657E" w:rsidR="00420AEB" w:rsidRPr="002B4707" w:rsidRDefault="00A93DB7" w:rsidP="00005666">
      <w:pPr>
        <w:pStyle w:val="a3"/>
        <w:numPr>
          <w:ilvl w:val="0"/>
          <w:numId w:val="9"/>
        </w:numPr>
        <w:ind w:firstLineChars="0"/>
        <w:jc w:val="left"/>
        <w:rPr>
          <w:rFonts w:ascii="Arial" w:hAnsi="Arial"/>
          <w:sz w:val="22"/>
          <w:szCs w:val="22"/>
        </w:rPr>
      </w:pPr>
      <w:r w:rsidRPr="002B4707">
        <w:rPr>
          <w:rFonts w:ascii="Arial" w:hAnsi="Arial"/>
          <w:sz w:val="22"/>
          <w:szCs w:val="22"/>
        </w:rPr>
        <w:lastRenderedPageBreak/>
        <w:t xml:space="preserve">It would be beneficial </w:t>
      </w:r>
      <w:r w:rsidR="00010929" w:rsidRPr="002B4707">
        <w:rPr>
          <w:rFonts w:ascii="Arial" w:hAnsi="Arial"/>
          <w:sz w:val="22"/>
          <w:szCs w:val="22"/>
        </w:rPr>
        <w:t xml:space="preserve">for the WT </w:t>
      </w:r>
      <w:r w:rsidR="00F90011" w:rsidRPr="002B4707">
        <w:rPr>
          <w:rFonts w:ascii="Arial" w:hAnsi="Arial"/>
          <w:sz w:val="22"/>
          <w:szCs w:val="22"/>
        </w:rPr>
        <w:t xml:space="preserve">to recommend a scaled back core agreement </w:t>
      </w:r>
      <w:r w:rsidR="003D567E" w:rsidRPr="002B4707">
        <w:rPr>
          <w:rFonts w:ascii="Arial" w:hAnsi="Arial"/>
          <w:sz w:val="22"/>
          <w:szCs w:val="22"/>
        </w:rPr>
        <w:t>with additional specifications per category</w:t>
      </w:r>
      <w:r w:rsidRPr="002B4707">
        <w:rPr>
          <w:rFonts w:ascii="Arial" w:hAnsi="Arial"/>
          <w:sz w:val="22"/>
          <w:szCs w:val="22"/>
        </w:rPr>
        <w:t xml:space="preserve">, with the goal of a </w:t>
      </w:r>
      <w:r w:rsidR="00010929" w:rsidRPr="002B4707">
        <w:rPr>
          <w:rFonts w:ascii="Arial" w:hAnsi="Arial"/>
          <w:sz w:val="22"/>
          <w:szCs w:val="22"/>
        </w:rPr>
        <w:t>s</w:t>
      </w:r>
      <w:r w:rsidR="00420AEB" w:rsidRPr="002B4707">
        <w:rPr>
          <w:rFonts w:ascii="Arial" w:hAnsi="Arial"/>
          <w:sz w:val="22"/>
          <w:szCs w:val="22"/>
        </w:rPr>
        <w:t>ingle agreement with a more clear, structured, and efficient method for obtaining exemptions</w:t>
      </w:r>
      <w:r w:rsidRPr="002B4707">
        <w:rPr>
          <w:rFonts w:ascii="Arial" w:hAnsi="Arial"/>
          <w:sz w:val="22"/>
          <w:szCs w:val="22"/>
        </w:rPr>
        <w:t>.</w:t>
      </w:r>
    </w:p>
    <w:tbl>
      <w:tblPr>
        <w:tblW w:w="5000" w:type="pct"/>
        <w:tblLayout w:type="fixed"/>
        <w:tblLook w:val="04A0" w:firstRow="1" w:lastRow="0" w:firstColumn="1" w:lastColumn="0" w:noHBand="0" w:noVBand="1"/>
      </w:tblPr>
      <w:tblGrid>
        <w:gridCol w:w="3228"/>
        <w:gridCol w:w="1696"/>
        <w:gridCol w:w="3592"/>
      </w:tblGrid>
      <w:tr w:rsidR="00375D6F" w:rsidRPr="00C553A4" w14:paraId="6CC1621F" w14:textId="77777777" w:rsidTr="00005666">
        <w:trPr>
          <w:trHeight w:val="315"/>
        </w:trPr>
        <w:tc>
          <w:tcPr>
            <w:tcW w:w="1895" w:type="pct"/>
            <w:tcBorders>
              <w:top w:val="single" w:sz="8" w:space="0" w:color="auto"/>
              <w:left w:val="single" w:sz="8" w:space="0" w:color="auto"/>
              <w:bottom w:val="single" w:sz="4" w:space="0" w:color="auto"/>
              <w:right w:val="single" w:sz="4" w:space="0" w:color="auto"/>
            </w:tcBorders>
            <w:shd w:val="clear" w:color="A4C2F4" w:fill="A4C2F4"/>
            <w:noWrap/>
            <w:vAlign w:val="bottom"/>
            <w:hideMark/>
          </w:tcPr>
          <w:p w14:paraId="4E4F8E00" w14:textId="77777777" w:rsidR="00375D6F" w:rsidRPr="00C553A4" w:rsidRDefault="00375D6F" w:rsidP="00005666">
            <w:pPr>
              <w:widowControl/>
              <w:jc w:val="left"/>
              <w:rPr>
                <w:rFonts w:ascii="Arial" w:eastAsia="Times New Roman" w:hAnsi="Arial" w:cs="Arial"/>
                <w:b/>
                <w:bCs/>
                <w:kern w:val="0"/>
                <w:sz w:val="20"/>
                <w:szCs w:val="20"/>
              </w:rPr>
            </w:pPr>
            <w:r w:rsidRPr="00C553A4">
              <w:rPr>
                <w:rFonts w:ascii="Arial" w:eastAsia="Times New Roman" w:hAnsi="Arial" w:cs="Arial"/>
                <w:b/>
                <w:bCs/>
                <w:kern w:val="0"/>
                <w:sz w:val="20"/>
                <w:szCs w:val="20"/>
              </w:rPr>
              <w:t>Category</w:t>
            </w:r>
          </w:p>
        </w:tc>
        <w:tc>
          <w:tcPr>
            <w:tcW w:w="996" w:type="pct"/>
            <w:tcBorders>
              <w:top w:val="single" w:sz="8" w:space="0" w:color="auto"/>
              <w:left w:val="nil"/>
              <w:bottom w:val="single" w:sz="4" w:space="0" w:color="auto"/>
              <w:right w:val="single" w:sz="4" w:space="0" w:color="auto"/>
            </w:tcBorders>
            <w:shd w:val="clear" w:color="A4C2F4" w:fill="A4C2F4"/>
            <w:noWrap/>
            <w:vAlign w:val="bottom"/>
            <w:hideMark/>
          </w:tcPr>
          <w:p w14:paraId="5D077921" w14:textId="6CC32913" w:rsidR="00375D6F" w:rsidRPr="00C553A4" w:rsidRDefault="00005666" w:rsidP="00005666">
            <w:pPr>
              <w:widowControl/>
              <w:jc w:val="left"/>
              <w:rPr>
                <w:rFonts w:ascii="Arial" w:eastAsia="Times New Roman" w:hAnsi="Arial" w:cs="Arial"/>
                <w:b/>
                <w:bCs/>
                <w:kern w:val="0"/>
                <w:sz w:val="20"/>
                <w:szCs w:val="20"/>
              </w:rPr>
            </w:pPr>
            <w:r>
              <w:rPr>
                <w:rFonts w:ascii="Arial" w:eastAsia="Times New Roman" w:hAnsi="Arial" w:cs="Arial"/>
                <w:b/>
                <w:bCs/>
                <w:kern w:val="0"/>
                <w:sz w:val="20"/>
                <w:szCs w:val="20"/>
              </w:rPr>
              <w:t xml:space="preserve">    </w:t>
            </w:r>
            <w:r w:rsidR="00375D6F" w:rsidRPr="00C553A4">
              <w:rPr>
                <w:rFonts w:ascii="Arial" w:eastAsia="Times New Roman" w:hAnsi="Arial" w:cs="Arial"/>
                <w:b/>
                <w:bCs/>
                <w:kern w:val="0"/>
                <w:sz w:val="20"/>
                <w:szCs w:val="20"/>
              </w:rPr>
              <w:t>Origin</w:t>
            </w:r>
          </w:p>
        </w:tc>
        <w:tc>
          <w:tcPr>
            <w:tcW w:w="2109" w:type="pct"/>
            <w:tcBorders>
              <w:top w:val="single" w:sz="8" w:space="0" w:color="auto"/>
              <w:left w:val="nil"/>
              <w:bottom w:val="single" w:sz="4" w:space="0" w:color="auto"/>
              <w:right w:val="single" w:sz="8" w:space="0" w:color="auto"/>
            </w:tcBorders>
            <w:shd w:val="clear" w:color="A4C2F4" w:fill="A4C2F4"/>
            <w:noWrap/>
            <w:vAlign w:val="bottom"/>
            <w:hideMark/>
          </w:tcPr>
          <w:p w14:paraId="02BECCBF" w14:textId="160BB69D" w:rsidR="00375D6F" w:rsidRPr="00C553A4" w:rsidRDefault="00005666" w:rsidP="00005666">
            <w:pPr>
              <w:widowControl/>
              <w:jc w:val="left"/>
              <w:rPr>
                <w:rFonts w:ascii="Arial" w:eastAsia="Times New Roman" w:hAnsi="Arial" w:cs="Arial"/>
                <w:b/>
                <w:bCs/>
                <w:kern w:val="0"/>
                <w:sz w:val="20"/>
                <w:szCs w:val="20"/>
              </w:rPr>
            </w:pPr>
            <w:r>
              <w:rPr>
                <w:rFonts w:ascii="Arial" w:eastAsia="Times New Roman" w:hAnsi="Arial" w:cs="Arial"/>
                <w:b/>
                <w:bCs/>
                <w:kern w:val="0"/>
                <w:sz w:val="20"/>
                <w:szCs w:val="20"/>
              </w:rPr>
              <w:t xml:space="preserve">     </w:t>
            </w:r>
            <w:r w:rsidR="00375D6F" w:rsidRPr="00C553A4">
              <w:rPr>
                <w:rFonts w:ascii="Arial" w:eastAsia="Times New Roman" w:hAnsi="Arial" w:cs="Arial"/>
                <w:b/>
                <w:bCs/>
                <w:kern w:val="0"/>
                <w:sz w:val="20"/>
                <w:szCs w:val="20"/>
              </w:rPr>
              <w:t>Deliberation Question:</w:t>
            </w:r>
          </w:p>
        </w:tc>
      </w:tr>
      <w:tr w:rsidR="00375D6F" w:rsidRPr="00C553A4" w14:paraId="05E31DB9" w14:textId="77777777" w:rsidTr="00005666">
        <w:trPr>
          <w:trHeight w:val="315"/>
        </w:trPr>
        <w:tc>
          <w:tcPr>
            <w:tcW w:w="1895" w:type="pct"/>
            <w:tcBorders>
              <w:top w:val="nil"/>
              <w:left w:val="single" w:sz="8" w:space="0" w:color="auto"/>
              <w:bottom w:val="single" w:sz="4" w:space="0" w:color="auto"/>
              <w:right w:val="single" w:sz="4" w:space="0" w:color="auto"/>
            </w:tcBorders>
            <w:shd w:val="clear" w:color="auto" w:fill="auto"/>
            <w:noWrap/>
            <w:vAlign w:val="bottom"/>
            <w:hideMark/>
          </w:tcPr>
          <w:p w14:paraId="51DE3BF2"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Open registries (Standard)</w:t>
            </w:r>
          </w:p>
        </w:tc>
        <w:tc>
          <w:tcPr>
            <w:tcW w:w="996" w:type="pct"/>
            <w:tcBorders>
              <w:top w:val="nil"/>
              <w:left w:val="nil"/>
              <w:bottom w:val="single" w:sz="4" w:space="0" w:color="auto"/>
              <w:right w:val="single" w:sz="4" w:space="0" w:color="auto"/>
            </w:tcBorders>
            <w:shd w:val="clear" w:color="auto" w:fill="auto"/>
            <w:noWrap/>
            <w:vAlign w:val="bottom"/>
            <w:hideMark/>
          </w:tcPr>
          <w:p w14:paraId="55AE870F"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2012 Round</w:t>
            </w:r>
          </w:p>
        </w:tc>
        <w:tc>
          <w:tcPr>
            <w:tcW w:w="2109" w:type="pct"/>
            <w:tcBorders>
              <w:top w:val="nil"/>
              <w:left w:val="nil"/>
              <w:bottom w:val="single" w:sz="4" w:space="0" w:color="auto"/>
              <w:right w:val="single" w:sz="8" w:space="0" w:color="auto"/>
            </w:tcBorders>
            <w:shd w:val="clear" w:color="auto" w:fill="auto"/>
            <w:noWrap/>
            <w:vAlign w:val="bottom"/>
            <w:hideMark/>
          </w:tcPr>
          <w:p w14:paraId="2380239E" w14:textId="434C62A6" w:rsidR="00375D6F" w:rsidRPr="00C553A4" w:rsidRDefault="00375D6F" w:rsidP="00005666">
            <w:pPr>
              <w:widowControl/>
              <w:jc w:val="left"/>
              <w:rPr>
                <w:rFonts w:ascii="Arial" w:eastAsia="Times New Roman" w:hAnsi="Arial" w:cs="Arial"/>
                <w:color w:val="000000"/>
                <w:kern w:val="0"/>
                <w:sz w:val="20"/>
                <w:szCs w:val="20"/>
              </w:rPr>
            </w:pPr>
          </w:p>
        </w:tc>
      </w:tr>
      <w:tr w:rsidR="00375D6F" w:rsidRPr="00C553A4" w14:paraId="3E5A6B3A" w14:textId="77777777" w:rsidTr="00005666">
        <w:trPr>
          <w:trHeight w:val="315"/>
        </w:trPr>
        <w:tc>
          <w:tcPr>
            <w:tcW w:w="1895" w:type="pct"/>
            <w:tcBorders>
              <w:top w:val="nil"/>
              <w:left w:val="single" w:sz="8" w:space="0" w:color="auto"/>
              <w:bottom w:val="single" w:sz="4" w:space="0" w:color="auto"/>
              <w:right w:val="single" w:sz="4" w:space="0" w:color="auto"/>
            </w:tcBorders>
            <w:shd w:val="clear" w:color="auto" w:fill="auto"/>
            <w:noWrap/>
            <w:vAlign w:val="bottom"/>
            <w:hideMark/>
          </w:tcPr>
          <w:p w14:paraId="74F7F3F5"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Geographic</w:t>
            </w:r>
          </w:p>
        </w:tc>
        <w:tc>
          <w:tcPr>
            <w:tcW w:w="996" w:type="pct"/>
            <w:tcBorders>
              <w:top w:val="nil"/>
              <w:left w:val="nil"/>
              <w:bottom w:val="single" w:sz="4" w:space="0" w:color="auto"/>
              <w:right w:val="single" w:sz="4" w:space="0" w:color="auto"/>
            </w:tcBorders>
            <w:shd w:val="clear" w:color="auto" w:fill="auto"/>
            <w:noWrap/>
            <w:vAlign w:val="bottom"/>
            <w:hideMark/>
          </w:tcPr>
          <w:p w14:paraId="6756EF38"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2012 Round</w:t>
            </w:r>
          </w:p>
        </w:tc>
        <w:tc>
          <w:tcPr>
            <w:tcW w:w="2109" w:type="pct"/>
            <w:tcBorders>
              <w:top w:val="nil"/>
              <w:left w:val="nil"/>
              <w:bottom w:val="single" w:sz="4" w:space="0" w:color="auto"/>
              <w:right w:val="single" w:sz="8" w:space="0" w:color="auto"/>
            </w:tcBorders>
            <w:shd w:val="clear" w:color="auto" w:fill="auto"/>
            <w:noWrap/>
            <w:vAlign w:val="bottom"/>
            <w:hideMark/>
          </w:tcPr>
          <w:p w14:paraId="0D2422DF" w14:textId="64715168" w:rsidR="00375D6F" w:rsidRPr="00C553A4" w:rsidRDefault="003F558C" w:rsidP="00005666">
            <w:pPr>
              <w:widowControl/>
              <w:jc w:val="left"/>
              <w:rPr>
                <w:rFonts w:ascii="Arial" w:eastAsia="Times New Roman" w:hAnsi="Arial" w:cs="Arial"/>
                <w:color w:val="000000"/>
                <w:kern w:val="0"/>
                <w:sz w:val="20"/>
                <w:szCs w:val="20"/>
              </w:rPr>
            </w:pPr>
            <w:r w:rsidRPr="006A1317">
              <w:rPr>
                <w:rFonts w:ascii="Arial" w:eastAsia="Times New Roman" w:hAnsi="Arial" w:cs="Arial"/>
                <w:color w:val="000000"/>
                <w:kern w:val="0"/>
                <w:sz w:val="20"/>
                <w:szCs w:val="20"/>
              </w:rPr>
              <w:t>There were no additional requirements for geographic names in the 2012 agreement. Should there be in the future? May be a question more appropriate for WT5?</w:t>
            </w:r>
          </w:p>
        </w:tc>
      </w:tr>
      <w:tr w:rsidR="00375D6F" w:rsidRPr="00C553A4" w14:paraId="5F960F6F" w14:textId="77777777" w:rsidTr="00005666">
        <w:trPr>
          <w:trHeight w:val="315"/>
        </w:trPr>
        <w:tc>
          <w:tcPr>
            <w:tcW w:w="1895" w:type="pct"/>
            <w:tcBorders>
              <w:top w:val="nil"/>
              <w:left w:val="single" w:sz="8" w:space="0" w:color="auto"/>
              <w:bottom w:val="single" w:sz="4" w:space="0" w:color="auto"/>
              <w:right w:val="single" w:sz="4" w:space="0" w:color="auto"/>
            </w:tcBorders>
            <w:shd w:val="clear" w:color="auto" w:fill="auto"/>
            <w:noWrap/>
            <w:vAlign w:val="bottom"/>
            <w:hideMark/>
          </w:tcPr>
          <w:p w14:paraId="2DD05BF9"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Brand (Specification 13)</w:t>
            </w:r>
          </w:p>
        </w:tc>
        <w:tc>
          <w:tcPr>
            <w:tcW w:w="996" w:type="pct"/>
            <w:tcBorders>
              <w:top w:val="nil"/>
              <w:left w:val="nil"/>
              <w:bottom w:val="single" w:sz="4" w:space="0" w:color="auto"/>
              <w:right w:val="single" w:sz="4" w:space="0" w:color="auto"/>
            </w:tcBorders>
            <w:shd w:val="clear" w:color="auto" w:fill="auto"/>
            <w:noWrap/>
            <w:vAlign w:val="bottom"/>
            <w:hideMark/>
          </w:tcPr>
          <w:p w14:paraId="2D65395F"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2012 Round</w:t>
            </w:r>
          </w:p>
        </w:tc>
        <w:tc>
          <w:tcPr>
            <w:tcW w:w="2109" w:type="pct"/>
            <w:tcBorders>
              <w:top w:val="nil"/>
              <w:left w:val="nil"/>
              <w:bottom w:val="single" w:sz="4" w:space="0" w:color="auto"/>
              <w:right w:val="single" w:sz="8" w:space="0" w:color="auto"/>
            </w:tcBorders>
            <w:shd w:val="clear" w:color="auto" w:fill="auto"/>
            <w:noWrap/>
            <w:vAlign w:val="bottom"/>
            <w:hideMark/>
          </w:tcPr>
          <w:p w14:paraId="1F56CA27" w14:textId="77777777" w:rsidR="00375D6F" w:rsidRPr="00C553A4" w:rsidRDefault="00375D6F" w:rsidP="00005666">
            <w:pPr>
              <w:widowControl/>
              <w:jc w:val="left"/>
              <w:rPr>
                <w:rFonts w:ascii="Arial" w:eastAsia="Times New Roman" w:hAnsi="Arial" w:cs="Arial"/>
                <w:color w:val="000000"/>
                <w:kern w:val="0"/>
                <w:sz w:val="20"/>
                <w:szCs w:val="20"/>
              </w:rPr>
            </w:pPr>
            <w:r w:rsidRPr="00C553A4">
              <w:rPr>
                <w:rFonts w:ascii="Arial" w:eastAsia="Times New Roman" w:hAnsi="Arial" w:cs="Arial"/>
                <w:color w:val="000000"/>
                <w:kern w:val="0"/>
                <w:sz w:val="20"/>
                <w:szCs w:val="20"/>
              </w:rPr>
              <w:t>How can Spec 13, related to .Brand registries, be clarified, or otherwise improved?</w:t>
            </w:r>
          </w:p>
        </w:tc>
      </w:tr>
      <w:tr w:rsidR="00375D6F" w:rsidRPr="00C553A4" w14:paraId="28D420D3" w14:textId="77777777" w:rsidTr="00005666">
        <w:trPr>
          <w:trHeight w:val="315"/>
        </w:trPr>
        <w:tc>
          <w:tcPr>
            <w:tcW w:w="1895" w:type="pct"/>
            <w:tcBorders>
              <w:top w:val="nil"/>
              <w:left w:val="single" w:sz="8" w:space="0" w:color="auto"/>
              <w:bottom w:val="single" w:sz="4" w:space="0" w:color="auto"/>
              <w:right w:val="single" w:sz="4" w:space="0" w:color="auto"/>
            </w:tcBorders>
            <w:shd w:val="clear" w:color="auto" w:fill="auto"/>
            <w:noWrap/>
            <w:vAlign w:val="bottom"/>
            <w:hideMark/>
          </w:tcPr>
          <w:p w14:paraId="1ADB0A4A"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Intergovernmental organizations</w:t>
            </w:r>
          </w:p>
        </w:tc>
        <w:tc>
          <w:tcPr>
            <w:tcW w:w="996" w:type="pct"/>
            <w:tcBorders>
              <w:top w:val="nil"/>
              <w:left w:val="nil"/>
              <w:bottom w:val="single" w:sz="4" w:space="0" w:color="auto"/>
              <w:right w:val="single" w:sz="4" w:space="0" w:color="auto"/>
            </w:tcBorders>
            <w:shd w:val="clear" w:color="auto" w:fill="auto"/>
            <w:noWrap/>
            <w:vAlign w:val="bottom"/>
            <w:hideMark/>
          </w:tcPr>
          <w:p w14:paraId="6026811D"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2012 Round</w:t>
            </w:r>
          </w:p>
        </w:tc>
        <w:tc>
          <w:tcPr>
            <w:tcW w:w="2109" w:type="pct"/>
            <w:tcBorders>
              <w:top w:val="nil"/>
              <w:left w:val="nil"/>
              <w:bottom w:val="single" w:sz="4" w:space="0" w:color="auto"/>
              <w:right w:val="single" w:sz="8" w:space="0" w:color="auto"/>
            </w:tcBorders>
            <w:shd w:val="clear" w:color="auto" w:fill="auto"/>
            <w:noWrap/>
            <w:vAlign w:val="bottom"/>
            <w:hideMark/>
          </w:tcPr>
          <w:p w14:paraId="40341345" w14:textId="1C280A89" w:rsidR="00375D6F" w:rsidRPr="00C553A4" w:rsidRDefault="00375D6F" w:rsidP="00005666">
            <w:pPr>
              <w:widowControl/>
              <w:jc w:val="left"/>
              <w:rPr>
                <w:rFonts w:ascii="Arial" w:eastAsia="Times New Roman" w:hAnsi="Arial" w:cs="Arial"/>
                <w:color w:val="000000"/>
                <w:kern w:val="0"/>
                <w:sz w:val="20"/>
                <w:szCs w:val="20"/>
              </w:rPr>
            </w:pPr>
          </w:p>
        </w:tc>
      </w:tr>
      <w:tr w:rsidR="00375D6F" w:rsidRPr="00C553A4" w14:paraId="10DE4805" w14:textId="77777777" w:rsidTr="00005666">
        <w:trPr>
          <w:trHeight w:val="315"/>
        </w:trPr>
        <w:tc>
          <w:tcPr>
            <w:tcW w:w="1895" w:type="pct"/>
            <w:tcBorders>
              <w:top w:val="nil"/>
              <w:left w:val="single" w:sz="8" w:space="0" w:color="auto"/>
              <w:bottom w:val="single" w:sz="4" w:space="0" w:color="auto"/>
              <w:right w:val="single" w:sz="4" w:space="0" w:color="auto"/>
            </w:tcBorders>
            <w:shd w:val="clear" w:color="auto" w:fill="auto"/>
            <w:noWrap/>
            <w:vAlign w:val="bottom"/>
            <w:hideMark/>
          </w:tcPr>
          <w:p w14:paraId="6CFC0190"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Community registry</w:t>
            </w:r>
          </w:p>
        </w:tc>
        <w:tc>
          <w:tcPr>
            <w:tcW w:w="996" w:type="pct"/>
            <w:tcBorders>
              <w:top w:val="nil"/>
              <w:left w:val="nil"/>
              <w:bottom w:val="single" w:sz="4" w:space="0" w:color="auto"/>
              <w:right w:val="single" w:sz="4" w:space="0" w:color="auto"/>
            </w:tcBorders>
            <w:shd w:val="clear" w:color="auto" w:fill="auto"/>
            <w:noWrap/>
            <w:vAlign w:val="bottom"/>
            <w:hideMark/>
          </w:tcPr>
          <w:p w14:paraId="1AD4D306"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2012 Round</w:t>
            </w:r>
          </w:p>
        </w:tc>
        <w:tc>
          <w:tcPr>
            <w:tcW w:w="2109" w:type="pct"/>
            <w:tcBorders>
              <w:top w:val="nil"/>
              <w:left w:val="nil"/>
              <w:bottom w:val="single" w:sz="4" w:space="0" w:color="auto"/>
              <w:right w:val="single" w:sz="8" w:space="0" w:color="auto"/>
            </w:tcBorders>
            <w:shd w:val="clear" w:color="auto" w:fill="auto"/>
            <w:noWrap/>
            <w:vAlign w:val="bottom"/>
            <w:hideMark/>
          </w:tcPr>
          <w:p w14:paraId="71B03B42" w14:textId="0912ADF2" w:rsidR="00375D6F" w:rsidRPr="00C553A4" w:rsidRDefault="003F558C" w:rsidP="00005666">
            <w:pPr>
              <w:widowControl/>
              <w:jc w:val="left"/>
              <w:rPr>
                <w:rFonts w:ascii="Arial" w:eastAsia="Times New Roman" w:hAnsi="Arial" w:cs="Arial"/>
                <w:color w:val="000000"/>
                <w:kern w:val="0"/>
                <w:sz w:val="20"/>
                <w:szCs w:val="20"/>
              </w:rPr>
            </w:pPr>
            <w:r w:rsidRPr="006A1317">
              <w:rPr>
                <w:rFonts w:ascii="Arial" w:eastAsia="Times New Roman" w:hAnsi="Arial" w:cs="Arial"/>
                <w:color w:val="000000"/>
                <w:kern w:val="0"/>
                <w:sz w:val="20"/>
                <w:szCs w:val="20"/>
              </w:rPr>
              <w:t>Community obligations captured in Spec 12 in 2012. Are any changes needed?</w:t>
            </w:r>
          </w:p>
        </w:tc>
      </w:tr>
      <w:tr w:rsidR="00375D6F" w:rsidRPr="00C553A4" w14:paraId="5108FFC0" w14:textId="77777777" w:rsidTr="00005666">
        <w:trPr>
          <w:trHeight w:val="315"/>
        </w:trPr>
        <w:tc>
          <w:tcPr>
            <w:tcW w:w="1895" w:type="pct"/>
            <w:tcBorders>
              <w:top w:val="nil"/>
              <w:left w:val="single" w:sz="8" w:space="0" w:color="auto"/>
              <w:bottom w:val="single" w:sz="4" w:space="0" w:color="auto"/>
              <w:right w:val="single" w:sz="4" w:space="0" w:color="auto"/>
            </w:tcBorders>
            <w:shd w:val="clear" w:color="auto" w:fill="auto"/>
            <w:noWrap/>
            <w:vAlign w:val="bottom"/>
            <w:hideMark/>
          </w:tcPr>
          <w:p w14:paraId="3A7D90CE"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Validated registry -- Restricted Registries with qualification criteria that must be verified</w:t>
            </w:r>
          </w:p>
        </w:tc>
        <w:tc>
          <w:tcPr>
            <w:tcW w:w="996" w:type="pct"/>
            <w:tcBorders>
              <w:top w:val="nil"/>
              <w:left w:val="nil"/>
              <w:bottom w:val="single" w:sz="4" w:space="0" w:color="auto"/>
              <w:right w:val="single" w:sz="4" w:space="0" w:color="auto"/>
            </w:tcBorders>
            <w:shd w:val="clear" w:color="auto" w:fill="auto"/>
            <w:noWrap/>
            <w:vAlign w:val="bottom"/>
            <w:hideMark/>
          </w:tcPr>
          <w:p w14:paraId="7E28F005"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Brainstorm</w:t>
            </w:r>
          </w:p>
        </w:tc>
        <w:tc>
          <w:tcPr>
            <w:tcW w:w="2109" w:type="pct"/>
            <w:tcBorders>
              <w:top w:val="nil"/>
              <w:left w:val="nil"/>
              <w:bottom w:val="single" w:sz="4" w:space="0" w:color="auto"/>
              <w:right w:val="single" w:sz="8" w:space="0" w:color="auto"/>
            </w:tcBorders>
            <w:shd w:val="clear" w:color="auto" w:fill="auto"/>
            <w:vAlign w:val="bottom"/>
            <w:hideMark/>
          </w:tcPr>
          <w:p w14:paraId="038CF112" w14:textId="6A4CF5DE" w:rsidR="00375D6F" w:rsidRPr="00C553A4" w:rsidRDefault="00375D6F" w:rsidP="00005666">
            <w:pPr>
              <w:widowControl/>
              <w:jc w:val="left"/>
              <w:rPr>
                <w:rFonts w:ascii="Arial" w:eastAsia="Times New Roman" w:hAnsi="Arial" w:cs="Arial"/>
                <w:kern w:val="0"/>
                <w:sz w:val="20"/>
                <w:szCs w:val="20"/>
              </w:rPr>
            </w:pPr>
          </w:p>
        </w:tc>
      </w:tr>
      <w:tr w:rsidR="00375D6F" w:rsidRPr="00C553A4" w14:paraId="0BB855B2" w14:textId="77777777" w:rsidTr="00005666">
        <w:trPr>
          <w:trHeight w:val="315"/>
        </w:trPr>
        <w:tc>
          <w:tcPr>
            <w:tcW w:w="1895" w:type="pct"/>
            <w:tcBorders>
              <w:top w:val="nil"/>
              <w:left w:val="single" w:sz="8" w:space="0" w:color="auto"/>
              <w:bottom w:val="single" w:sz="4" w:space="0" w:color="auto"/>
              <w:right w:val="single" w:sz="4" w:space="0" w:color="auto"/>
            </w:tcBorders>
            <w:shd w:val="clear" w:color="auto" w:fill="auto"/>
            <w:noWrap/>
            <w:vAlign w:val="bottom"/>
            <w:hideMark/>
          </w:tcPr>
          <w:p w14:paraId="61485C23"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Not-for-profit or non-profit gTLDs, NGOs</w:t>
            </w:r>
          </w:p>
        </w:tc>
        <w:tc>
          <w:tcPr>
            <w:tcW w:w="996" w:type="pct"/>
            <w:tcBorders>
              <w:top w:val="nil"/>
              <w:left w:val="nil"/>
              <w:bottom w:val="single" w:sz="4" w:space="0" w:color="auto"/>
              <w:right w:val="single" w:sz="4" w:space="0" w:color="auto"/>
            </w:tcBorders>
            <w:shd w:val="clear" w:color="auto" w:fill="auto"/>
            <w:noWrap/>
            <w:vAlign w:val="bottom"/>
            <w:hideMark/>
          </w:tcPr>
          <w:p w14:paraId="3003A06E"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Brainstorm</w:t>
            </w:r>
          </w:p>
        </w:tc>
        <w:tc>
          <w:tcPr>
            <w:tcW w:w="2109" w:type="pct"/>
            <w:tcBorders>
              <w:top w:val="nil"/>
              <w:left w:val="nil"/>
              <w:bottom w:val="single" w:sz="4" w:space="0" w:color="auto"/>
              <w:right w:val="single" w:sz="8" w:space="0" w:color="auto"/>
            </w:tcBorders>
            <w:shd w:val="clear" w:color="auto" w:fill="auto"/>
            <w:noWrap/>
            <w:vAlign w:val="bottom"/>
            <w:hideMark/>
          </w:tcPr>
          <w:p w14:paraId="162E5D27" w14:textId="258145DA" w:rsidR="00375D6F" w:rsidRPr="00C553A4" w:rsidRDefault="00375D6F" w:rsidP="00005666">
            <w:pPr>
              <w:widowControl/>
              <w:jc w:val="left"/>
              <w:rPr>
                <w:rFonts w:ascii="Arial" w:eastAsia="Times New Roman" w:hAnsi="Arial" w:cs="Arial"/>
                <w:color w:val="000000"/>
                <w:kern w:val="0"/>
                <w:sz w:val="20"/>
                <w:szCs w:val="20"/>
              </w:rPr>
            </w:pPr>
          </w:p>
        </w:tc>
      </w:tr>
      <w:tr w:rsidR="00375D6F" w:rsidRPr="00C553A4" w14:paraId="17CB9393" w14:textId="77777777" w:rsidTr="00005666">
        <w:trPr>
          <w:trHeight w:val="315"/>
        </w:trPr>
        <w:tc>
          <w:tcPr>
            <w:tcW w:w="1895" w:type="pct"/>
            <w:tcBorders>
              <w:top w:val="nil"/>
              <w:left w:val="single" w:sz="8" w:space="0" w:color="auto"/>
              <w:bottom w:val="single" w:sz="4" w:space="0" w:color="auto"/>
              <w:right w:val="single" w:sz="4" w:space="0" w:color="auto"/>
            </w:tcBorders>
            <w:shd w:val="clear" w:color="auto" w:fill="auto"/>
            <w:noWrap/>
            <w:vAlign w:val="bottom"/>
            <w:hideMark/>
          </w:tcPr>
          <w:p w14:paraId="39BC4DCE"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Highly regulated / Sensitive TLDs</w:t>
            </w:r>
          </w:p>
        </w:tc>
        <w:tc>
          <w:tcPr>
            <w:tcW w:w="996" w:type="pct"/>
            <w:tcBorders>
              <w:top w:val="nil"/>
              <w:left w:val="nil"/>
              <w:bottom w:val="single" w:sz="4" w:space="0" w:color="auto"/>
              <w:right w:val="single" w:sz="4" w:space="0" w:color="auto"/>
            </w:tcBorders>
            <w:shd w:val="clear" w:color="auto" w:fill="auto"/>
            <w:noWrap/>
            <w:vAlign w:val="bottom"/>
            <w:hideMark/>
          </w:tcPr>
          <w:p w14:paraId="08019DE6"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Brainstorm</w:t>
            </w:r>
          </w:p>
        </w:tc>
        <w:tc>
          <w:tcPr>
            <w:tcW w:w="2109" w:type="pct"/>
            <w:tcBorders>
              <w:top w:val="nil"/>
              <w:left w:val="nil"/>
              <w:bottom w:val="single" w:sz="4" w:space="0" w:color="auto"/>
              <w:right w:val="single" w:sz="8" w:space="0" w:color="auto"/>
            </w:tcBorders>
            <w:shd w:val="clear" w:color="auto" w:fill="auto"/>
            <w:noWrap/>
            <w:vAlign w:val="bottom"/>
            <w:hideMark/>
          </w:tcPr>
          <w:p w14:paraId="41132DA9" w14:textId="77777777" w:rsidR="00375D6F" w:rsidRPr="00C553A4" w:rsidRDefault="00375D6F" w:rsidP="00005666">
            <w:pPr>
              <w:widowControl/>
              <w:jc w:val="left"/>
              <w:rPr>
                <w:rFonts w:ascii="Arial" w:eastAsia="Times New Roman" w:hAnsi="Arial" w:cs="Arial"/>
                <w:color w:val="000000"/>
                <w:kern w:val="0"/>
                <w:sz w:val="20"/>
                <w:szCs w:val="20"/>
              </w:rPr>
            </w:pPr>
            <w:r w:rsidRPr="00C553A4">
              <w:rPr>
                <w:rFonts w:ascii="Arial" w:eastAsia="Times New Roman" w:hAnsi="Arial" w:cs="Arial"/>
                <w:color w:val="000000"/>
                <w:kern w:val="0"/>
                <w:sz w:val="20"/>
                <w:szCs w:val="20"/>
              </w:rPr>
              <w:t>Should there be additional contractual obligations for highly regulated TLDs?</w:t>
            </w:r>
          </w:p>
        </w:tc>
      </w:tr>
      <w:tr w:rsidR="00375D6F" w:rsidRPr="00C553A4" w14:paraId="11D7A93D" w14:textId="77777777" w:rsidTr="00005666">
        <w:trPr>
          <w:trHeight w:val="315"/>
        </w:trPr>
        <w:tc>
          <w:tcPr>
            <w:tcW w:w="1895" w:type="pct"/>
            <w:tcBorders>
              <w:top w:val="nil"/>
              <w:left w:val="single" w:sz="8" w:space="0" w:color="auto"/>
              <w:bottom w:val="single" w:sz="4" w:space="0" w:color="auto"/>
              <w:right w:val="single" w:sz="4" w:space="0" w:color="auto"/>
            </w:tcBorders>
            <w:shd w:val="clear" w:color="auto" w:fill="auto"/>
            <w:noWrap/>
            <w:vAlign w:val="bottom"/>
            <w:hideMark/>
          </w:tcPr>
          <w:p w14:paraId="77E92672"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Exclusive Use Registries? (Keyword Registry limited to one registrant &amp; affiliates)</w:t>
            </w:r>
          </w:p>
        </w:tc>
        <w:tc>
          <w:tcPr>
            <w:tcW w:w="996" w:type="pct"/>
            <w:tcBorders>
              <w:top w:val="nil"/>
              <w:left w:val="nil"/>
              <w:bottom w:val="single" w:sz="4" w:space="0" w:color="auto"/>
              <w:right w:val="single" w:sz="4" w:space="0" w:color="auto"/>
            </w:tcBorders>
            <w:shd w:val="clear" w:color="auto" w:fill="auto"/>
            <w:noWrap/>
            <w:vAlign w:val="bottom"/>
            <w:hideMark/>
          </w:tcPr>
          <w:p w14:paraId="4674DE85"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Added by Jeff Neuman</w:t>
            </w:r>
          </w:p>
        </w:tc>
        <w:tc>
          <w:tcPr>
            <w:tcW w:w="2109" w:type="pct"/>
            <w:tcBorders>
              <w:top w:val="nil"/>
              <w:left w:val="nil"/>
              <w:bottom w:val="single" w:sz="4" w:space="0" w:color="auto"/>
              <w:right w:val="single" w:sz="8" w:space="0" w:color="auto"/>
            </w:tcBorders>
            <w:shd w:val="clear" w:color="auto" w:fill="auto"/>
            <w:noWrap/>
            <w:vAlign w:val="bottom"/>
            <w:hideMark/>
          </w:tcPr>
          <w:p w14:paraId="0C897EF1" w14:textId="6B618DDD" w:rsidR="00375D6F" w:rsidRPr="00C553A4" w:rsidRDefault="00375D6F" w:rsidP="00005666">
            <w:pPr>
              <w:widowControl/>
              <w:jc w:val="left"/>
              <w:rPr>
                <w:rFonts w:ascii="Arial" w:eastAsia="Times New Roman" w:hAnsi="Arial" w:cs="Arial"/>
                <w:color w:val="000000"/>
                <w:kern w:val="0"/>
                <w:sz w:val="20"/>
                <w:szCs w:val="20"/>
              </w:rPr>
            </w:pPr>
          </w:p>
        </w:tc>
      </w:tr>
      <w:tr w:rsidR="00375D6F" w:rsidRPr="00C553A4" w14:paraId="4626DB14" w14:textId="77777777" w:rsidTr="00005666">
        <w:trPr>
          <w:trHeight w:val="315"/>
        </w:trPr>
        <w:tc>
          <w:tcPr>
            <w:tcW w:w="1895" w:type="pct"/>
            <w:tcBorders>
              <w:top w:val="nil"/>
              <w:left w:val="single" w:sz="8" w:space="0" w:color="auto"/>
              <w:bottom w:val="single" w:sz="4" w:space="0" w:color="auto"/>
              <w:right w:val="single" w:sz="4" w:space="0" w:color="auto"/>
            </w:tcBorders>
            <w:shd w:val="clear" w:color="auto" w:fill="auto"/>
            <w:noWrap/>
            <w:vAlign w:val="bottom"/>
            <w:hideMark/>
          </w:tcPr>
          <w:p w14:paraId="198439CB"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Closed Generics</w:t>
            </w:r>
          </w:p>
        </w:tc>
        <w:tc>
          <w:tcPr>
            <w:tcW w:w="996" w:type="pct"/>
            <w:tcBorders>
              <w:top w:val="nil"/>
              <w:left w:val="nil"/>
              <w:bottom w:val="single" w:sz="4" w:space="0" w:color="auto"/>
              <w:right w:val="single" w:sz="4" w:space="0" w:color="auto"/>
            </w:tcBorders>
            <w:shd w:val="clear" w:color="auto" w:fill="auto"/>
            <w:noWrap/>
            <w:vAlign w:val="bottom"/>
            <w:hideMark/>
          </w:tcPr>
          <w:p w14:paraId="00A9CFCE"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Added by Steve Chan</w:t>
            </w:r>
          </w:p>
        </w:tc>
        <w:tc>
          <w:tcPr>
            <w:tcW w:w="2109" w:type="pct"/>
            <w:tcBorders>
              <w:top w:val="nil"/>
              <w:left w:val="nil"/>
              <w:bottom w:val="single" w:sz="4" w:space="0" w:color="auto"/>
              <w:right w:val="single" w:sz="8" w:space="0" w:color="auto"/>
            </w:tcBorders>
            <w:shd w:val="clear" w:color="auto" w:fill="auto"/>
            <w:noWrap/>
            <w:vAlign w:val="bottom"/>
            <w:hideMark/>
          </w:tcPr>
          <w:p w14:paraId="0D95C803" w14:textId="6B47C14E" w:rsidR="00375D6F" w:rsidRPr="00C553A4" w:rsidRDefault="003F558C" w:rsidP="00005666">
            <w:pPr>
              <w:widowControl/>
              <w:jc w:val="left"/>
              <w:rPr>
                <w:rFonts w:ascii="Arial" w:eastAsia="Times New Roman" w:hAnsi="Arial" w:cs="Arial"/>
                <w:color w:val="000000"/>
                <w:kern w:val="0"/>
                <w:sz w:val="20"/>
                <w:szCs w:val="20"/>
              </w:rPr>
            </w:pPr>
            <w:r w:rsidRPr="006A1317">
              <w:rPr>
                <w:rFonts w:ascii="Arial" w:eastAsia="Times New Roman" w:hAnsi="Arial" w:cs="Arial"/>
                <w:kern w:val="0"/>
                <w:sz w:val="20"/>
                <w:szCs w:val="20"/>
              </w:rPr>
              <w:t>Deliberations likely need to conclude in Closed Generics first, but contractual provisions may be needed if closed generics are allowed.</w:t>
            </w:r>
          </w:p>
        </w:tc>
      </w:tr>
      <w:tr w:rsidR="00375D6F" w:rsidRPr="00C553A4" w14:paraId="7A1114D7" w14:textId="77777777" w:rsidTr="00005666">
        <w:trPr>
          <w:trHeight w:val="315"/>
        </w:trPr>
        <w:tc>
          <w:tcPr>
            <w:tcW w:w="1895" w:type="pct"/>
            <w:tcBorders>
              <w:top w:val="nil"/>
              <w:left w:val="single" w:sz="8" w:space="0" w:color="auto"/>
              <w:bottom w:val="single" w:sz="8" w:space="0" w:color="auto"/>
              <w:right w:val="single" w:sz="4" w:space="0" w:color="auto"/>
            </w:tcBorders>
            <w:shd w:val="clear" w:color="auto" w:fill="auto"/>
            <w:noWrap/>
            <w:vAlign w:val="bottom"/>
            <w:hideMark/>
          </w:tcPr>
          <w:p w14:paraId="5BAF7840"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Open TLD with minor domain charter registration challenges - eg: .name and .biz</w:t>
            </w:r>
          </w:p>
        </w:tc>
        <w:tc>
          <w:tcPr>
            <w:tcW w:w="996" w:type="pct"/>
            <w:tcBorders>
              <w:top w:val="nil"/>
              <w:left w:val="nil"/>
              <w:bottom w:val="single" w:sz="8" w:space="0" w:color="auto"/>
              <w:right w:val="single" w:sz="4" w:space="0" w:color="auto"/>
            </w:tcBorders>
            <w:shd w:val="clear" w:color="auto" w:fill="auto"/>
            <w:noWrap/>
            <w:vAlign w:val="bottom"/>
            <w:hideMark/>
          </w:tcPr>
          <w:p w14:paraId="75A519A5" w14:textId="77777777" w:rsidR="00375D6F" w:rsidRPr="00C553A4" w:rsidRDefault="00375D6F" w:rsidP="00005666">
            <w:pPr>
              <w:widowControl/>
              <w:jc w:val="left"/>
              <w:rPr>
                <w:rFonts w:ascii="Arial" w:eastAsia="Times New Roman" w:hAnsi="Arial" w:cs="Arial"/>
                <w:kern w:val="0"/>
                <w:sz w:val="20"/>
                <w:szCs w:val="20"/>
              </w:rPr>
            </w:pPr>
            <w:r w:rsidRPr="00C553A4">
              <w:rPr>
                <w:rFonts w:ascii="Arial" w:eastAsia="Times New Roman" w:hAnsi="Arial" w:cs="Arial"/>
                <w:kern w:val="0"/>
                <w:sz w:val="20"/>
                <w:szCs w:val="20"/>
              </w:rPr>
              <w:t>From Soumya Iyer</w:t>
            </w:r>
          </w:p>
        </w:tc>
        <w:tc>
          <w:tcPr>
            <w:tcW w:w="2109" w:type="pct"/>
            <w:tcBorders>
              <w:top w:val="nil"/>
              <w:left w:val="nil"/>
              <w:bottom w:val="single" w:sz="8" w:space="0" w:color="auto"/>
              <w:right w:val="single" w:sz="8" w:space="0" w:color="auto"/>
            </w:tcBorders>
            <w:shd w:val="clear" w:color="auto" w:fill="auto"/>
            <w:noWrap/>
            <w:vAlign w:val="bottom"/>
            <w:hideMark/>
          </w:tcPr>
          <w:p w14:paraId="59D5CC72" w14:textId="188C570A" w:rsidR="00375D6F" w:rsidRPr="00C553A4" w:rsidRDefault="00375D6F" w:rsidP="00005666">
            <w:pPr>
              <w:widowControl/>
              <w:jc w:val="left"/>
              <w:rPr>
                <w:rFonts w:ascii="Arial" w:eastAsia="Times New Roman" w:hAnsi="Arial" w:cs="Arial"/>
                <w:color w:val="000000"/>
                <w:kern w:val="0"/>
                <w:sz w:val="20"/>
                <w:szCs w:val="20"/>
              </w:rPr>
            </w:pPr>
          </w:p>
        </w:tc>
      </w:tr>
    </w:tbl>
    <w:p w14:paraId="46229EB8" w14:textId="77777777" w:rsidR="008B07E7" w:rsidRPr="00C553A4" w:rsidRDefault="008B07E7" w:rsidP="009849DD">
      <w:pPr>
        <w:rPr>
          <w:rFonts w:ascii="Arial" w:hAnsi="Arial"/>
          <w:color w:val="000000"/>
          <w:sz w:val="22"/>
          <w:szCs w:val="22"/>
        </w:rPr>
      </w:pPr>
    </w:p>
    <w:p w14:paraId="2C8BF391" w14:textId="78949762" w:rsidR="00975CE0" w:rsidRPr="00C553A4" w:rsidRDefault="00010929" w:rsidP="00005666">
      <w:pPr>
        <w:pStyle w:val="a3"/>
        <w:numPr>
          <w:ilvl w:val="0"/>
          <w:numId w:val="9"/>
        </w:numPr>
        <w:ind w:firstLineChars="0"/>
        <w:rPr>
          <w:rFonts w:ascii="Arial" w:hAnsi="Arial"/>
          <w:sz w:val="22"/>
          <w:szCs w:val="22"/>
        </w:rPr>
      </w:pPr>
      <w:r>
        <w:rPr>
          <w:rFonts w:ascii="Arial" w:hAnsi="Arial"/>
          <w:sz w:val="22"/>
          <w:szCs w:val="22"/>
        </w:rPr>
        <w:t xml:space="preserve">From the deliberations, it is difficult to address the questions whether </w:t>
      </w:r>
      <w:r w:rsidR="00777F94">
        <w:rPr>
          <w:rFonts w:ascii="Arial" w:hAnsi="Arial"/>
          <w:sz w:val="22"/>
          <w:szCs w:val="22"/>
        </w:rPr>
        <w:t>we should maintain the</w:t>
      </w:r>
      <w:r w:rsidR="00975CE0" w:rsidRPr="00C553A4">
        <w:rPr>
          <w:rFonts w:ascii="Arial" w:hAnsi="Arial"/>
          <w:sz w:val="22"/>
          <w:szCs w:val="22"/>
        </w:rPr>
        <w:t xml:space="preserve"> current restrictions however </w:t>
      </w:r>
      <w:r w:rsidR="00777F94">
        <w:rPr>
          <w:rFonts w:ascii="Arial" w:hAnsi="Arial"/>
          <w:sz w:val="22"/>
          <w:szCs w:val="22"/>
        </w:rPr>
        <w:t>pursue</w:t>
      </w:r>
      <w:r w:rsidR="00975CE0" w:rsidRPr="00C553A4">
        <w:rPr>
          <w:rFonts w:ascii="Arial" w:hAnsi="Arial"/>
          <w:sz w:val="22"/>
          <w:szCs w:val="22"/>
        </w:rPr>
        <w:t xml:space="preserve"> additional restrictions pertai</w:t>
      </w:r>
      <w:r>
        <w:rPr>
          <w:rFonts w:ascii="Arial" w:hAnsi="Arial"/>
          <w:sz w:val="22"/>
          <w:szCs w:val="22"/>
        </w:rPr>
        <w:t>ning to sunrise period, landrush</w:t>
      </w:r>
      <w:r w:rsidR="00975CE0" w:rsidRPr="00C553A4">
        <w:rPr>
          <w:rFonts w:ascii="Arial" w:hAnsi="Arial"/>
          <w:sz w:val="22"/>
          <w:szCs w:val="22"/>
        </w:rPr>
        <w:t xml:space="preserve"> or other registry activities</w:t>
      </w:r>
      <w:r w:rsidR="00777F94">
        <w:rPr>
          <w:rFonts w:ascii="Arial" w:hAnsi="Arial"/>
          <w:sz w:val="22"/>
          <w:szCs w:val="22"/>
        </w:rPr>
        <w:t>. Q</w:t>
      </w:r>
      <w:r>
        <w:rPr>
          <w:rFonts w:ascii="Arial" w:hAnsi="Arial"/>
          <w:sz w:val="22"/>
          <w:szCs w:val="22"/>
        </w:rPr>
        <w:t>uestions and suggestions raised by the group need to be discussed further</w:t>
      </w:r>
      <w:r w:rsidR="00777F94">
        <w:rPr>
          <w:rFonts w:ascii="Arial" w:hAnsi="Arial"/>
          <w:sz w:val="22"/>
          <w:szCs w:val="22"/>
        </w:rPr>
        <w:t xml:space="preserve">, </w:t>
      </w:r>
      <w:r w:rsidR="00975CE0" w:rsidRPr="00C553A4">
        <w:rPr>
          <w:rFonts w:ascii="Arial" w:hAnsi="Arial"/>
          <w:sz w:val="22"/>
          <w:szCs w:val="22"/>
        </w:rPr>
        <w:t>for example:</w:t>
      </w:r>
    </w:p>
    <w:p w14:paraId="40F35A7E" w14:textId="7A07F17E" w:rsidR="00777316" w:rsidRPr="00C553A4" w:rsidRDefault="00375D6F" w:rsidP="009849DD">
      <w:pPr>
        <w:pStyle w:val="a3"/>
        <w:numPr>
          <w:ilvl w:val="0"/>
          <w:numId w:val="2"/>
        </w:numPr>
        <w:ind w:firstLineChars="0"/>
        <w:rPr>
          <w:rFonts w:ascii="Arial" w:hAnsi="Arial"/>
          <w:sz w:val="22"/>
          <w:szCs w:val="22"/>
        </w:rPr>
      </w:pPr>
      <w:r w:rsidRPr="00C553A4">
        <w:rPr>
          <w:rFonts w:ascii="Arial" w:hAnsi="Arial"/>
          <w:sz w:val="22"/>
          <w:szCs w:val="22"/>
        </w:rPr>
        <w:t>H</w:t>
      </w:r>
      <w:r w:rsidR="00777316" w:rsidRPr="00C553A4">
        <w:rPr>
          <w:rFonts w:ascii="Arial" w:hAnsi="Arial"/>
          <w:sz w:val="22"/>
          <w:szCs w:val="22"/>
        </w:rPr>
        <w:t>ow holders of TMCH recorded marks might be given first refusal where the name is relea</w:t>
      </w:r>
      <w:bookmarkStart w:id="0" w:name="_GoBack"/>
      <w:bookmarkEnd w:id="0"/>
      <w:r w:rsidR="00777316" w:rsidRPr="00C553A4">
        <w:rPr>
          <w:rFonts w:ascii="Arial" w:hAnsi="Arial"/>
          <w:sz w:val="22"/>
          <w:szCs w:val="22"/>
        </w:rPr>
        <w:t>sed from reservation</w:t>
      </w:r>
    </w:p>
    <w:p w14:paraId="06F1311A" w14:textId="12208DA3" w:rsidR="0011576C" w:rsidRPr="00C553A4" w:rsidRDefault="00975CE0" w:rsidP="009849DD">
      <w:pPr>
        <w:pStyle w:val="a3"/>
        <w:numPr>
          <w:ilvl w:val="0"/>
          <w:numId w:val="2"/>
        </w:numPr>
        <w:ind w:firstLineChars="0"/>
        <w:rPr>
          <w:rFonts w:ascii="Arial" w:hAnsi="Arial"/>
          <w:sz w:val="22"/>
          <w:szCs w:val="22"/>
        </w:rPr>
      </w:pPr>
      <w:r w:rsidRPr="00C553A4">
        <w:rPr>
          <w:rFonts w:ascii="Arial" w:hAnsi="Arial"/>
          <w:sz w:val="22"/>
          <w:szCs w:val="22"/>
        </w:rPr>
        <w:t xml:space="preserve">Predatory pricing can be dealt with more explicit fraud provisions in PICs </w:t>
      </w:r>
    </w:p>
    <w:p w14:paraId="05E65174" w14:textId="77777777" w:rsidR="009B0326" w:rsidRPr="00C553A4" w:rsidRDefault="009B0326" w:rsidP="009849DD">
      <w:pPr>
        <w:pStyle w:val="a3"/>
        <w:ind w:left="720" w:firstLineChars="0" w:firstLine="0"/>
        <w:rPr>
          <w:rFonts w:ascii="Arial" w:hAnsi="Arial"/>
          <w:sz w:val="22"/>
          <w:szCs w:val="22"/>
        </w:rPr>
      </w:pPr>
    </w:p>
    <w:p w14:paraId="2082888D" w14:textId="25D48672" w:rsidR="003F13B2" w:rsidRPr="00010929" w:rsidRDefault="00010929" w:rsidP="009849D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2"/>
          <w:szCs w:val="22"/>
        </w:rPr>
      </w:pPr>
      <w:r>
        <w:rPr>
          <w:rFonts w:ascii="Arial" w:hAnsi="Arial"/>
          <w:sz w:val="22"/>
          <w:szCs w:val="22"/>
        </w:rPr>
        <w:t xml:space="preserve">3. From the deliberations, </w:t>
      </w:r>
      <w:r w:rsidR="000D00E2">
        <w:rPr>
          <w:rFonts w:ascii="Arial" w:hAnsi="Arial"/>
          <w:sz w:val="22"/>
          <w:szCs w:val="22"/>
        </w:rPr>
        <w:t xml:space="preserve">there appears to be no consensus built around the </w:t>
      </w:r>
      <w:r w:rsidR="0011576C" w:rsidRPr="00010929">
        <w:rPr>
          <w:rFonts w:ascii="Arial" w:hAnsi="Arial"/>
          <w:sz w:val="22"/>
          <w:szCs w:val="22"/>
        </w:rPr>
        <w:t>additional</w:t>
      </w:r>
      <w:r w:rsidR="003F13B2" w:rsidRPr="00010929">
        <w:rPr>
          <w:rFonts w:ascii="Arial" w:hAnsi="Arial"/>
          <w:sz w:val="22"/>
          <w:szCs w:val="22"/>
        </w:rPr>
        <w:t xml:space="preserve"> questions needs to be addressed from the issue report:</w:t>
      </w:r>
    </w:p>
    <w:p w14:paraId="5CDDBD58" w14:textId="7931C038" w:rsidR="00195E82" w:rsidRDefault="00195E82" w:rsidP="009849DD">
      <w:pPr>
        <w:rPr>
          <w:rFonts w:ascii="Arial" w:hAnsi="Arial"/>
          <w:sz w:val="22"/>
          <w:szCs w:val="22"/>
        </w:rPr>
      </w:pPr>
      <w:r>
        <w:rPr>
          <w:rFonts w:ascii="Arial" w:hAnsi="Arial" w:hint="eastAsia"/>
          <w:sz w:val="22"/>
          <w:szCs w:val="22"/>
        </w:rPr>
        <w:t xml:space="preserve">   </w:t>
      </w:r>
      <w:r w:rsidR="000D00E2" w:rsidRPr="00195E82">
        <w:rPr>
          <w:rFonts w:ascii="Arial" w:hAnsi="Arial"/>
          <w:sz w:val="22"/>
          <w:szCs w:val="22"/>
        </w:rPr>
        <w:t xml:space="preserve">- </w:t>
      </w:r>
      <w:r>
        <w:rPr>
          <w:rFonts w:ascii="Arial" w:hAnsi="Arial" w:hint="eastAsia"/>
          <w:sz w:val="22"/>
          <w:szCs w:val="22"/>
        </w:rPr>
        <w:t xml:space="preserve">  </w:t>
      </w:r>
      <w:r w:rsidR="003F13B2" w:rsidRPr="00195E82">
        <w:rPr>
          <w:rFonts w:ascii="Arial" w:hAnsi="Arial"/>
          <w:sz w:val="22"/>
          <w:szCs w:val="22"/>
        </w:rPr>
        <w:t>Should the base agreement be available in different languages?</w:t>
      </w:r>
    </w:p>
    <w:p w14:paraId="75AD9339" w14:textId="77777777" w:rsidR="00195E82" w:rsidRDefault="003F13B2" w:rsidP="009849DD">
      <w:pPr>
        <w:pStyle w:val="a3"/>
        <w:numPr>
          <w:ilvl w:val="0"/>
          <w:numId w:val="2"/>
        </w:numPr>
        <w:ind w:firstLineChars="0"/>
        <w:rPr>
          <w:rFonts w:ascii="Arial" w:hAnsi="Arial"/>
          <w:sz w:val="22"/>
          <w:szCs w:val="22"/>
        </w:rPr>
      </w:pPr>
      <w:r w:rsidRPr="00195E82">
        <w:rPr>
          <w:rFonts w:ascii="Arial" w:hAnsi="Arial"/>
          <w:sz w:val="22"/>
          <w:szCs w:val="22"/>
        </w:rPr>
        <w:t xml:space="preserve">Should rules, definitions, and requirements be established around the selling and maintenance of premium names? </w:t>
      </w:r>
      <w:r w:rsidR="00375D6F" w:rsidRPr="00195E82">
        <w:rPr>
          <w:rFonts w:ascii="Arial" w:hAnsi="Arial"/>
          <w:sz w:val="22"/>
          <w:szCs w:val="22"/>
        </w:rPr>
        <w:tab/>
      </w:r>
    </w:p>
    <w:p w14:paraId="2B3687DB" w14:textId="699EA9B0" w:rsidR="001A177B" w:rsidRPr="006A1317" w:rsidRDefault="003F13B2" w:rsidP="009849DD">
      <w:pPr>
        <w:pStyle w:val="a3"/>
        <w:numPr>
          <w:ilvl w:val="0"/>
          <w:numId w:val="2"/>
        </w:numPr>
        <w:ind w:firstLineChars="0"/>
        <w:rPr>
          <w:rFonts w:ascii="Arial" w:hAnsi="Arial"/>
          <w:sz w:val="22"/>
          <w:szCs w:val="22"/>
        </w:rPr>
      </w:pPr>
      <w:r w:rsidRPr="00195E82">
        <w:rPr>
          <w:rFonts w:ascii="Arial" w:hAnsi="Arial"/>
          <w:sz w:val="22"/>
          <w:szCs w:val="22"/>
        </w:rPr>
        <w:t>Should there be rules and restrictions around registry pricing, particularly around premium names?</w:t>
      </w:r>
    </w:p>
    <w:sectPr w:rsidR="001A177B" w:rsidRPr="006A1317" w:rsidSect="00A31272">
      <w:pgSz w:w="11900" w:h="16840"/>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8DF554" w15:done="0"/>
  <w15:commentEx w15:paraId="5ABABD8F" w15:done="0"/>
  <w15:commentEx w15:paraId="596F5F8E" w15:done="0"/>
  <w15:commentEx w15:paraId="2F4866F1" w15:done="0"/>
  <w15:commentEx w15:paraId="566C69F2" w15:done="0"/>
  <w15:commentEx w15:paraId="779F394B" w15:done="0"/>
  <w15:commentEx w15:paraId="75F8FA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Heiti SC Light">
    <w:panose1 w:val="02000000000000000000"/>
    <w:charset w:val="50"/>
    <w:family w:val="auto"/>
    <w:pitch w:val="variable"/>
    <w:sig w:usb0="8000002F" w:usb1="080E004A" w:usb2="00000010" w:usb3="00000000" w:csb0="003E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10B2"/>
    <w:multiLevelType w:val="hybridMultilevel"/>
    <w:tmpl w:val="684CAC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3DC1A47"/>
    <w:multiLevelType w:val="hybridMultilevel"/>
    <w:tmpl w:val="F7F64E60"/>
    <w:lvl w:ilvl="0" w:tplc="22D4938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16CF2AE5"/>
    <w:multiLevelType w:val="hybridMultilevel"/>
    <w:tmpl w:val="5AE44428"/>
    <w:lvl w:ilvl="0" w:tplc="07DA9CF8">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2848082E"/>
    <w:multiLevelType w:val="hybridMultilevel"/>
    <w:tmpl w:val="BE42896E"/>
    <w:lvl w:ilvl="0" w:tplc="15B63ACA">
      <w:start w:val="1"/>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3481555"/>
    <w:multiLevelType w:val="hybridMultilevel"/>
    <w:tmpl w:val="186647D0"/>
    <w:lvl w:ilvl="0" w:tplc="747657C8">
      <w:start w:val="2"/>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3FDD5143"/>
    <w:multiLevelType w:val="multilevel"/>
    <w:tmpl w:val="186647D0"/>
    <w:lvl w:ilvl="0">
      <w:start w:val="2"/>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475C5917"/>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532C18E0"/>
    <w:multiLevelType w:val="hybridMultilevel"/>
    <w:tmpl w:val="E7B48102"/>
    <w:lvl w:ilvl="0" w:tplc="434E8AB0">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nsid w:val="64AC612D"/>
    <w:multiLevelType w:val="hybridMultilevel"/>
    <w:tmpl w:val="96085D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D5768D5"/>
    <w:multiLevelType w:val="hybridMultilevel"/>
    <w:tmpl w:val="F71806A6"/>
    <w:lvl w:ilvl="0" w:tplc="747657C8">
      <w:start w:val="2"/>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7"/>
  </w:num>
  <w:num w:numId="3">
    <w:abstractNumId w:val="9"/>
  </w:num>
  <w:num w:numId="4">
    <w:abstractNumId w:val="1"/>
  </w:num>
  <w:num w:numId="5">
    <w:abstractNumId w:val="3"/>
  </w:num>
  <w:num w:numId="6">
    <w:abstractNumId w:val="8"/>
  </w:num>
  <w:num w:numId="7">
    <w:abstractNumId w:val="0"/>
  </w:num>
  <w:num w:numId="8">
    <w:abstractNumId w:val="4"/>
  </w:num>
  <w:num w:numId="9">
    <w:abstractNumId w:val="6"/>
  </w:num>
  <w:num w:numId="10">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Barabas">
    <w15:presenceInfo w15:providerId="None" w15:userId="Emily Barabas"/>
  </w15:person>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7B"/>
    <w:rsid w:val="00005666"/>
    <w:rsid w:val="00006929"/>
    <w:rsid w:val="00010929"/>
    <w:rsid w:val="00012E5D"/>
    <w:rsid w:val="000D00E2"/>
    <w:rsid w:val="0011576C"/>
    <w:rsid w:val="00195E82"/>
    <w:rsid w:val="001A00B3"/>
    <w:rsid w:val="001A177B"/>
    <w:rsid w:val="001D33DD"/>
    <w:rsid w:val="001E2D87"/>
    <w:rsid w:val="002230F8"/>
    <w:rsid w:val="002B4707"/>
    <w:rsid w:val="00375D6F"/>
    <w:rsid w:val="00392328"/>
    <w:rsid w:val="003C033B"/>
    <w:rsid w:val="003D567E"/>
    <w:rsid w:val="003F0D26"/>
    <w:rsid w:val="003F13B2"/>
    <w:rsid w:val="003F558C"/>
    <w:rsid w:val="00420AEB"/>
    <w:rsid w:val="004712C1"/>
    <w:rsid w:val="00572596"/>
    <w:rsid w:val="005F2100"/>
    <w:rsid w:val="006A0C7B"/>
    <w:rsid w:val="006A1317"/>
    <w:rsid w:val="006D3C8E"/>
    <w:rsid w:val="00770B79"/>
    <w:rsid w:val="00777316"/>
    <w:rsid w:val="00777F94"/>
    <w:rsid w:val="007B4E88"/>
    <w:rsid w:val="007C1865"/>
    <w:rsid w:val="0081403C"/>
    <w:rsid w:val="008670FD"/>
    <w:rsid w:val="008B015A"/>
    <w:rsid w:val="008B07E7"/>
    <w:rsid w:val="008D097F"/>
    <w:rsid w:val="008D3ABB"/>
    <w:rsid w:val="00945D34"/>
    <w:rsid w:val="00953054"/>
    <w:rsid w:val="00975CE0"/>
    <w:rsid w:val="009849DD"/>
    <w:rsid w:val="00990024"/>
    <w:rsid w:val="009B0326"/>
    <w:rsid w:val="009B66B9"/>
    <w:rsid w:val="00A31272"/>
    <w:rsid w:val="00A4410B"/>
    <w:rsid w:val="00A51EBF"/>
    <w:rsid w:val="00A93DB7"/>
    <w:rsid w:val="00AB5B9B"/>
    <w:rsid w:val="00AF2253"/>
    <w:rsid w:val="00B431BF"/>
    <w:rsid w:val="00B950BC"/>
    <w:rsid w:val="00B97B49"/>
    <w:rsid w:val="00BA7997"/>
    <w:rsid w:val="00C223A9"/>
    <w:rsid w:val="00C553A4"/>
    <w:rsid w:val="00CC2934"/>
    <w:rsid w:val="00CE07D4"/>
    <w:rsid w:val="00D378B1"/>
    <w:rsid w:val="00DC7554"/>
    <w:rsid w:val="00EF1D6F"/>
    <w:rsid w:val="00F57003"/>
    <w:rsid w:val="00F90011"/>
    <w:rsid w:val="00FB5A73"/>
    <w:rsid w:val="00FD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FB16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77B"/>
    <w:pPr>
      <w:ind w:firstLineChars="200" w:firstLine="420"/>
    </w:pPr>
  </w:style>
  <w:style w:type="character" w:styleId="a4">
    <w:name w:val="annotation reference"/>
    <w:basedOn w:val="a0"/>
    <w:uiPriority w:val="99"/>
    <w:semiHidden/>
    <w:unhideWhenUsed/>
    <w:rsid w:val="003F13B2"/>
    <w:rPr>
      <w:sz w:val="21"/>
      <w:szCs w:val="21"/>
    </w:rPr>
  </w:style>
  <w:style w:type="paragraph" w:styleId="a5">
    <w:name w:val="annotation text"/>
    <w:basedOn w:val="a"/>
    <w:link w:val="a6"/>
    <w:uiPriority w:val="99"/>
    <w:semiHidden/>
    <w:unhideWhenUsed/>
    <w:rsid w:val="003F13B2"/>
    <w:pPr>
      <w:jc w:val="left"/>
    </w:pPr>
  </w:style>
  <w:style w:type="character" w:customStyle="1" w:styleId="a6">
    <w:name w:val="注释文本字符"/>
    <w:basedOn w:val="a0"/>
    <w:link w:val="a5"/>
    <w:uiPriority w:val="99"/>
    <w:semiHidden/>
    <w:rsid w:val="003F13B2"/>
  </w:style>
  <w:style w:type="paragraph" w:styleId="a7">
    <w:name w:val="annotation subject"/>
    <w:basedOn w:val="a5"/>
    <w:next w:val="a5"/>
    <w:link w:val="a8"/>
    <w:uiPriority w:val="99"/>
    <w:semiHidden/>
    <w:unhideWhenUsed/>
    <w:rsid w:val="003F13B2"/>
    <w:rPr>
      <w:b/>
      <w:bCs/>
    </w:rPr>
  </w:style>
  <w:style w:type="character" w:customStyle="1" w:styleId="a8">
    <w:name w:val="批注主题字符"/>
    <w:basedOn w:val="a6"/>
    <w:link w:val="a7"/>
    <w:uiPriority w:val="99"/>
    <w:semiHidden/>
    <w:rsid w:val="003F13B2"/>
    <w:rPr>
      <w:b/>
      <w:bCs/>
    </w:rPr>
  </w:style>
  <w:style w:type="paragraph" w:styleId="a9">
    <w:name w:val="Balloon Text"/>
    <w:basedOn w:val="a"/>
    <w:link w:val="aa"/>
    <w:uiPriority w:val="99"/>
    <w:semiHidden/>
    <w:unhideWhenUsed/>
    <w:rsid w:val="003F13B2"/>
    <w:rPr>
      <w:rFonts w:ascii="Heiti SC Light" w:eastAsia="Heiti SC Light"/>
      <w:sz w:val="18"/>
      <w:szCs w:val="18"/>
    </w:rPr>
  </w:style>
  <w:style w:type="character" w:customStyle="1" w:styleId="aa">
    <w:name w:val="批注框文本字符"/>
    <w:basedOn w:val="a0"/>
    <w:link w:val="a9"/>
    <w:uiPriority w:val="99"/>
    <w:semiHidden/>
    <w:rsid w:val="003F13B2"/>
    <w:rPr>
      <w:rFonts w:ascii="Heiti SC Light" w:eastAsia="Heiti SC Light"/>
      <w:sz w:val="18"/>
      <w:szCs w:val="18"/>
    </w:rPr>
  </w:style>
  <w:style w:type="paragraph" w:customStyle="1" w:styleId="Normal1">
    <w:name w:val="Normal1"/>
    <w:rsid w:val="00C553A4"/>
    <w:pPr>
      <w:pBdr>
        <w:top w:val="nil"/>
        <w:left w:val="nil"/>
        <w:bottom w:val="nil"/>
        <w:right w:val="nil"/>
        <w:between w:val="nil"/>
      </w:pBdr>
      <w:spacing w:line="276" w:lineRule="auto"/>
    </w:pPr>
    <w:rPr>
      <w:rFonts w:ascii="Arial" w:hAnsi="Arial" w:cs="Arial"/>
      <w:color w:val="000000"/>
      <w:kern w:val="0"/>
      <w:sz w:val="22"/>
      <w:szCs w:val="22"/>
      <w:lang w:val="e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77B"/>
    <w:pPr>
      <w:ind w:firstLineChars="200" w:firstLine="420"/>
    </w:pPr>
  </w:style>
  <w:style w:type="character" w:styleId="a4">
    <w:name w:val="annotation reference"/>
    <w:basedOn w:val="a0"/>
    <w:uiPriority w:val="99"/>
    <w:semiHidden/>
    <w:unhideWhenUsed/>
    <w:rsid w:val="003F13B2"/>
    <w:rPr>
      <w:sz w:val="21"/>
      <w:szCs w:val="21"/>
    </w:rPr>
  </w:style>
  <w:style w:type="paragraph" w:styleId="a5">
    <w:name w:val="annotation text"/>
    <w:basedOn w:val="a"/>
    <w:link w:val="a6"/>
    <w:uiPriority w:val="99"/>
    <w:semiHidden/>
    <w:unhideWhenUsed/>
    <w:rsid w:val="003F13B2"/>
    <w:pPr>
      <w:jc w:val="left"/>
    </w:pPr>
  </w:style>
  <w:style w:type="character" w:customStyle="1" w:styleId="a6">
    <w:name w:val="注释文本字符"/>
    <w:basedOn w:val="a0"/>
    <w:link w:val="a5"/>
    <w:uiPriority w:val="99"/>
    <w:semiHidden/>
    <w:rsid w:val="003F13B2"/>
  </w:style>
  <w:style w:type="paragraph" w:styleId="a7">
    <w:name w:val="annotation subject"/>
    <w:basedOn w:val="a5"/>
    <w:next w:val="a5"/>
    <w:link w:val="a8"/>
    <w:uiPriority w:val="99"/>
    <w:semiHidden/>
    <w:unhideWhenUsed/>
    <w:rsid w:val="003F13B2"/>
    <w:rPr>
      <w:b/>
      <w:bCs/>
    </w:rPr>
  </w:style>
  <w:style w:type="character" w:customStyle="1" w:styleId="a8">
    <w:name w:val="批注主题字符"/>
    <w:basedOn w:val="a6"/>
    <w:link w:val="a7"/>
    <w:uiPriority w:val="99"/>
    <w:semiHidden/>
    <w:rsid w:val="003F13B2"/>
    <w:rPr>
      <w:b/>
      <w:bCs/>
    </w:rPr>
  </w:style>
  <w:style w:type="paragraph" w:styleId="a9">
    <w:name w:val="Balloon Text"/>
    <w:basedOn w:val="a"/>
    <w:link w:val="aa"/>
    <w:uiPriority w:val="99"/>
    <w:semiHidden/>
    <w:unhideWhenUsed/>
    <w:rsid w:val="003F13B2"/>
    <w:rPr>
      <w:rFonts w:ascii="Heiti SC Light" w:eastAsia="Heiti SC Light"/>
      <w:sz w:val="18"/>
      <w:szCs w:val="18"/>
    </w:rPr>
  </w:style>
  <w:style w:type="character" w:customStyle="1" w:styleId="aa">
    <w:name w:val="批注框文本字符"/>
    <w:basedOn w:val="a0"/>
    <w:link w:val="a9"/>
    <w:uiPriority w:val="99"/>
    <w:semiHidden/>
    <w:rsid w:val="003F13B2"/>
    <w:rPr>
      <w:rFonts w:ascii="Heiti SC Light" w:eastAsia="Heiti SC Light"/>
      <w:sz w:val="18"/>
      <w:szCs w:val="18"/>
    </w:rPr>
  </w:style>
  <w:style w:type="paragraph" w:customStyle="1" w:styleId="Normal1">
    <w:name w:val="Normal1"/>
    <w:rsid w:val="00C553A4"/>
    <w:pPr>
      <w:pBdr>
        <w:top w:val="nil"/>
        <w:left w:val="nil"/>
        <w:bottom w:val="nil"/>
        <w:right w:val="nil"/>
        <w:between w:val="nil"/>
      </w:pBdr>
      <w:spacing w:line="276" w:lineRule="auto"/>
    </w:pPr>
    <w:rPr>
      <w:rFonts w:ascii="Arial" w:hAnsi="Arial" w:cs="Arial"/>
      <w:color w:val="000000"/>
      <w:kern w:val="0"/>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23372">
      <w:bodyDiv w:val="1"/>
      <w:marLeft w:val="0"/>
      <w:marRight w:val="0"/>
      <w:marTop w:val="0"/>
      <w:marBottom w:val="0"/>
      <w:divBdr>
        <w:top w:val="none" w:sz="0" w:space="0" w:color="auto"/>
        <w:left w:val="none" w:sz="0" w:space="0" w:color="auto"/>
        <w:bottom w:val="none" w:sz="0" w:space="0" w:color="auto"/>
        <w:right w:val="none" w:sz="0" w:space="0" w:color="auto"/>
      </w:divBdr>
    </w:div>
    <w:div w:id="694308859">
      <w:bodyDiv w:val="1"/>
      <w:marLeft w:val="0"/>
      <w:marRight w:val="0"/>
      <w:marTop w:val="0"/>
      <w:marBottom w:val="0"/>
      <w:divBdr>
        <w:top w:val="none" w:sz="0" w:space="0" w:color="auto"/>
        <w:left w:val="none" w:sz="0" w:space="0" w:color="auto"/>
        <w:bottom w:val="none" w:sz="0" w:space="0" w:color="auto"/>
        <w:right w:val="none" w:sz="0" w:space="0" w:color="auto"/>
      </w:divBdr>
    </w:div>
    <w:div w:id="2101246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EB37C0-FA8B-1849-8174-2CF3F94F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3960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ZDNS</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Feng</dc:creator>
  <cp:keywords/>
  <dc:description/>
  <cp:lastModifiedBy>Sophia Feng</cp:lastModifiedBy>
  <cp:revision>2</cp:revision>
  <dcterms:created xsi:type="dcterms:W3CDTF">2017-12-21T06:53:00Z</dcterms:created>
  <dcterms:modified xsi:type="dcterms:W3CDTF">2017-12-21T06:53:00Z</dcterms:modified>
</cp:coreProperties>
</file>