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6271B" w14:textId="77777777" w:rsidR="00AF7194" w:rsidRDefault="00AF7194"/>
    <w:p w14:paraId="4D770B54" w14:textId="77777777" w:rsidR="00E60C95" w:rsidRDefault="00E60C95"/>
    <w:p w14:paraId="6AFA6B28" w14:textId="77777777" w:rsidR="00E60C95" w:rsidRDefault="00E60C95"/>
    <w:p w14:paraId="23EDCEFA" w14:textId="05A4B8EC" w:rsidR="00E60C95" w:rsidRPr="005B1972" w:rsidRDefault="00E60C95" w:rsidP="005B1972">
      <w:pPr>
        <w:jc w:val="center"/>
        <w:rPr>
          <w:b/>
        </w:rPr>
      </w:pPr>
      <w:r w:rsidRPr="005B1972">
        <w:rPr>
          <w:b/>
        </w:rPr>
        <w:t>Reading List in Preparation for Meeting with Patrik Fältström</w:t>
      </w:r>
      <w:r w:rsidR="00EA135D">
        <w:rPr>
          <w:b/>
        </w:rPr>
        <w:t>, SSAC Chair</w:t>
      </w:r>
    </w:p>
    <w:p w14:paraId="752A0098" w14:textId="3CC1E489" w:rsidR="00E60C95" w:rsidRPr="005B1972" w:rsidRDefault="00EA135D" w:rsidP="005B1972">
      <w:pPr>
        <w:jc w:val="center"/>
        <w:rPr>
          <w:b/>
        </w:rPr>
      </w:pPr>
      <w:r>
        <w:rPr>
          <w:b/>
        </w:rPr>
        <w:t xml:space="preserve">At the </w:t>
      </w:r>
      <w:r w:rsidR="00E60C95" w:rsidRPr="005B1972">
        <w:rPr>
          <w:b/>
        </w:rPr>
        <w:t>Work Track 4</w:t>
      </w:r>
      <w:r>
        <w:rPr>
          <w:b/>
        </w:rPr>
        <w:t xml:space="preserve"> Sub Team</w:t>
      </w:r>
      <w:r w:rsidR="00E60C95" w:rsidRPr="005B1972">
        <w:rPr>
          <w:b/>
        </w:rPr>
        <w:t xml:space="preserve"> Meeting</w:t>
      </w:r>
    </w:p>
    <w:p w14:paraId="6765B4C3" w14:textId="77777777" w:rsidR="00E60C95" w:rsidRPr="005B1972" w:rsidRDefault="00E60C95" w:rsidP="005B1972">
      <w:pPr>
        <w:jc w:val="center"/>
        <w:rPr>
          <w:b/>
        </w:rPr>
      </w:pPr>
      <w:r w:rsidRPr="005B1972">
        <w:rPr>
          <w:b/>
        </w:rPr>
        <w:t>1500 UTC 25 May 2017</w:t>
      </w:r>
    </w:p>
    <w:p w14:paraId="43D48C42" w14:textId="77777777" w:rsidR="00E60C95" w:rsidRDefault="00E60C95"/>
    <w:p w14:paraId="7754BBD3" w14:textId="77777777" w:rsidR="005B1972" w:rsidRDefault="005B1972"/>
    <w:p w14:paraId="4C159DA3" w14:textId="25B3A1D9" w:rsidR="00E60C95" w:rsidRPr="005B1972" w:rsidRDefault="005B1972">
      <w:pPr>
        <w:rPr>
          <w:b/>
        </w:rPr>
      </w:pPr>
      <w:r w:rsidRPr="005B1972">
        <w:rPr>
          <w:b/>
        </w:rPr>
        <w:t>Internationalized Domain Names:</w:t>
      </w:r>
    </w:p>
    <w:p w14:paraId="08B67E20" w14:textId="77777777" w:rsidR="005B1972" w:rsidRDefault="005B1972"/>
    <w:p w14:paraId="5C113776" w14:textId="0C515912" w:rsidR="005B1972" w:rsidRDefault="005B1972">
      <w:r>
        <w:t xml:space="preserve">See SAC052: </w:t>
      </w:r>
      <w:r w:rsidRPr="00091DC9">
        <w:t>SSAC Advisory on Single-Character Internationalized Domain Name Top-Level Domains (31 January 2012)</w:t>
      </w:r>
      <w:r>
        <w:t xml:space="preserve"> at: </w:t>
      </w:r>
      <w:hyperlink r:id="rId6" w:history="1">
        <w:r w:rsidRPr="00CC5276">
          <w:rPr>
            <w:rStyle w:val="Hyperlink"/>
          </w:rPr>
          <w:t>https://www.icann.org/en/groups/ssac/documents/sac-052-en.pdf</w:t>
        </w:r>
      </w:hyperlink>
    </w:p>
    <w:p w14:paraId="272211C5" w14:textId="77777777" w:rsidR="005B1972" w:rsidRDefault="005B1972"/>
    <w:p w14:paraId="37819DF1" w14:textId="77777777" w:rsidR="005B1972" w:rsidRPr="00D97FA8" w:rsidRDefault="005B1972" w:rsidP="005B1972">
      <w:r>
        <w:t xml:space="preserve">See SAC060: </w:t>
      </w:r>
      <w:r w:rsidRPr="00D97FA8">
        <w:t>SSAC Comment on Examining the User Experience Implications of Active Variant TLDs Report (23 July 2013)</w:t>
      </w:r>
    </w:p>
    <w:p w14:paraId="27D2CC7A" w14:textId="0759BDBC" w:rsidR="005B1972" w:rsidRDefault="005B1972" w:rsidP="005B1972">
      <w:r>
        <w:t xml:space="preserve">at: </w:t>
      </w:r>
      <w:hyperlink r:id="rId7" w:history="1">
        <w:r w:rsidRPr="00CC5276">
          <w:rPr>
            <w:rStyle w:val="Hyperlink"/>
          </w:rPr>
          <w:t>https://www.icann.org/en/groups/ssac/documents/sac-060-en.pdf</w:t>
        </w:r>
      </w:hyperlink>
    </w:p>
    <w:p w14:paraId="26516FA0" w14:textId="77777777" w:rsidR="005B1972" w:rsidRDefault="005B1972" w:rsidP="005B1972"/>
    <w:p w14:paraId="18D081BB" w14:textId="0FA6A8C1" w:rsidR="005B1972" w:rsidRDefault="00144715" w:rsidP="005B1972">
      <w:r>
        <w:t>See SAC084</w:t>
      </w:r>
      <w:r w:rsidR="005B1972">
        <w:t xml:space="preserve">: </w:t>
      </w:r>
      <w:r w:rsidR="005B1972" w:rsidRPr="004805B3">
        <w:t>SSAC Comments on Guidelines for the Extended Process Similarity Review Panel for the IDN ccTLD Fast Track Process (31 August 2016)</w:t>
      </w:r>
      <w:r w:rsidR="005B1972">
        <w:t xml:space="preserve"> at: </w:t>
      </w:r>
      <w:hyperlink r:id="rId8" w:history="1">
        <w:r w:rsidR="005B1972" w:rsidRPr="00CC5276">
          <w:rPr>
            <w:rStyle w:val="Hyperlink"/>
          </w:rPr>
          <w:t>https://www.icann.org/en/system/files/files/sac-084-en.pdf</w:t>
        </w:r>
      </w:hyperlink>
    </w:p>
    <w:p w14:paraId="664C8DA9" w14:textId="77777777" w:rsidR="005B1972" w:rsidRDefault="005B1972" w:rsidP="005B1972"/>
    <w:p w14:paraId="1D6AC741" w14:textId="21DAF8E7" w:rsidR="005B1972" w:rsidRDefault="005B1972" w:rsidP="005B1972">
      <w:r>
        <w:t xml:space="preserve">See SAC089: </w:t>
      </w:r>
      <w:r w:rsidRPr="008C0D81">
        <w:t>SSAC Response to ccNSO Comments on SAC084 (12 December 2016)</w:t>
      </w:r>
      <w:r>
        <w:t xml:space="preserve"> at: </w:t>
      </w:r>
      <w:hyperlink r:id="rId9" w:history="1">
        <w:r w:rsidRPr="00CC5276">
          <w:rPr>
            <w:rStyle w:val="Hyperlink"/>
          </w:rPr>
          <w:t>https://www.icann.org/en/system/files/files/sac-089-en.pdf</w:t>
        </w:r>
      </w:hyperlink>
    </w:p>
    <w:p w14:paraId="3BA29317" w14:textId="77777777" w:rsidR="005B1972" w:rsidRDefault="005B1972" w:rsidP="005B1972"/>
    <w:p w14:paraId="688B8D48" w14:textId="4934FFCD" w:rsidR="005B1972" w:rsidRPr="005B1972" w:rsidRDefault="005B1972" w:rsidP="005B1972">
      <w:pPr>
        <w:rPr>
          <w:b/>
        </w:rPr>
      </w:pPr>
      <w:r w:rsidRPr="005B1972">
        <w:rPr>
          <w:b/>
        </w:rPr>
        <w:t>Name Collisions:</w:t>
      </w:r>
    </w:p>
    <w:p w14:paraId="4CB7FB6A" w14:textId="77777777" w:rsidR="005B1972" w:rsidRDefault="005B1972" w:rsidP="005B1972"/>
    <w:p w14:paraId="114643B3" w14:textId="511A0AA4" w:rsidR="005B1972" w:rsidRDefault="005B1972" w:rsidP="005B1972">
      <w:r>
        <w:t xml:space="preserve">See SAC045: </w:t>
      </w:r>
      <w:r w:rsidRPr="002143F5">
        <w:t>Invalid Top Level Domain Queries at the Root Level of the Domain Name System (15 November 2010 with corrections)</w:t>
      </w:r>
      <w:r>
        <w:t xml:space="preserve"> at: </w:t>
      </w:r>
      <w:hyperlink r:id="rId10" w:history="1">
        <w:r w:rsidRPr="00CC5276">
          <w:rPr>
            <w:rStyle w:val="Hyperlink"/>
          </w:rPr>
          <w:t>https://www.icann.org/en/groups/ssac/documents/sac-045-en.pdf</w:t>
        </w:r>
      </w:hyperlink>
    </w:p>
    <w:p w14:paraId="44BA8BDC" w14:textId="77777777" w:rsidR="005B1972" w:rsidRDefault="005B1972" w:rsidP="005B1972"/>
    <w:p w14:paraId="6F170B5E" w14:textId="009D27F5" w:rsidR="005B1972" w:rsidRDefault="005B1972" w:rsidP="005B1972">
      <w:r>
        <w:t xml:space="preserve">See SAC062: </w:t>
      </w:r>
      <w:r w:rsidRPr="002143F5">
        <w:t>SSAC Advisory Concerning the Mitigation of Name Collision Risk (07 November 2013)</w:t>
      </w:r>
      <w:r>
        <w:t xml:space="preserve"> at: </w:t>
      </w:r>
      <w:hyperlink r:id="rId11" w:history="1">
        <w:r w:rsidRPr="00CC5276">
          <w:rPr>
            <w:rStyle w:val="Hyperlink"/>
          </w:rPr>
          <w:t>https://www.icann.org/en/groups/ssac/documents/sac-062-en.pdf</w:t>
        </w:r>
      </w:hyperlink>
    </w:p>
    <w:p w14:paraId="5E4E8420" w14:textId="77777777" w:rsidR="005B1972" w:rsidRDefault="005B1972" w:rsidP="005B1972"/>
    <w:p w14:paraId="2812855F" w14:textId="15749839" w:rsidR="005B1972" w:rsidRDefault="005B1972" w:rsidP="005B1972">
      <w:pPr>
        <w:rPr>
          <w:rFonts w:eastAsiaTheme="minorEastAsia"/>
        </w:rPr>
      </w:pPr>
      <w:r w:rsidRPr="00BF31C0">
        <w:t xml:space="preserve">See SAC066: </w:t>
      </w:r>
      <w:r w:rsidRPr="00BF31C0">
        <w:rPr>
          <w:rFonts w:eastAsia="Times New Roman"/>
        </w:rPr>
        <w:t>SSAC Comment Concerning JAS Phase One Report on Miti</w:t>
      </w:r>
      <w:r w:rsidRPr="00890270">
        <w:rPr>
          <w:rFonts w:eastAsia="Times New Roman"/>
        </w:rPr>
        <w:t>gating the Risk of DNS Namespace Collisions (06 June 2014)</w:t>
      </w:r>
      <w:r w:rsidRPr="00BF31C0">
        <w:rPr>
          <w:rFonts w:eastAsia="Times New Roman"/>
        </w:rPr>
        <w:t xml:space="preserve"> at: </w:t>
      </w:r>
      <w:hyperlink r:id="rId12" w:history="1">
        <w:r w:rsidRPr="00CC5276">
          <w:rPr>
            <w:rStyle w:val="Hyperlink"/>
            <w:rFonts w:eastAsiaTheme="minorEastAsia"/>
          </w:rPr>
          <w:t>https://www.icann.org/en/system/files/files/sac-066-en.pdf</w:t>
        </w:r>
      </w:hyperlink>
    </w:p>
    <w:p w14:paraId="23B0FA4C" w14:textId="77777777" w:rsidR="00DD747F" w:rsidRDefault="00DD747F" w:rsidP="005B1972">
      <w:pPr>
        <w:tabs>
          <w:tab w:val="left" w:pos="1320"/>
        </w:tabs>
        <w:rPr>
          <w:rFonts w:eastAsiaTheme="minorEastAsia"/>
        </w:rPr>
      </w:pPr>
    </w:p>
    <w:p w14:paraId="577EF513" w14:textId="48B726D0" w:rsidR="00DD747F" w:rsidRPr="00DD747F" w:rsidRDefault="00DD747F" w:rsidP="00DD747F">
      <w:pPr>
        <w:rPr>
          <w:rFonts w:eastAsia="Times New Roman" w:cs="Times New Roman"/>
          <w:b/>
        </w:rPr>
      </w:pPr>
      <w:r w:rsidRPr="00DD747F">
        <w:rPr>
          <w:rFonts w:eastAsia="Times New Roman" w:cs="Times New Roman"/>
          <w:b/>
          <w:color w:val="000000"/>
        </w:rPr>
        <w:t>Conflicting TLD Allocations:</w:t>
      </w:r>
    </w:p>
    <w:p w14:paraId="54A70310" w14:textId="273D8ECC" w:rsidR="005B1972" w:rsidRDefault="005B1972" w:rsidP="005B1972">
      <w:pPr>
        <w:tabs>
          <w:tab w:val="left" w:pos="1320"/>
        </w:tabs>
        <w:rPr>
          <w:rFonts w:eastAsiaTheme="minorEastAsia"/>
        </w:rPr>
      </w:pPr>
      <w:r>
        <w:rPr>
          <w:rFonts w:eastAsiaTheme="minorEastAsia"/>
        </w:rPr>
        <w:tab/>
      </w:r>
    </w:p>
    <w:p w14:paraId="7F9BFA61" w14:textId="74A2EF08" w:rsidR="005B1972" w:rsidRDefault="005B1972" w:rsidP="005B1972">
      <w:pPr>
        <w:tabs>
          <w:tab w:val="left" w:pos="1320"/>
        </w:tabs>
        <w:rPr>
          <w:rFonts w:eastAsia="Times New Roman"/>
        </w:rPr>
      </w:pPr>
      <w:r w:rsidRPr="00BF31C0">
        <w:t xml:space="preserve">See SAC090: </w:t>
      </w:r>
      <w:r w:rsidRPr="00BF31C0">
        <w:rPr>
          <w:rFonts w:eastAsia="Times New Roman"/>
        </w:rPr>
        <w:t xml:space="preserve">SSAC Advisory on the Stability of the Domain Namespace (22 December 2016) at: </w:t>
      </w:r>
      <w:hyperlink r:id="rId13" w:history="1">
        <w:r w:rsidRPr="00CC5276">
          <w:rPr>
            <w:rStyle w:val="Hyperlink"/>
            <w:rFonts w:eastAsia="Times New Roman"/>
          </w:rPr>
          <w:t>https://www.icann.org/en/system/files/files/sac-090-en.pdf</w:t>
        </w:r>
      </w:hyperlink>
    </w:p>
    <w:p w14:paraId="3558C3D2" w14:textId="77777777" w:rsidR="00DD747F" w:rsidRDefault="00DD747F" w:rsidP="005B1972">
      <w:pPr>
        <w:tabs>
          <w:tab w:val="left" w:pos="1320"/>
        </w:tabs>
        <w:rPr>
          <w:rFonts w:eastAsia="Times New Roman"/>
        </w:rPr>
      </w:pPr>
    </w:p>
    <w:p w14:paraId="295D0E75" w14:textId="3421228A" w:rsidR="00DD747F" w:rsidRDefault="00DD747F" w:rsidP="005B1972">
      <w:pPr>
        <w:tabs>
          <w:tab w:val="left" w:pos="1320"/>
        </w:tabs>
        <w:rPr>
          <w:rFonts w:eastAsia="Times New Roman"/>
        </w:rPr>
      </w:pPr>
      <w:r>
        <w:rPr>
          <w:rFonts w:eastAsia="Times New Roman"/>
        </w:rPr>
        <w:t>Internet Engineering Task Force Requests for Comments:</w:t>
      </w:r>
    </w:p>
    <w:p w14:paraId="720056B3" w14:textId="1E367AD4" w:rsidR="00DD747F" w:rsidRPr="00DD747F" w:rsidRDefault="00DD747F" w:rsidP="00DD747F">
      <w:pPr>
        <w:rPr>
          <w:rFonts w:eastAsia="Times New Roman"/>
          <w:color w:val="000000"/>
        </w:rPr>
      </w:pPr>
      <w:r w:rsidRPr="00DD747F">
        <w:rPr>
          <w:rFonts w:eastAsia="Times New Roman"/>
          <w:color w:val="000000"/>
        </w:rPr>
        <w:lastRenderedPageBreak/>
        <w:t xml:space="preserve">See: </w:t>
      </w:r>
      <w:hyperlink r:id="rId14" w:history="1">
        <w:r w:rsidRPr="00DD747F">
          <w:rPr>
            <w:rStyle w:val="Hyperlink"/>
            <w:rFonts w:eastAsia="Times New Roman"/>
          </w:rPr>
          <w:t>https://tools.ietf.org/html/rfc6761</w:t>
        </w:r>
      </w:hyperlink>
      <w:r w:rsidRPr="00DD747F">
        <w:rPr>
          <w:rFonts w:eastAsia="Times New Roman"/>
          <w:color w:val="000000"/>
        </w:rPr>
        <w:t xml:space="preserve">, </w:t>
      </w:r>
      <w:hyperlink r:id="rId15" w:history="1">
        <w:r w:rsidRPr="00DD747F">
          <w:rPr>
            <w:rStyle w:val="Hyperlink"/>
            <w:rFonts w:eastAsia="Times New Roman"/>
          </w:rPr>
          <w:t>https://tools.ietf.org/html/rfc6762</w:t>
        </w:r>
      </w:hyperlink>
      <w:r w:rsidRPr="00DD747F">
        <w:rPr>
          <w:rFonts w:eastAsia="Times New Roman"/>
          <w:color w:val="000000"/>
        </w:rPr>
        <w:t xml:space="preserve">, and </w:t>
      </w:r>
      <w:hyperlink r:id="rId16" w:history="1">
        <w:r w:rsidRPr="00DD747F">
          <w:rPr>
            <w:rStyle w:val="Hyperlink"/>
            <w:rFonts w:eastAsia="Times New Roman"/>
          </w:rPr>
          <w:t>https://tools.ietf.org/html/rfc7686</w:t>
        </w:r>
      </w:hyperlink>
      <w:r w:rsidRPr="00DD747F">
        <w:rPr>
          <w:rFonts w:eastAsia="Times New Roman"/>
          <w:color w:val="000000"/>
        </w:rPr>
        <w:t>.</w:t>
      </w:r>
    </w:p>
    <w:p w14:paraId="6647B4C8" w14:textId="77777777" w:rsidR="005B1972" w:rsidRDefault="005B1972" w:rsidP="005B1972">
      <w:pPr>
        <w:tabs>
          <w:tab w:val="left" w:pos="1320"/>
        </w:tabs>
        <w:rPr>
          <w:rFonts w:eastAsia="Times New Roman"/>
        </w:rPr>
      </w:pPr>
    </w:p>
    <w:p w14:paraId="29B9001E" w14:textId="2ECD8A11" w:rsidR="005B1972" w:rsidRPr="005B1972" w:rsidRDefault="005B1972" w:rsidP="00DD747F">
      <w:pPr>
        <w:rPr>
          <w:rFonts w:eastAsiaTheme="minorEastAsia"/>
          <w:b/>
        </w:rPr>
      </w:pPr>
      <w:r w:rsidRPr="005B1972">
        <w:rPr>
          <w:rFonts w:eastAsiaTheme="minorEastAsia"/>
          <w:b/>
        </w:rPr>
        <w:t>Root Zone Scaling:</w:t>
      </w:r>
    </w:p>
    <w:p w14:paraId="0460923F" w14:textId="77777777" w:rsidR="005B1972" w:rsidRDefault="005B1972" w:rsidP="005B1972">
      <w:pPr>
        <w:tabs>
          <w:tab w:val="left" w:pos="1320"/>
        </w:tabs>
        <w:rPr>
          <w:rFonts w:eastAsiaTheme="minorEastAsia"/>
        </w:rPr>
      </w:pPr>
    </w:p>
    <w:p w14:paraId="6F2F0802" w14:textId="77777777" w:rsidR="005B1972" w:rsidRDefault="005B1972" w:rsidP="005B1972">
      <w:pPr>
        <w:rPr>
          <w:rFonts w:eastAsia="Times New Roman"/>
        </w:rPr>
      </w:pPr>
      <w:r>
        <w:rPr>
          <w:rFonts w:eastAsia="Times New Roman"/>
        </w:rPr>
        <w:t>See SSAC Letter to the ICANN Board on the N</w:t>
      </w:r>
      <w:bookmarkStart w:id="0" w:name="_GoBack"/>
      <w:bookmarkEnd w:id="0"/>
      <w:r>
        <w:rPr>
          <w:rFonts w:eastAsia="Times New Roman"/>
        </w:rPr>
        <w:t xml:space="preserve">ew Generic Top Level Domain (gTLD) Process (02 July 2012) at: </w:t>
      </w:r>
    </w:p>
    <w:p w14:paraId="62519787" w14:textId="4E5659CE" w:rsidR="005B1972" w:rsidRDefault="005B1972" w:rsidP="005B1972">
      <w:pPr>
        <w:tabs>
          <w:tab w:val="left" w:pos="1320"/>
        </w:tabs>
      </w:pPr>
      <w:hyperlink r:id="rId17" w:history="1">
        <w:r w:rsidRPr="00CC5276">
          <w:rPr>
            <w:rStyle w:val="Hyperlink"/>
          </w:rPr>
          <w:t>https://www.icann.org/en/news/correspondence/faltstrom-to-icann-board-02jul12-en.pdf</w:t>
        </w:r>
      </w:hyperlink>
    </w:p>
    <w:p w14:paraId="60F7F01C" w14:textId="77777777" w:rsidR="005B1972" w:rsidRDefault="005B1972" w:rsidP="005B1972">
      <w:pPr>
        <w:tabs>
          <w:tab w:val="left" w:pos="1320"/>
        </w:tabs>
        <w:rPr>
          <w:rFonts w:eastAsiaTheme="minorEastAsia"/>
        </w:rPr>
      </w:pPr>
    </w:p>
    <w:p w14:paraId="35008685" w14:textId="77777777" w:rsidR="005B1972" w:rsidRDefault="005B1972" w:rsidP="005B1972"/>
    <w:sectPr w:rsidR="005B1972" w:rsidSect="00DD087C"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E5FD4" w14:textId="77777777" w:rsidR="00242979" w:rsidRDefault="00242979" w:rsidP="005B1972">
      <w:r>
        <w:separator/>
      </w:r>
    </w:p>
  </w:endnote>
  <w:endnote w:type="continuationSeparator" w:id="0">
    <w:p w14:paraId="7CBEB0E5" w14:textId="77777777" w:rsidR="00242979" w:rsidRDefault="00242979" w:rsidP="005B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F6521" w14:textId="77777777" w:rsidR="005B1972" w:rsidRDefault="005B1972" w:rsidP="00CC527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220ED2" w14:textId="77777777" w:rsidR="005B1972" w:rsidRDefault="005B1972" w:rsidP="005B197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043E1" w14:textId="77777777" w:rsidR="005B1972" w:rsidRDefault="005B1972" w:rsidP="00CC527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29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7C204F" w14:textId="77777777" w:rsidR="005B1972" w:rsidRDefault="005B1972" w:rsidP="005B19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BAF45" w14:textId="77777777" w:rsidR="00242979" w:rsidRDefault="00242979" w:rsidP="005B1972">
      <w:r>
        <w:separator/>
      </w:r>
    </w:p>
  </w:footnote>
  <w:footnote w:type="continuationSeparator" w:id="0">
    <w:p w14:paraId="67908AF4" w14:textId="77777777" w:rsidR="00242979" w:rsidRDefault="00242979" w:rsidP="005B1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95"/>
    <w:rsid w:val="00144715"/>
    <w:rsid w:val="001772AD"/>
    <w:rsid w:val="00242979"/>
    <w:rsid w:val="005B1972"/>
    <w:rsid w:val="00AF7194"/>
    <w:rsid w:val="00DD087C"/>
    <w:rsid w:val="00DD747F"/>
    <w:rsid w:val="00E60C95"/>
    <w:rsid w:val="00EA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84E12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197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B19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972"/>
  </w:style>
  <w:style w:type="character" w:styleId="PageNumber">
    <w:name w:val="page number"/>
    <w:basedOn w:val="DefaultParagraphFont"/>
    <w:uiPriority w:val="99"/>
    <w:semiHidden/>
    <w:unhideWhenUsed/>
    <w:rsid w:val="005B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icann.org/en/system/files/files/sac-089-en.pdf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s://www.icann.org/en/groups/ssac/documents/sac-045-en.pdf" TargetMode="External"/><Relationship Id="rId11" Type="http://schemas.openxmlformats.org/officeDocument/2006/relationships/hyperlink" Target="https://www.icann.org/en/groups/ssac/documents/sac-062-en.pdf" TargetMode="External"/><Relationship Id="rId12" Type="http://schemas.openxmlformats.org/officeDocument/2006/relationships/hyperlink" Target="https://www.icann.org/en/system/files/files/sac-066-en.pdf" TargetMode="External"/><Relationship Id="rId13" Type="http://schemas.openxmlformats.org/officeDocument/2006/relationships/hyperlink" Target="https://www.icann.org/en/system/files/files/sac-090-en.pdf" TargetMode="External"/><Relationship Id="rId14" Type="http://schemas.openxmlformats.org/officeDocument/2006/relationships/hyperlink" Target="https://tools.ietf.org/html/rfc6761" TargetMode="External"/><Relationship Id="rId15" Type="http://schemas.openxmlformats.org/officeDocument/2006/relationships/hyperlink" Target="https://tools.ietf.org/html/rfc6762" TargetMode="External"/><Relationship Id="rId16" Type="http://schemas.openxmlformats.org/officeDocument/2006/relationships/hyperlink" Target="https://tools.ietf.org/html/rfc7686" TargetMode="External"/><Relationship Id="rId17" Type="http://schemas.openxmlformats.org/officeDocument/2006/relationships/hyperlink" Target="https://www.icann.org/en/news/correspondence/faltstrom-to-icann-board-02jul12-en.pdf" TargetMode="Externa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icann.org/en/groups/ssac/documents/sac-052-en.pdf" TargetMode="External"/><Relationship Id="rId7" Type="http://schemas.openxmlformats.org/officeDocument/2006/relationships/hyperlink" Target="https://www.icann.org/en/groups/ssac/documents/sac-060-en.pdf" TargetMode="External"/><Relationship Id="rId8" Type="http://schemas.openxmlformats.org/officeDocument/2006/relationships/hyperlink" Target="https://www.icann.org/en/system/files/files/sac-084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429</Words>
  <Characters>2447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2017-05-03T20:39:00Z</dcterms:created>
  <dcterms:modified xsi:type="dcterms:W3CDTF">2017-05-10T21:10:00Z</dcterms:modified>
</cp:coreProperties>
</file>