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4E905B4F" w:rsidR="009D04F7" w:rsidRDefault="009D04F7">
      <w:r>
        <w:t xml:space="preserve">Your </w:t>
      </w:r>
      <w:r w:rsidR="00C639AA">
        <w:t>name</w:t>
      </w:r>
      <w:r>
        <w:t xml:space="preserve">: </w:t>
      </w:r>
      <w:r w:rsidR="00C07355">
        <w:t>Susan Payne</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70"/>
        <w:gridCol w:w="2503"/>
        <w:gridCol w:w="1464"/>
        <w:gridCol w:w="4775"/>
        <w:gridCol w:w="4768"/>
      </w:tblGrid>
      <w:tr w:rsidR="00311366"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311366"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08D61997" w14:textId="77777777" w:rsidR="00C07355" w:rsidRDefault="00C07355" w:rsidP="00C07355">
            <w:pPr>
              <w:pStyle w:val="NormalWeb"/>
              <w:spacing w:before="0" w:beforeAutospacing="0" w:after="0" w:afterAutospacing="0"/>
            </w:pPr>
            <w:r>
              <w:rPr>
                <w:rFonts w:ascii="Arial" w:hAnsi="Arial" w:cs="Arial"/>
                <w:color w:val="000000"/>
                <w:sz w:val="22"/>
                <w:szCs w:val="22"/>
              </w:rPr>
              <w:t xml:space="preserve">The Working Group considered that if numbers were only transferable between applications with the same owner, there may not be a risk of a secondary market forming. The Working Group did not </w:t>
            </w:r>
            <w:proofErr w:type="gramStart"/>
            <w:r>
              <w:rPr>
                <w:rFonts w:ascii="Arial" w:hAnsi="Arial" w:cs="Arial"/>
                <w:color w:val="000000"/>
                <w:sz w:val="22"/>
                <w:szCs w:val="22"/>
              </w:rPr>
              <w:t>come to a conclusion</w:t>
            </w:r>
            <w:proofErr w:type="gramEnd"/>
            <w:r>
              <w:rPr>
                <w:rFonts w:ascii="Arial" w:hAnsi="Arial" w:cs="Arial"/>
                <w:color w:val="000000"/>
                <w:sz w:val="22"/>
                <w:szCs w:val="22"/>
              </w:rPr>
              <w:t xml:space="preserve"> about whether to move forward with this potential recommendation.</w:t>
            </w:r>
          </w:p>
          <w:p w14:paraId="14EDC35E" w14:textId="72CF9C48" w:rsidR="000D421E" w:rsidRDefault="000D421E"/>
        </w:tc>
        <w:tc>
          <w:tcPr>
            <w:tcW w:w="1260" w:type="dxa"/>
          </w:tcPr>
          <w:p w14:paraId="6F343617" w14:textId="291551CB" w:rsidR="000D421E" w:rsidRPr="00C07355" w:rsidRDefault="00C07355">
            <w:pPr>
              <w:rPr>
                <w:sz w:val="22"/>
                <w:szCs w:val="22"/>
              </w:rPr>
            </w:pPr>
            <w:r w:rsidRPr="00C07355">
              <w:rPr>
                <w:rFonts w:ascii="Arial" w:hAnsi="Arial" w:cs="Arial"/>
                <w:color w:val="000000"/>
                <w:sz w:val="22"/>
                <w:szCs w:val="22"/>
              </w:rPr>
              <w:t>2.6.1 Application Queuing</w:t>
            </w:r>
            <w:r>
              <w:rPr>
                <w:rFonts w:ascii="Arial" w:hAnsi="Arial" w:cs="Arial"/>
                <w:color w:val="000000"/>
                <w:sz w:val="22"/>
                <w:szCs w:val="22"/>
              </w:rPr>
              <w:t xml:space="preserve">; section c. </w:t>
            </w:r>
            <w:r w:rsidRPr="00F572F3">
              <w:rPr>
                <w:rFonts w:ascii="Arial" w:hAnsi="Arial" w:cs="Arial"/>
                <w:i/>
                <w:iCs/>
                <w:color w:val="000000"/>
                <w:sz w:val="22"/>
                <w:szCs w:val="22"/>
              </w:rPr>
              <w:t>New issues raised in deliberations since publication of the Initial Report, if applicable</w:t>
            </w:r>
          </w:p>
        </w:tc>
        <w:tc>
          <w:tcPr>
            <w:tcW w:w="4860" w:type="dxa"/>
          </w:tcPr>
          <w:p w14:paraId="72A2DCDC" w14:textId="508B59E9" w:rsidR="000D421E" w:rsidRPr="00F572F3" w:rsidRDefault="00F572F3">
            <w:pPr>
              <w:rPr>
                <w:rFonts w:ascii="Arial" w:hAnsi="Arial" w:cs="Arial"/>
                <w:sz w:val="22"/>
                <w:szCs w:val="22"/>
              </w:rPr>
            </w:pPr>
            <w:r w:rsidRPr="00F572F3">
              <w:rPr>
                <w:rFonts w:ascii="Arial" w:hAnsi="Arial" w:cs="Arial"/>
                <w:sz w:val="22"/>
                <w:szCs w:val="22"/>
              </w:rPr>
              <w:t xml:space="preserve">Whilst it is understood that creating an aftermarket for prioritization numbers is undesirable, this </w:t>
            </w:r>
            <w:r w:rsidR="00B766BE">
              <w:rPr>
                <w:rFonts w:ascii="Arial" w:hAnsi="Arial" w:cs="Arial"/>
                <w:sz w:val="22"/>
                <w:szCs w:val="22"/>
              </w:rPr>
              <w:t>c</w:t>
            </w:r>
            <w:r w:rsidRPr="00F572F3">
              <w:rPr>
                <w:rFonts w:ascii="Arial" w:hAnsi="Arial" w:cs="Arial"/>
                <w:sz w:val="22"/>
                <w:szCs w:val="22"/>
              </w:rPr>
              <w:t xml:space="preserve">oncern does not apply to the applications of a single applicant.  There seems to be no demonstrable reason to prevent an applicant from making their own choice as to how to </w:t>
            </w:r>
            <w:proofErr w:type="spellStart"/>
            <w:r w:rsidRPr="00F572F3">
              <w:rPr>
                <w:rFonts w:ascii="Arial" w:hAnsi="Arial" w:cs="Arial"/>
                <w:sz w:val="22"/>
                <w:szCs w:val="22"/>
              </w:rPr>
              <w:t>prioritise</w:t>
            </w:r>
            <w:proofErr w:type="spellEnd"/>
            <w:r w:rsidRPr="00F572F3">
              <w:rPr>
                <w:rFonts w:ascii="Arial" w:hAnsi="Arial" w:cs="Arial"/>
                <w:sz w:val="22"/>
                <w:szCs w:val="22"/>
              </w:rPr>
              <w:t xml:space="preserve"> as between their own applications.  </w:t>
            </w:r>
          </w:p>
          <w:p w14:paraId="2C16BD08" w14:textId="77777777" w:rsidR="00F572F3" w:rsidRPr="00F572F3" w:rsidRDefault="00F572F3">
            <w:pPr>
              <w:rPr>
                <w:rFonts w:ascii="Arial" w:hAnsi="Arial" w:cs="Arial"/>
                <w:sz w:val="22"/>
                <w:szCs w:val="22"/>
              </w:rPr>
            </w:pPr>
          </w:p>
          <w:p w14:paraId="006CBAEE" w14:textId="6F35D1A3" w:rsidR="00F572F3" w:rsidRPr="00F572F3" w:rsidRDefault="00F572F3">
            <w:pPr>
              <w:rPr>
                <w:rFonts w:ascii="Arial" w:hAnsi="Arial" w:cs="Arial"/>
                <w:sz w:val="22"/>
                <w:szCs w:val="22"/>
              </w:rPr>
            </w:pPr>
            <w:r w:rsidRPr="00F572F3">
              <w:rPr>
                <w:rFonts w:ascii="Arial" w:hAnsi="Arial" w:cs="Arial"/>
                <w:sz w:val="22"/>
                <w:szCs w:val="22"/>
              </w:rPr>
              <w:t>Since we have not made a recommendation that a single applicant may not apply for more than one TLDs then</w:t>
            </w:r>
            <w:r>
              <w:rPr>
                <w:rFonts w:ascii="Arial" w:hAnsi="Arial" w:cs="Arial"/>
                <w:sz w:val="22"/>
                <w:szCs w:val="22"/>
              </w:rPr>
              <w:t>,</w:t>
            </w:r>
            <w:r w:rsidRPr="00F572F3">
              <w:rPr>
                <w:rFonts w:ascii="Arial" w:hAnsi="Arial" w:cs="Arial"/>
                <w:sz w:val="22"/>
                <w:szCs w:val="22"/>
              </w:rPr>
              <w:t xml:space="preserve"> to the extent that opposition to transfer of priority</w:t>
            </w:r>
            <w:r w:rsidRPr="00F572F3">
              <w:rPr>
                <w:rFonts w:ascii="Arial" w:hAnsi="Arial" w:cs="Arial"/>
                <w:color w:val="000000"/>
                <w:sz w:val="22"/>
                <w:szCs w:val="22"/>
              </w:rPr>
              <w:t xml:space="preserve"> </w:t>
            </w:r>
            <w:r w:rsidRPr="00F572F3">
              <w:rPr>
                <w:rFonts w:ascii="Arial" w:hAnsi="Arial" w:cs="Arial"/>
                <w:color w:val="000000"/>
                <w:sz w:val="22"/>
                <w:szCs w:val="22"/>
              </w:rPr>
              <w:t xml:space="preserve">between applications </w:t>
            </w:r>
            <w:r>
              <w:rPr>
                <w:rFonts w:ascii="Arial" w:hAnsi="Arial" w:cs="Arial"/>
                <w:color w:val="000000"/>
                <w:sz w:val="22"/>
                <w:szCs w:val="22"/>
              </w:rPr>
              <w:t>of</w:t>
            </w:r>
            <w:r w:rsidRPr="00F572F3">
              <w:rPr>
                <w:rFonts w:ascii="Arial" w:hAnsi="Arial" w:cs="Arial"/>
                <w:color w:val="000000"/>
                <w:sz w:val="22"/>
                <w:szCs w:val="22"/>
              </w:rPr>
              <w:t xml:space="preserve"> the same owner</w:t>
            </w:r>
            <w:r w:rsidRPr="00F572F3">
              <w:rPr>
                <w:rFonts w:ascii="Arial" w:hAnsi="Arial" w:cs="Arial"/>
                <w:sz w:val="22"/>
                <w:szCs w:val="22"/>
              </w:rPr>
              <w:t xml:space="preserve"> are based on a fundamental objection to multiple applica</w:t>
            </w:r>
            <w:r>
              <w:rPr>
                <w:rFonts w:ascii="Arial" w:hAnsi="Arial" w:cs="Arial"/>
                <w:sz w:val="22"/>
                <w:szCs w:val="22"/>
              </w:rPr>
              <w:t xml:space="preserve">tions, this would seem to be </w:t>
            </w:r>
            <w:r w:rsidRPr="00F572F3">
              <w:rPr>
                <w:rFonts w:ascii="Arial" w:hAnsi="Arial" w:cs="Arial"/>
                <w:sz w:val="22"/>
                <w:szCs w:val="22"/>
              </w:rPr>
              <w:t>irrelevant</w:t>
            </w:r>
            <w:r>
              <w:rPr>
                <w:rFonts w:ascii="Arial" w:hAnsi="Arial" w:cs="Arial"/>
                <w:sz w:val="22"/>
                <w:szCs w:val="22"/>
              </w:rPr>
              <w:t>.</w:t>
            </w:r>
          </w:p>
        </w:tc>
        <w:tc>
          <w:tcPr>
            <w:tcW w:w="4860" w:type="dxa"/>
          </w:tcPr>
          <w:p w14:paraId="664BDE67" w14:textId="1F610206" w:rsidR="000D421E" w:rsidRDefault="00F572F3">
            <w:r>
              <w:t>R</w:t>
            </w:r>
            <w:r w:rsidR="00311366">
              <w:t xml:space="preserve">ecommend that priority </w:t>
            </w:r>
            <w:r w:rsidR="00311366">
              <w:rPr>
                <w:rFonts w:ascii="Arial" w:hAnsi="Arial" w:cs="Arial"/>
                <w:color w:val="000000"/>
                <w:sz w:val="22"/>
                <w:szCs w:val="22"/>
              </w:rPr>
              <w:t xml:space="preserve">numbers </w:t>
            </w:r>
            <w:r w:rsidR="00311366">
              <w:rPr>
                <w:rFonts w:ascii="Arial" w:hAnsi="Arial" w:cs="Arial"/>
                <w:color w:val="000000"/>
                <w:sz w:val="22"/>
                <w:szCs w:val="22"/>
              </w:rPr>
              <w:t xml:space="preserve">be </w:t>
            </w:r>
            <w:r w:rsidR="00311366">
              <w:rPr>
                <w:rFonts w:ascii="Arial" w:hAnsi="Arial" w:cs="Arial"/>
                <w:color w:val="000000"/>
                <w:sz w:val="22"/>
                <w:szCs w:val="22"/>
              </w:rPr>
              <w:t>transferable</w:t>
            </w:r>
            <w:r w:rsidR="00311366">
              <w:rPr>
                <w:rFonts w:ascii="Arial" w:hAnsi="Arial" w:cs="Arial"/>
                <w:color w:val="000000"/>
                <w:sz w:val="22"/>
                <w:szCs w:val="22"/>
              </w:rPr>
              <w:t xml:space="preserve"> between </w:t>
            </w:r>
            <w:r w:rsidR="00876FFD">
              <w:rPr>
                <w:rFonts w:ascii="Arial" w:hAnsi="Arial" w:cs="Arial"/>
                <w:color w:val="000000"/>
                <w:sz w:val="22"/>
                <w:szCs w:val="22"/>
              </w:rPr>
              <w:t xml:space="preserve">the </w:t>
            </w:r>
            <w:r w:rsidR="00311366">
              <w:rPr>
                <w:rFonts w:ascii="Arial" w:hAnsi="Arial" w:cs="Arial"/>
                <w:color w:val="000000"/>
                <w:sz w:val="22"/>
                <w:szCs w:val="22"/>
              </w:rPr>
              <w:t xml:space="preserve">applications </w:t>
            </w:r>
            <w:r w:rsidR="00311366">
              <w:rPr>
                <w:rFonts w:ascii="Arial" w:hAnsi="Arial" w:cs="Arial"/>
                <w:color w:val="000000"/>
                <w:sz w:val="22"/>
                <w:szCs w:val="22"/>
              </w:rPr>
              <w:t>of</w:t>
            </w:r>
            <w:r w:rsidR="00311366">
              <w:rPr>
                <w:rFonts w:ascii="Arial" w:hAnsi="Arial" w:cs="Arial"/>
                <w:color w:val="000000"/>
                <w:sz w:val="22"/>
                <w:szCs w:val="22"/>
              </w:rPr>
              <w:t xml:space="preserve"> the same owner.</w:t>
            </w:r>
          </w:p>
        </w:tc>
      </w:tr>
      <w:tr w:rsidR="00311366"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036A627D" w14:textId="77777777" w:rsidR="004F4369" w:rsidRPr="004F4369" w:rsidRDefault="004F4369" w:rsidP="004F4369">
            <w:pPr>
              <w:rPr>
                <w:rFonts w:ascii="Arial" w:eastAsiaTheme="minorHAnsi" w:hAnsi="Arial" w:cs="Arial"/>
                <w:color w:val="000000"/>
                <w:sz w:val="22"/>
                <w:szCs w:val="22"/>
              </w:rPr>
            </w:pPr>
            <w:r w:rsidRPr="004F4369">
              <w:rPr>
                <w:rFonts w:ascii="Arial" w:hAnsi="Arial" w:cs="Arial"/>
                <w:color w:val="000000"/>
                <w:sz w:val="22"/>
                <w:szCs w:val="22"/>
              </w:rPr>
              <w:t xml:space="preserve">The Working Group notes that in the 2012 round of the New gTLD Program, a decision was made by the ICANN Board to effectively ban exclusive use / generic applications. It is the understanding of the Working Group that the ICANN Board intended </w:t>
            </w:r>
            <w:r w:rsidRPr="004F4369">
              <w:rPr>
                <w:rFonts w:ascii="Arial" w:hAnsi="Arial" w:cs="Arial"/>
                <w:color w:val="000000"/>
                <w:sz w:val="22"/>
                <w:szCs w:val="22"/>
              </w:rPr>
              <w:lastRenderedPageBreak/>
              <w:t>that its decision to effectively ban Closed Generics applied only to the 2012 round and that it wanted the GNSO to engage in policy discussions regarding the treatment of such strings in subsequent rounds. Although the Working Group has had numerous discussions about this topic, and received extensive comments from the community, including members of the Governmental Advisory Committee, the Working Group was not able to agree as to how to treat these applications in subsequent rounds. </w:t>
            </w:r>
          </w:p>
          <w:p w14:paraId="1F4B615D" w14:textId="4650A28E" w:rsidR="000D421E" w:rsidRPr="004F4369" w:rsidRDefault="000D421E">
            <w:pPr>
              <w:rPr>
                <w:sz w:val="22"/>
                <w:szCs w:val="22"/>
              </w:rPr>
            </w:pPr>
          </w:p>
        </w:tc>
        <w:tc>
          <w:tcPr>
            <w:tcW w:w="1260" w:type="dxa"/>
          </w:tcPr>
          <w:p w14:paraId="0654562B" w14:textId="4D04F914" w:rsidR="000D421E" w:rsidRDefault="004F4369">
            <w:r>
              <w:lastRenderedPageBreak/>
              <w:t>2.7.3 Closed Generics</w:t>
            </w:r>
            <w:r w:rsidR="00C111DF">
              <w:t>, section a</w:t>
            </w:r>
          </w:p>
        </w:tc>
        <w:tc>
          <w:tcPr>
            <w:tcW w:w="4860" w:type="dxa"/>
          </w:tcPr>
          <w:p w14:paraId="29E2E80E" w14:textId="0D7D633D" w:rsidR="000D421E" w:rsidRPr="004F4369" w:rsidRDefault="004F4369">
            <w:pPr>
              <w:rPr>
                <w:rFonts w:ascii="Arial" w:hAnsi="Arial" w:cs="Arial"/>
                <w:sz w:val="22"/>
                <w:szCs w:val="22"/>
              </w:rPr>
            </w:pPr>
            <w:r>
              <w:rPr>
                <w:rFonts w:ascii="Arial" w:hAnsi="Arial" w:cs="Arial"/>
                <w:sz w:val="22"/>
                <w:szCs w:val="22"/>
              </w:rPr>
              <w:t>There was no “ban” by the Board.  Jeff’s suggested alternative wording is a more appropriate reflection of the facts.</w:t>
            </w:r>
          </w:p>
        </w:tc>
        <w:tc>
          <w:tcPr>
            <w:tcW w:w="4860" w:type="dxa"/>
          </w:tcPr>
          <w:p w14:paraId="4ECED845" w14:textId="77777777" w:rsidR="004F4369" w:rsidRPr="004F4369" w:rsidRDefault="004F4369" w:rsidP="004F4369">
            <w:pPr>
              <w:rPr>
                <w:rFonts w:ascii="Arial" w:eastAsiaTheme="minorHAnsi" w:hAnsi="Arial" w:cs="Arial"/>
                <w:color w:val="000000"/>
                <w:sz w:val="22"/>
                <w:szCs w:val="22"/>
              </w:rPr>
            </w:pPr>
            <w:r w:rsidRPr="004F4369">
              <w:rPr>
                <w:rFonts w:ascii="Arial" w:hAnsi="Arial" w:cs="Arial"/>
                <w:color w:val="000000"/>
                <w:sz w:val="22"/>
                <w:szCs w:val="22"/>
              </w:rPr>
              <w:t xml:space="preserve">The Working Group notes that in the 2012 round of the New gTLD Program, a decision was made by the ICANN Board to </w:t>
            </w:r>
            <w:r w:rsidRPr="004F4369">
              <w:rPr>
                <w:rFonts w:ascii="Arial" w:hAnsi="Arial" w:cs="Arial"/>
                <w:color w:val="FF0000"/>
                <w:sz w:val="22"/>
                <w:szCs w:val="22"/>
              </w:rPr>
              <w:t xml:space="preserve">require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w:t>
            </w:r>
            <w:r w:rsidRPr="004F4369">
              <w:rPr>
                <w:rFonts w:ascii="Arial" w:hAnsi="Arial" w:cs="Arial"/>
                <w:color w:val="FF0000"/>
                <w:sz w:val="22"/>
                <w:szCs w:val="22"/>
              </w:rPr>
              <w:lastRenderedPageBreak/>
              <w:t xml:space="preserve">develop policy advice concerning exclusive generic TLD.” </w:t>
            </w:r>
            <w:r w:rsidRPr="004F4369">
              <w:rPr>
                <w:rFonts w:ascii="Arial" w:hAnsi="Arial" w:cs="Arial"/>
                <w:strike/>
                <w:color w:val="FF0000"/>
                <w:sz w:val="22"/>
                <w:szCs w:val="22"/>
              </w:rPr>
              <w:t>effectively ban exclusive use / generic applications.</w:t>
            </w:r>
            <w:r w:rsidRPr="004F4369">
              <w:rPr>
                <w:rFonts w:ascii="Arial" w:hAnsi="Arial" w:cs="Arial"/>
                <w:color w:val="FF0000"/>
                <w:sz w:val="22"/>
                <w:szCs w:val="22"/>
              </w:rPr>
              <w:t xml:space="preserve"> All applicants in 2012 chose either options (a) or (b).  </w:t>
            </w:r>
            <w:r w:rsidRPr="004F4369">
              <w:rPr>
                <w:rFonts w:ascii="Arial" w:hAnsi="Arial" w:cs="Arial"/>
                <w:color w:val="000000"/>
                <w:sz w:val="22"/>
                <w:szCs w:val="22"/>
              </w:rPr>
              <w:t xml:space="preserve">It is the understanding of the Working Group that the ICANN Board intended that its decision to </w:t>
            </w:r>
            <w:r w:rsidRPr="004F4369">
              <w:rPr>
                <w:rFonts w:ascii="Arial" w:hAnsi="Arial" w:cs="Arial"/>
                <w:strike/>
                <w:color w:val="000000"/>
                <w:sz w:val="22"/>
                <w:szCs w:val="22"/>
              </w:rPr>
              <w:t>effectively ban</w:t>
            </w:r>
            <w:r w:rsidRPr="004F4369">
              <w:rPr>
                <w:rFonts w:ascii="Arial" w:hAnsi="Arial" w:cs="Arial"/>
                <w:color w:val="000000"/>
                <w:sz w:val="22"/>
                <w:szCs w:val="22"/>
              </w:rPr>
              <w:t xml:space="preserve"> </w:t>
            </w:r>
            <w:r w:rsidRPr="004F4369">
              <w:rPr>
                <w:rFonts w:ascii="Arial" w:hAnsi="Arial" w:cs="Arial"/>
                <w:color w:val="FF0000"/>
                <w:sz w:val="22"/>
                <w:szCs w:val="22"/>
              </w:rPr>
              <w:t xml:space="preserve">not allow </w:t>
            </w:r>
            <w:r w:rsidRPr="004F4369">
              <w:rPr>
                <w:rFonts w:ascii="Arial" w:hAnsi="Arial" w:cs="Arial"/>
                <w:color w:val="000000"/>
                <w:sz w:val="22"/>
                <w:szCs w:val="22"/>
              </w:rPr>
              <w:t xml:space="preserve">Closed Generics </w:t>
            </w:r>
            <w:r w:rsidRPr="004F4369">
              <w:rPr>
                <w:rFonts w:ascii="Arial" w:hAnsi="Arial" w:cs="Arial"/>
                <w:color w:val="FF0000"/>
                <w:sz w:val="22"/>
                <w:szCs w:val="22"/>
              </w:rPr>
              <w:t xml:space="preserve">to proceed in the 2012 round </w:t>
            </w:r>
            <w:r w:rsidRPr="004F4369">
              <w:rPr>
                <w:rFonts w:ascii="Arial" w:hAnsi="Arial" w:cs="Arial"/>
                <w:color w:val="000000"/>
                <w:sz w:val="22"/>
                <w:szCs w:val="22"/>
              </w:rPr>
              <w:t>applied only to the 2012 round and that it wanted the GNSO to engage in policy discussions regarding the treatment of such strings in subsequent rounds. Although the Working Group has had numerous discussions about this topic, and received extensive comments from the community, including members of the Governmental Advisory Committee, the Working Group was not able to agree as to how to treat these applications in subsequent rounds. </w:t>
            </w:r>
          </w:p>
          <w:p w14:paraId="00ED2E91" w14:textId="77777777" w:rsidR="000D421E" w:rsidRPr="004F4369" w:rsidRDefault="000D421E">
            <w:pPr>
              <w:rPr>
                <w:sz w:val="22"/>
                <w:szCs w:val="22"/>
              </w:rPr>
            </w:pPr>
          </w:p>
        </w:tc>
      </w:tr>
      <w:tr w:rsidR="00311366"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422868EF" w:rsidR="000D421E" w:rsidRPr="00C111DF" w:rsidRDefault="00C111DF">
            <w:pPr>
              <w:rPr>
                <w:sz w:val="22"/>
                <w:szCs w:val="22"/>
              </w:rPr>
            </w:pPr>
            <w:r w:rsidRPr="00C111DF">
              <w:rPr>
                <w:rFonts w:ascii="Arial" w:hAnsi="Arial" w:cs="Arial"/>
                <w:color w:val="000000"/>
                <w:sz w:val="22"/>
                <w:szCs w:val="22"/>
              </w:rPr>
              <w:t>On 21 June 2015, the ICANN Board passed a resolution that effectively banned Exclusive Generic / Closed Generic TLDs in the 2012 round.</w:t>
            </w:r>
          </w:p>
        </w:tc>
        <w:tc>
          <w:tcPr>
            <w:tcW w:w="1260" w:type="dxa"/>
          </w:tcPr>
          <w:p w14:paraId="2B950626" w14:textId="244A4CB8" w:rsidR="000D421E" w:rsidRDefault="00C111DF">
            <w:r>
              <w:t xml:space="preserve">2.7.3 Closed Generics, section </w:t>
            </w:r>
            <w:r>
              <w:t>b</w:t>
            </w:r>
          </w:p>
        </w:tc>
        <w:tc>
          <w:tcPr>
            <w:tcW w:w="4860" w:type="dxa"/>
          </w:tcPr>
          <w:p w14:paraId="3DFFE446" w14:textId="739F8073" w:rsidR="000D421E" w:rsidRDefault="00C111DF">
            <w:r>
              <w:t>See above</w:t>
            </w:r>
          </w:p>
        </w:tc>
        <w:tc>
          <w:tcPr>
            <w:tcW w:w="4860" w:type="dxa"/>
          </w:tcPr>
          <w:p w14:paraId="1CE5317D" w14:textId="634C2C8B" w:rsidR="000D421E" w:rsidRDefault="00F90BC7">
            <w:r w:rsidRPr="00C111DF">
              <w:rPr>
                <w:rFonts w:ascii="Arial" w:hAnsi="Arial" w:cs="Arial"/>
                <w:color w:val="000000"/>
                <w:sz w:val="22"/>
                <w:szCs w:val="22"/>
              </w:rPr>
              <w:t xml:space="preserve">On 21 June 2015, the ICANN Board passed a resolution that </w:t>
            </w:r>
            <w:r w:rsidRPr="00F90BC7">
              <w:rPr>
                <w:rFonts w:ascii="Arial" w:hAnsi="Arial" w:cs="Arial"/>
                <w:strike/>
                <w:color w:val="000000"/>
                <w:sz w:val="22"/>
                <w:szCs w:val="22"/>
              </w:rPr>
              <w:t>effectively banned</w:t>
            </w:r>
            <w:r w:rsidRPr="00C111DF">
              <w:rPr>
                <w:rFonts w:ascii="Arial" w:hAnsi="Arial" w:cs="Arial"/>
                <w:color w:val="000000"/>
                <w:sz w:val="22"/>
                <w:szCs w:val="22"/>
              </w:rPr>
              <w:t xml:space="preserve"> </w:t>
            </w:r>
            <w:r>
              <w:rPr>
                <w:rFonts w:ascii="Arial" w:hAnsi="Arial" w:cs="Arial"/>
                <w:color w:val="FF0000"/>
                <w:sz w:val="22"/>
                <w:szCs w:val="22"/>
              </w:rPr>
              <w:t xml:space="preserve">prevented </w:t>
            </w:r>
            <w:r w:rsidRPr="00C111DF">
              <w:rPr>
                <w:rFonts w:ascii="Arial" w:hAnsi="Arial" w:cs="Arial"/>
                <w:color w:val="000000"/>
                <w:sz w:val="22"/>
                <w:szCs w:val="22"/>
              </w:rPr>
              <w:t xml:space="preserve">Exclusive Generic / Closed Generic TLDs </w:t>
            </w:r>
            <w:r>
              <w:rPr>
                <w:rFonts w:ascii="Arial" w:hAnsi="Arial" w:cs="Arial"/>
                <w:color w:val="FF0000"/>
                <w:sz w:val="22"/>
                <w:szCs w:val="22"/>
              </w:rPr>
              <w:t xml:space="preserve">proceeding </w:t>
            </w:r>
            <w:r w:rsidRPr="00C111DF">
              <w:rPr>
                <w:rFonts w:ascii="Arial" w:hAnsi="Arial" w:cs="Arial"/>
                <w:color w:val="000000"/>
                <w:sz w:val="22"/>
                <w:szCs w:val="22"/>
              </w:rPr>
              <w:t>in the 2012 round.</w:t>
            </w:r>
          </w:p>
        </w:tc>
      </w:tr>
      <w:tr w:rsidR="00311366"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311366"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311366"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246C3B"/>
    <w:rsid w:val="00311366"/>
    <w:rsid w:val="00336B8B"/>
    <w:rsid w:val="0035336D"/>
    <w:rsid w:val="00385D74"/>
    <w:rsid w:val="004B3C4A"/>
    <w:rsid w:val="004F4369"/>
    <w:rsid w:val="005E720C"/>
    <w:rsid w:val="005F102F"/>
    <w:rsid w:val="006D0418"/>
    <w:rsid w:val="007F1FED"/>
    <w:rsid w:val="008363A6"/>
    <w:rsid w:val="00876FFD"/>
    <w:rsid w:val="00894163"/>
    <w:rsid w:val="00970EBD"/>
    <w:rsid w:val="009D04F7"/>
    <w:rsid w:val="009F7957"/>
    <w:rsid w:val="00B34569"/>
    <w:rsid w:val="00B766BE"/>
    <w:rsid w:val="00BE5129"/>
    <w:rsid w:val="00C07355"/>
    <w:rsid w:val="00C111DF"/>
    <w:rsid w:val="00C639AA"/>
    <w:rsid w:val="00CD0B02"/>
    <w:rsid w:val="00E53B3D"/>
    <w:rsid w:val="00EF35AF"/>
    <w:rsid w:val="00F07ECE"/>
    <w:rsid w:val="00F10689"/>
    <w:rsid w:val="00F572F3"/>
    <w:rsid w:val="00F76A69"/>
    <w:rsid w:val="00F9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NormalWeb">
    <w:name w:val="Normal (Web)"/>
    <w:basedOn w:val="Normal"/>
    <w:uiPriority w:val="99"/>
    <w:semiHidden/>
    <w:unhideWhenUsed/>
    <w:rsid w:val="00C07355"/>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395010">
      <w:bodyDiv w:val="1"/>
      <w:marLeft w:val="0"/>
      <w:marRight w:val="0"/>
      <w:marTop w:val="0"/>
      <w:marBottom w:val="0"/>
      <w:divBdr>
        <w:top w:val="none" w:sz="0" w:space="0" w:color="auto"/>
        <w:left w:val="none" w:sz="0" w:space="0" w:color="auto"/>
        <w:bottom w:val="none" w:sz="0" w:space="0" w:color="auto"/>
        <w:right w:val="none" w:sz="0" w:space="0" w:color="auto"/>
      </w:divBdr>
    </w:div>
    <w:div w:id="1359548958">
      <w:bodyDiv w:val="1"/>
      <w:marLeft w:val="0"/>
      <w:marRight w:val="0"/>
      <w:marTop w:val="0"/>
      <w:marBottom w:val="0"/>
      <w:divBdr>
        <w:top w:val="none" w:sz="0" w:space="0" w:color="auto"/>
        <w:left w:val="none" w:sz="0" w:space="0" w:color="auto"/>
        <w:bottom w:val="none" w:sz="0" w:space="0" w:color="auto"/>
        <w:right w:val="none" w:sz="0" w:space="0" w:color="auto"/>
      </w:divBdr>
    </w:div>
    <w:div w:id="18362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Susan Payne</cp:lastModifiedBy>
  <cp:revision>8</cp:revision>
  <dcterms:created xsi:type="dcterms:W3CDTF">2020-06-30T20:13:00Z</dcterms:created>
  <dcterms:modified xsi:type="dcterms:W3CDTF">2020-06-30T21:00:00Z</dcterms:modified>
</cp:coreProperties>
</file>