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82463" w14:textId="3BAC4EA9" w:rsidR="009D04F7" w:rsidRDefault="009D04F7">
      <w:r>
        <w:t xml:space="preserve">Your </w:t>
      </w:r>
      <w:r w:rsidR="00C639AA">
        <w:t>name</w:t>
      </w:r>
      <w:r>
        <w:t xml:space="preserve">: </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48"/>
        <w:gridCol w:w="2450"/>
        <w:gridCol w:w="1906"/>
        <w:gridCol w:w="4591"/>
        <w:gridCol w:w="4585"/>
      </w:tblGrid>
      <w:tr w:rsidR="00A423D4"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395727"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200FC9C7" w14:textId="77777777" w:rsidR="00134BA4" w:rsidRPr="00134BA4" w:rsidRDefault="00134BA4" w:rsidP="00134BA4">
            <w:pPr>
              <w:pStyle w:val="NormalWeb"/>
              <w:spacing w:before="0" w:beforeAutospacing="0" w:after="0" w:afterAutospacing="0"/>
              <w:textAlignment w:val="baseline"/>
              <w:rPr>
                <w:i/>
              </w:rPr>
            </w:pPr>
            <w:r>
              <w:rPr>
                <w:rFonts w:ascii="Arial" w:hAnsi="Arial" w:cs="Arial"/>
                <w:color w:val="000000"/>
                <w:sz w:val="22"/>
                <w:szCs w:val="22"/>
              </w:rPr>
              <w:t xml:space="preserve">At the end of the String Evaluation period, Applicants in contention sets will be informed of the number of other applications in their contention set, but no other information regarding the other applications will be shared. </w:t>
            </w:r>
            <w:r w:rsidRPr="00134BA4">
              <w:rPr>
                <w:rFonts w:ascii="Arial" w:hAnsi="Arial" w:cs="Arial"/>
                <w:i/>
                <w:color w:val="000000"/>
                <w:sz w:val="22"/>
                <w:szCs w:val="22"/>
              </w:rPr>
              <w:t>Any applicants that wish to compete for their applied-for string in an ICANN Auction of Last Resort must submit a sealed bid for each relevant application (“Last Resort Sealed Bids”).</w:t>
            </w:r>
          </w:p>
          <w:p w14:paraId="14EDC35E" w14:textId="72CF9C48" w:rsidR="000D421E" w:rsidRDefault="000D421E"/>
        </w:tc>
        <w:tc>
          <w:tcPr>
            <w:tcW w:w="1260" w:type="dxa"/>
          </w:tcPr>
          <w:p w14:paraId="18BCA5D2" w14:textId="77777777" w:rsidR="000D421E" w:rsidRDefault="00134BA4">
            <w:r>
              <w:t>2.1 &amp; 2.2</w:t>
            </w:r>
          </w:p>
          <w:p w14:paraId="6F343617" w14:textId="57974514" w:rsidR="00134BA4" w:rsidRDefault="00134BA4">
            <w:r>
              <w:t>a) recommendation xx Rationale 3, second dot point</w:t>
            </w:r>
          </w:p>
        </w:tc>
        <w:tc>
          <w:tcPr>
            <w:tcW w:w="4860" w:type="dxa"/>
          </w:tcPr>
          <w:p w14:paraId="2E5D0604" w14:textId="77777777" w:rsidR="000D0AAB" w:rsidRDefault="00134BA4" w:rsidP="00134BA4">
            <w:r>
              <w:t>If it’s only applicants that wish to compete for their applied-for string in an ICANN Auc</w:t>
            </w:r>
            <w:r w:rsidR="000D0AAB">
              <w:t>tion of Last Resort that submit</w:t>
            </w:r>
            <w:r>
              <w:t xml:space="preserve"> a sealed bid at this point in the process, at what point would applicants who intend to resolve the contention</w:t>
            </w:r>
            <w:r w:rsidR="000D0AAB">
              <w:t xml:space="preserve"> set through private resolution, but end up in a contention set resolution via an ICANN Auction of Last Resort </w:t>
            </w:r>
            <w:r>
              <w:t xml:space="preserve">submit their sealed bid? </w:t>
            </w:r>
          </w:p>
          <w:p w14:paraId="7C340F89" w14:textId="77777777" w:rsidR="000D0AAB" w:rsidRDefault="000D0AAB" w:rsidP="00134BA4"/>
          <w:p w14:paraId="19B9A2D7" w14:textId="77777777" w:rsidR="000D421E" w:rsidRDefault="000D0AAB" w:rsidP="000D0AAB">
            <w:r>
              <w:t>It was my understanding that</w:t>
            </w:r>
            <w:r w:rsidR="00134BA4">
              <w:t xml:space="preserve"> if one applicant in the contention set opts for the ICANN Auction of Last Resort </w:t>
            </w:r>
            <w:r>
              <w:t>that negates the preference for private resolution of all the other applicants in the contention set.</w:t>
            </w:r>
            <w:r w:rsidR="00134BA4">
              <w:t xml:space="preserve">   </w:t>
            </w:r>
          </w:p>
          <w:p w14:paraId="01A8D086" w14:textId="77777777" w:rsidR="000D0AAB" w:rsidRDefault="000D0AAB" w:rsidP="000D0AAB"/>
          <w:p w14:paraId="006CBAEE" w14:textId="2A649D81" w:rsidR="000D0AAB" w:rsidRDefault="000D0AAB" w:rsidP="000D0AAB"/>
        </w:tc>
        <w:tc>
          <w:tcPr>
            <w:tcW w:w="4860" w:type="dxa"/>
          </w:tcPr>
          <w:p w14:paraId="6FE56DF3" w14:textId="295B6B64" w:rsidR="000D0AAB" w:rsidRPr="00134BA4" w:rsidRDefault="000D0AAB" w:rsidP="000D0AAB">
            <w:pPr>
              <w:pStyle w:val="NormalWeb"/>
              <w:spacing w:before="0" w:beforeAutospacing="0" w:after="0" w:afterAutospacing="0"/>
              <w:textAlignment w:val="baseline"/>
              <w:rPr>
                <w:i/>
              </w:rPr>
            </w:pPr>
            <w:r>
              <w:rPr>
                <w:rFonts w:ascii="Arial" w:hAnsi="Arial" w:cs="Arial"/>
                <w:color w:val="000000"/>
                <w:sz w:val="22"/>
                <w:szCs w:val="22"/>
              </w:rPr>
              <w:t xml:space="preserve">At the end of the String Evaluation period, Applicants in contention sets will be informed of the number of other applications in their contention set, but no other information regarding the other applications will be shared. </w:t>
            </w:r>
            <w:r w:rsidRPr="000D0AAB">
              <w:rPr>
                <w:rFonts w:ascii="Arial" w:hAnsi="Arial" w:cs="Arial"/>
                <w:i/>
                <w:color w:val="000000"/>
                <w:sz w:val="22"/>
                <w:szCs w:val="22"/>
              </w:rPr>
              <w:t xml:space="preserve">All applicants in a contention set will be required to submit a sealed bid </w:t>
            </w:r>
            <w:r>
              <w:rPr>
                <w:rFonts w:ascii="Arial" w:hAnsi="Arial" w:cs="Arial"/>
                <w:i/>
                <w:color w:val="000000"/>
                <w:sz w:val="22"/>
                <w:szCs w:val="22"/>
              </w:rPr>
              <w:t xml:space="preserve">for each application in a contention set </w:t>
            </w:r>
            <w:r w:rsidRPr="000D0AAB">
              <w:rPr>
                <w:rFonts w:ascii="Arial" w:hAnsi="Arial" w:cs="Arial"/>
                <w:i/>
                <w:color w:val="000000"/>
                <w:sz w:val="22"/>
                <w:szCs w:val="22"/>
              </w:rPr>
              <w:t xml:space="preserve">at this time. This sealed bid will only </w:t>
            </w:r>
            <w:r>
              <w:rPr>
                <w:rFonts w:ascii="Arial" w:hAnsi="Arial" w:cs="Arial"/>
                <w:i/>
                <w:color w:val="000000"/>
                <w:sz w:val="22"/>
                <w:szCs w:val="22"/>
              </w:rPr>
              <w:t>become relevant</w:t>
            </w:r>
            <w:r w:rsidRPr="000D0AAB">
              <w:rPr>
                <w:rFonts w:ascii="Arial" w:hAnsi="Arial" w:cs="Arial"/>
                <w:i/>
                <w:color w:val="000000"/>
                <w:sz w:val="22"/>
                <w:szCs w:val="22"/>
              </w:rPr>
              <w:t xml:space="preserve"> if the contention set is resolved through an ICANN Auction of Last Resort.</w:t>
            </w:r>
            <w:r w:rsidRPr="000D0AAB">
              <w:rPr>
                <w:rFonts w:ascii="Arial" w:hAnsi="Arial" w:cs="Arial"/>
                <w:i/>
                <w:color w:val="000000"/>
                <w:sz w:val="22"/>
                <w:szCs w:val="22"/>
              </w:rPr>
              <w:t xml:space="preserve"> (“Last Resort Sealed Bids”).</w:t>
            </w:r>
          </w:p>
          <w:p w14:paraId="664BDE67" w14:textId="77777777" w:rsidR="000D421E" w:rsidRDefault="000D421E"/>
        </w:tc>
      </w:tr>
      <w:tr w:rsidR="00395727" w14:paraId="26201D1C" w14:textId="77777777" w:rsidTr="000D421E">
        <w:tc>
          <w:tcPr>
            <w:tcW w:w="1080" w:type="dxa"/>
          </w:tcPr>
          <w:p w14:paraId="1E78E9F8" w14:textId="18322A8E" w:rsidR="000D421E" w:rsidRDefault="000D421E" w:rsidP="006D0418">
            <w:pPr>
              <w:pStyle w:val="ListParagraph"/>
              <w:numPr>
                <w:ilvl w:val="0"/>
                <w:numId w:val="1"/>
              </w:numPr>
            </w:pPr>
          </w:p>
        </w:tc>
        <w:tc>
          <w:tcPr>
            <w:tcW w:w="2520" w:type="dxa"/>
          </w:tcPr>
          <w:p w14:paraId="1F4B615D" w14:textId="338026D0" w:rsidR="000D421E" w:rsidRDefault="00395727" w:rsidP="00395727">
            <w:r>
              <w:t>ICANN Auction of Last Resort vs auction of last resort</w:t>
            </w:r>
          </w:p>
        </w:tc>
        <w:tc>
          <w:tcPr>
            <w:tcW w:w="1260" w:type="dxa"/>
          </w:tcPr>
          <w:p w14:paraId="0654562B" w14:textId="23889D03" w:rsidR="000D421E" w:rsidRDefault="00A423D4">
            <w:r>
              <w:t xml:space="preserve">2.1 &amp; 2.2 b) </w:t>
            </w:r>
          </w:p>
        </w:tc>
        <w:tc>
          <w:tcPr>
            <w:tcW w:w="4860" w:type="dxa"/>
          </w:tcPr>
          <w:p w14:paraId="29E2E80E" w14:textId="413983CD" w:rsidR="000D421E" w:rsidRDefault="00395727">
            <w:r>
              <w:t>I believe that where ‘auction of last resort’ is used we mean ICANN Auction of Last Resort. Rather than use the terms interchangeably it would be best if the same term can be used for consistency and remove possibility for confusion.</w:t>
            </w:r>
          </w:p>
        </w:tc>
        <w:tc>
          <w:tcPr>
            <w:tcW w:w="4860" w:type="dxa"/>
          </w:tcPr>
          <w:p w14:paraId="00ED2E91" w14:textId="77777777" w:rsidR="000D421E" w:rsidRDefault="000D421E" w:rsidP="00395727"/>
        </w:tc>
      </w:tr>
      <w:tr w:rsidR="00395727"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4D065111" w:rsidR="000D421E" w:rsidRDefault="00EB6433">
            <w:r>
              <w:rPr>
                <w:rFonts w:ascii="Arial" w:hAnsi="Arial" w:cs="Arial"/>
                <w:color w:val="000000"/>
                <w:sz w:val="22"/>
                <w:szCs w:val="22"/>
                <w:u w:val="single"/>
              </w:rPr>
              <w:t>Rationale for Implementation Guidance xx (Rationale 3):</w:t>
            </w:r>
            <w:r>
              <w:rPr>
                <w:rFonts w:ascii="Arial" w:hAnsi="Arial" w:cs="Arial"/>
                <w:color w:val="000000"/>
                <w:sz w:val="22"/>
                <w:szCs w:val="22"/>
              </w:rPr>
              <w:t xml:space="preserve"> The Working Group believes that second-price, sealed bid auctions are preferable to the ascending bid auctions used in the 2012 round, because second price auctions reduce the risk of “bidding wars” that can occur in ascending bid auctions.</w:t>
            </w:r>
          </w:p>
        </w:tc>
        <w:tc>
          <w:tcPr>
            <w:tcW w:w="1260" w:type="dxa"/>
          </w:tcPr>
          <w:p w14:paraId="2B950626" w14:textId="0660D112" w:rsidR="000D421E" w:rsidRDefault="00EB6433">
            <w:r>
              <w:t>2.1 and 2.2 b)</w:t>
            </w:r>
          </w:p>
        </w:tc>
        <w:tc>
          <w:tcPr>
            <w:tcW w:w="4860" w:type="dxa"/>
          </w:tcPr>
          <w:p w14:paraId="3DFFE446" w14:textId="01D03D5A" w:rsidR="000D421E" w:rsidRDefault="00EB6433" w:rsidP="00EB6433">
            <w:r>
              <w:t>It’s unclear whether this refers only to ICANN Auctions of Last Resort or private resolution auctions—I have assumed ICANN Auctions of Last Resort, but it would be helpful if this is explicit</w:t>
            </w:r>
            <w:bookmarkStart w:id="0" w:name="_GoBack"/>
            <w:bookmarkEnd w:id="0"/>
            <w:r>
              <w:t>.</w:t>
            </w:r>
          </w:p>
        </w:tc>
        <w:tc>
          <w:tcPr>
            <w:tcW w:w="4860" w:type="dxa"/>
          </w:tcPr>
          <w:p w14:paraId="1CE5317D" w14:textId="4ACF6329" w:rsidR="000D421E" w:rsidRDefault="00EB6433">
            <w:r>
              <w:rPr>
                <w:rFonts w:ascii="Arial" w:hAnsi="Arial" w:cs="Arial"/>
                <w:color w:val="000000"/>
                <w:sz w:val="22"/>
                <w:szCs w:val="22"/>
                <w:u w:val="single"/>
              </w:rPr>
              <w:t>Rationale for Implementation Guidance xx (Rationale 3):</w:t>
            </w:r>
            <w:r>
              <w:rPr>
                <w:rFonts w:ascii="Arial" w:hAnsi="Arial" w:cs="Arial"/>
                <w:color w:val="000000"/>
                <w:sz w:val="22"/>
                <w:szCs w:val="22"/>
              </w:rPr>
              <w:t xml:space="preserve"> The Working Group believes that second-price, sealed bid auctions are preferable to the ascending bid auctions used in the 2012 round</w:t>
            </w:r>
            <w:r>
              <w:rPr>
                <w:rFonts w:ascii="Arial" w:hAnsi="Arial" w:cs="Arial"/>
                <w:color w:val="000000"/>
                <w:sz w:val="22"/>
                <w:szCs w:val="22"/>
              </w:rPr>
              <w:t xml:space="preserve"> </w:t>
            </w:r>
            <w:r>
              <w:rPr>
                <w:rFonts w:ascii="Arial" w:hAnsi="Arial" w:cs="Arial"/>
                <w:i/>
                <w:color w:val="000000"/>
                <w:sz w:val="22"/>
                <w:szCs w:val="22"/>
              </w:rPr>
              <w:t>ICANN Auctions of Last Resort</w:t>
            </w:r>
            <w:r>
              <w:rPr>
                <w:rFonts w:ascii="Arial" w:hAnsi="Arial" w:cs="Arial"/>
                <w:color w:val="000000"/>
                <w:sz w:val="22"/>
                <w:szCs w:val="22"/>
              </w:rPr>
              <w:t>, because second price auctions reduce the risk of “bidding wars” that can occur in ascending bid auctions.</w:t>
            </w:r>
          </w:p>
        </w:tc>
      </w:tr>
      <w:tr w:rsidR="00395727" w14:paraId="5059611E" w14:textId="77777777" w:rsidTr="000D421E">
        <w:tc>
          <w:tcPr>
            <w:tcW w:w="1080" w:type="dxa"/>
          </w:tcPr>
          <w:p w14:paraId="01FE68CA" w14:textId="77777777"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395727"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395727"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B36D3"/>
    <w:multiLevelType w:val="multilevel"/>
    <w:tmpl w:val="D68AE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0AAB"/>
    <w:rsid w:val="000D421E"/>
    <w:rsid w:val="00134BA4"/>
    <w:rsid w:val="00246C3B"/>
    <w:rsid w:val="00336B8B"/>
    <w:rsid w:val="0035336D"/>
    <w:rsid w:val="00385D74"/>
    <w:rsid w:val="00395727"/>
    <w:rsid w:val="004B3C4A"/>
    <w:rsid w:val="005E720C"/>
    <w:rsid w:val="005F102F"/>
    <w:rsid w:val="006D0418"/>
    <w:rsid w:val="007F1FED"/>
    <w:rsid w:val="008363A6"/>
    <w:rsid w:val="00970EBD"/>
    <w:rsid w:val="009D04F7"/>
    <w:rsid w:val="009F7957"/>
    <w:rsid w:val="00A423D4"/>
    <w:rsid w:val="00B34569"/>
    <w:rsid w:val="00BE5129"/>
    <w:rsid w:val="00C639AA"/>
    <w:rsid w:val="00CD0B02"/>
    <w:rsid w:val="00E53B3D"/>
    <w:rsid w:val="00EB6433"/>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NormalWeb">
    <w:name w:val="Normal (Web)"/>
    <w:basedOn w:val="Normal"/>
    <w:uiPriority w:val="99"/>
    <w:semiHidden/>
    <w:unhideWhenUsed/>
    <w:rsid w:val="00134BA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64747">
      <w:bodyDiv w:val="1"/>
      <w:marLeft w:val="0"/>
      <w:marRight w:val="0"/>
      <w:marTop w:val="0"/>
      <w:marBottom w:val="0"/>
      <w:divBdr>
        <w:top w:val="none" w:sz="0" w:space="0" w:color="auto"/>
        <w:left w:val="none" w:sz="0" w:space="0" w:color="auto"/>
        <w:bottom w:val="none" w:sz="0" w:space="0" w:color="auto"/>
        <w:right w:val="none" w:sz="0" w:space="0" w:color="auto"/>
      </w:divBdr>
    </w:div>
    <w:div w:id="12813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05F55-8A82-4BAC-9952-B92506B3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Austin, Donna</cp:lastModifiedBy>
  <cp:revision>3</cp:revision>
  <dcterms:created xsi:type="dcterms:W3CDTF">2020-08-12T00:59:00Z</dcterms:created>
  <dcterms:modified xsi:type="dcterms:W3CDTF">2020-08-12T01:02:00Z</dcterms:modified>
</cp:coreProperties>
</file>