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A9B3D" w14:textId="77777777" w:rsidR="00BA6ADE" w:rsidRDefault="000329F2">
      <w:pPr>
        <w:pStyle w:val="Heading4"/>
        <w:keepNext w:val="0"/>
        <w:keepLines w:val="0"/>
        <w:spacing w:before="240" w:after="40"/>
        <w:contextualSpacing w:val="0"/>
      </w:pPr>
      <w:bookmarkStart w:id="0" w:name="_t6etigq99y4z" w:colFirst="0" w:colLast="0"/>
      <w:bookmarkEnd w:id="0"/>
      <w:r>
        <w:rPr>
          <w:b/>
          <w:color w:val="000000"/>
          <w:sz w:val="22"/>
          <w:szCs w:val="22"/>
        </w:rPr>
        <w:t>1.3 Role of Application Comment</w:t>
      </w:r>
    </w:p>
    <w:p w14:paraId="3AD249A1" w14:textId="77777777" w:rsidR="00BA6ADE" w:rsidRDefault="00BA6ADE">
      <w:pPr>
        <w:contextualSpacing w:val="0"/>
      </w:pPr>
    </w:p>
    <w:p w14:paraId="305F707E" w14:textId="77777777" w:rsidR="00BA6ADE" w:rsidRDefault="000329F2">
      <w:pPr>
        <w:numPr>
          <w:ilvl w:val="0"/>
          <w:numId w:val="12"/>
        </w:numPr>
        <w:rPr>
          <w:b/>
          <w:i/>
        </w:rPr>
      </w:pPr>
      <w:r>
        <w:rPr>
          <w:b/>
          <w:i/>
        </w:rPr>
        <w:t>What is the relevant policy and/or implementation guidance (if any)?</w:t>
      </w:r>
    </w:p>
    <w:p w14:paraId="586B64CB" w14:textId="77777777" w:rsidR="00BA6ADE" w:rsidRDefault="00BA6ADE">
      <w:pPr>
        <w:contextualSpacing w:val="0"/>
        <w:rPr>
          <w:b/>
          <w:i/>
        </w:rPr>
      </w:pPr>
    </w:p>
    <w:p w14:paraId="2B06A37A" w14:textId="77777777" w:rsidR="00BA6ADE" w:rsidRDefault="000329F2">
      <w:pPr>
        <w:contextualSpacing w:val="0"/>
      </w:pPr>
      <w:r>
        <w:rPr>
          <w:u w:val="single"/>
        </w:rPr>
        <w:t>Implementation Guideline C</w:t>
      </w:r>
      <w:r>
        <w:t>: ICANN will provide frequent communications with applicants and the public including comment forums.</w:t>
      </w:r>
    </w:p>
    <w:p w14:paraId="38BA5018" w14:textId="77777777" w:rsidR="00BA6ADE" w:rsidRDefault="000329F2">
      <w:pPr>
        <w:contextualSpacing w:val="0"/>
      </w:pPr>
      <w:r>
        <w:rPr>
          <w:u w:val="single"/>
        </w:rPr>
        <w:t>Implementation Guideline Q</w:t>
      </w:r>
      <w:r>
        <w:t>: ICANN staff will provide an automatic reply to all those who submit public comments that will explain the objection procedure.</w:t>
      </w:r>
    </w:p>
    <w:p w14:paraId="5E9F7B37" w14:textId="77777777" w:rsidR="00BA6ADE" w:rsidRDefault="00BA6ADE">
      <w:pPr>
        <w:contextualSpacing w:val="0"/>
        <w:rPr>
          <w:b/>
          <w:i/>
        </w:rPr>
      </w:pPr>
    </w:p>
    <w:p w14:paraId="2746C64C" w14:textId="77777777" w:rsidR="00BA6ADE" w:rsidRDefault="000329F2">
      <w:pPr>
        <w:numPr>
          <w:ilvl w:val="0"/>
          <w:numId w:val="12"/>
        </w:numPr>
        <w:rPr>
          <w:b/>
          <w:i/>
        </w:rPr>
      </w:pPr>
      <w:r>
        <w:rPr>
          <w:b/>
          <w:i/>
        </w:rPr>
        <w:t>How was it implemented in the 2012 round of the New gTLD Program?</w:t>
      </w:r>
    </w:p>
    <w:p w14:paraId="613218DD" w14:textId="77777777" w:rsidR="00BA6ADE" w:rsidRDefault="00BA6ADE">
      <w:pPr>
        <w:contextualSpacing w:val="0"/>
        <w:rPr>
          <w:b/>
          <w:i/>
        </w:rPr>
      </w:pPr>
    </w:p>
    <w:p w14:paraId="59F0CC85" w14:textId="77777777" w:rsidR="00BA6ADE" w:rsidRDefault="000329F2">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14:paraId="05E2FC49" w14:textId="77777777" w:rsidR="00BA6ADE" w:rsidRDefault="00BA6ADE">
      <w:pPr>
        <w:contextualSpacing w:val="0"/>
      </w:pPr>
    </w:p>
    <w:p w14:paraId="6FF53A8F" w14:textId="77777777" w:rsidR="00BA6ADE" w:rsidRDefault="000329F2">
      <w:pPr>
        <w:contextualSpacing w:val="0"/>
      </w:pPr>
      <w:r>
        <w:t>Comments received within the specified period (the Applicant Guidebook indicated 60 days), would be considered by the relevant evaluation panels. Panelists would perform due diligence on the comments and seek clarification from the applicant if necessary (e.g., where the comment could impact scoring). In those instances, applicants were given the opportunity to respond to the relevant application comments.</w:t>
      </w:r>
    </w:p>
    <w:p w14:paraId="2DD46913" w14:textId="77777777" w:rsidR="00BA6ADE" w:rsidRDefault="00BA6ADE">
      <w:pPr>
        <w:contextualSpacing w:val="0"/>
      </w:pPr>
    </w:p>
    <w:p w14:paraId="48CFD1BF" w14:textId="77777777" w:rsidR="00BA6ADE" w:rsidRDefault="000329F2">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forwarded to the Independent Objector.</w:t>
      </w:r>
    </w:p>
    <w:p w14:paraId="67AE700A" w14:textId="77777777" w:rsidR="00BA6ADE" w:rsidRDefault="00BA6ADE">
      <w:pPr>
        <w:contextualSpacing w:val="0"/>
      </w:pPr>
    </w:p>
    <w:p w14:paraId="2A0D1FCD" w14:textId="77777777" w:rsidR="00BA6ADE" w:rsidRDefault="000329F2">
      <w:pPr>
        <w:contextualSpacing w:val="0"/>
      </w:pPr>
      <w:r>
        <w:t>Public comments designated to Community Priority Evaluation (CPE) could be taken into account by the evaluation panelist during CPE.</w:t>
      </w:r>
    </w:p>
    <w:p w14:paraId="5489D217" w14:textId="77777777" w:rsidR="00BA6ADE" w:rsidRDefault="00BA6ADE">
      <w:pPr>
        <w:contextualSpacing w:val="0"/>
      </w:pPr>
    </w:p>
    <w:p w14:paraId="464D954C" w14:textId="77777777" w:rsidR="00BA6ADE" w:rsidRDefault="000329F2">
      <w:pPr>
        <w:contextualSpacing w:val="0"/>
      </w:pPr>
      <w:r>
        <w:t>Governments could utilize the application comment tool, but was not a substitute for formal consensus GAC Advice.</w:t>
      </w:r>
    </w:p>
    <w:p w14:paraId="29654F64" w14:textId="77777777" w:rsidR="00BA6ADE" w:rsidRDefault="00BA6ADE">
      <w:pPr>
        <w:contextualSpacing w:val="0"/>
      </w:pPr>
    </w:p>
    <w:p w14:paraId="2EA36D72" w14:textId="77777777" w:rsidR="00BA6ADE" w:rsidRDefault="000329F2">
      <w:pPr>
        <w:contextualSpacing w:val="0"/>
      </w:pPr>
      <w:r>
        <w:t>The application comment system was also utilized for application change requests, Public Interest Commitment (PIC) statements, and complaints about code of conduct violations of an evaluation panelist.</w:t>
      </w:r>
    </w:p>
    <w:p w14:paraId="4EAA7825" w14:textId="77777777" w:rsidR="00BA6ADE" w:rsidRDefault="00BA6ADE">
      <w:pPr>
        <w:contextualSpacing w:val="0"/>
      </w:pPr>
    </w:p>
    <w:p w14:paraId="7CCFF316" w14:textId="77777777" w:rsidR="00BA6ADE" w:rsidRDefault="000329F2">
      <w:pPr>
        <w:contextualSpacing w:val="0"/>
      </w:pPr>
      <w:r>
        <w:t>In some circumstances, public comments needed to be submitted by certain deadlines in order to be considered by the relevant evaluation panel or process. The general public comment forum remained otherwise open throughout the entire process.</w:t>
      </w:r>
    </w:p>
    <w:p w14:paraId="50AD966A" w14:textId="77777777" w:rsidR="00BA6ADE" w:rsidRDefault="00BA6ADE">
      <w:pPr>
        <w:contextualSpacing w:val="0"/>
      </w:pPr>
    </w:p>
    <w:p w14:paraId="2E70516D" w14:textId="77777777" w:rsidR="00BA6ADE" w:rsidRDefault="000329F2">
      <w:pPr>
        <w:contextualSpacing w:val="0"/>
      </w:pPr>
      <w:r>
        <w:lastRenderedPageBreak/>
        <w:t xml:space="preserve">The Program Implementation Review Report (PIRR) contains statistics on the number of application comments received, as well as for which areas of evaluation. </w:t>
      </w:r>
    </w:p>
    <w:p w14:paraId="25F0922C" w14:textId="77777777" w:rsidR="00BA6ADE" w:rsidRDefault="00BA6ADE">
      <w:pPr>
        <w:contextualSpacing w:val="0"/>
        <w:rPr>
          <w:b/>
          <w:i/>
        </w:rPr>
      </w:pPr>
    </w:p>
    <w:p w14:paraId="19247814" w14:textId="77777777" w:rsidR="00BA6ADE" w:rsidRDefault="000329F2">
      <w:pPr>
        <w:numPr>
          <w:ilvl w:val="0"/>
          <w:numId w:val="12"/>
        </w:numPr>
        <w:rPr>
          <w:b/>
          <w:i/>
        </w:rPr>
      </w:pPr>
      <w:r>
        <w:rPr>
          <w:b/>
          <w:i/>
        </w:rPr>
        <w:t>What are the preliminary recommendations and/or implementation guidelines?</w:t>
      </w:r>
    </w:p>
    <w:p w14:paraId="271F65CB" w14:textId="77777777" w:rsidR="00BA6ADE" w:rsidRDefault="00BA6ADE">
      <w:pPr>
        <w:contextualSpacing w:val="0"/>
        <w:rPr>
          <w:b/>
          <w:i/>
        </w:rPr>
      </w:pPr>
    </w:p>
    <w:p w14:paraId="7A90DE01" w14:textId="77777777" w:rsidR="00BA6ADE" w:rsidRDefault="000329F2">
      <w:pPr>
        <w:numPr>
          <w:ilvl w:val="0"/>
          <w:numId w:val="7"/>
        </w:numPr>
      </w:pPr>
      <w:r>
        <w:t>The Working Group supports continuing the guidance in Implementation Guideline C, particularly around the provision of comment forums. However, the Working Group believes that the mechanism and system could be be further optimized.</w:t>
      </w:r>
    </w:p>
    <w:p w14:paraId="22A1D496" w14:textId="77777777" w:rsidR="00BA6ADE" w:rsidRDefault="000329F2">
      <w:pPr>
        <w:numPr>
          <w:ilvl w:val="1"/>
          <w:numId w:val="7"/>
        </w:numPr>
      </w:pPr>
      <w:r>
        <w:t>Implementation Guidance: The system used to collect application comment should better ensure that the email and name used for an account are verified in some manner.</w:t>
      </w:r>
    </w:p>
    <w:p w14:paraId="35653AA9" w14:textId="77777777" w:rsidR="00BA6ADE" w:rsidRDefault="000329F2">
      <w:pPr>
        <w:numPr>
          <w:ilvl w:val="1"/>
          <w:numId w:val="7"/>
        </w:numPr>
      </w:pPr>
      <w:r>
        <w:t xml:space="preserve">Implementation Guidance:  The system used to collect application comment should support a filtering and/or sorting mechanism to better review a high volume of comments. The system should also allow for the inclusion of attachments. </w:t>
      </w:r>
    </w:p>
    <w:p w14:paraId="078839C4" w14:textId="77777777" w:rsidR="00BA6ADE" w:rsidRDefault="000329F2">
      <w:pPr>
        <w:numPr>
          <w:ilvl w:val="0"/>
          <w:numId w:val="7"/>
        </w:numPr>
      </w:pPr>
      <w:r>
        <w:t xml:space="preserve">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 </w:t>
      </w:r>
    </w:p>
    <w:p w14:paraId="101CDBEA" w14:textId="77777777" w:rsidR="00BA6ADE" w:rsidRDefault="00BA6ADE">
      <w:pPr>
        <w:contextualSpacing w:val="0"/>
        <w:rPr>
          <w:b/>
          <w:i/>
        </w:rPr>
      </w:pPr>
    </w:p>
    <w:p w14:paraId="3E2D4CF7" w14:textId="77777777" w:rsidR="00BA6ADE" w:rsidRDefault="000329F2">
      <w:pPr>
        <w:numPr>
          <w:ilvl w:val="0"/>
          <w:numId w:val="12"/>
        </w:numPr>
        <w:rPr>
          <w:b/>
          <w:i/>
        </w:rPr>
      </w:pPr>
      <w:r>
        <w:rPr>
          <w:b/>
          <w:i/>
        </w:rPr>
        <w:t>What are the options under consideration, along with the associated benefits / drawbacks?</w:t>
      </w:r>
    </w:p>
    <w:p w14:paraId="6AEE78F8" w14:textId="77777777" w:rsidR="00BA6ADE" w:rsidRDefault="00BA6ADE">
      <w:pPr>
        <w:contextualSpacing w:val="0"/>
        <w:rPr>
          <w:b/>
          <w:i/>
        </w:rPr>
      </w:pPr>
    </w:p>
    <w:p w14:paraId="59A3A8BF" w14:textId="77777777" w:rsidR="00BA6ADE" w:rsidRDefault="000329F2">
      <w:pPr>
        <w:contextualSpacing w:val="0"/>
        <w:rPr>
          <w:b/>
          <w:i/>
        </w:rPr>
      </w:pPr>
      <w:r>
        <w:t>None identified at this time.</w:t>
      </w:r>
    </w:p>
    <w:p w14:paraId="768D7B87" w14:textId="77777777" w:rsidR="00BA6ADE" w:rsidRDefault="00BA6ADE">
      <w:pPr>
        <w:contextualSpacing w:val="0"/>
        <w:rPr>
          <w:b/>
          <w:i/>
        </w:rPr>
      </w:pPr>
    </w:p>
    <w:p w14:paraId="2CC8E993" w14:textId="77777777" w:rsidR="00BA6ADE" w:rsidRDefault="000329F2">
      <w:pPr>
        <w:numPr>
          <w:ilvl w:val="0"/>
          <w:numId w:val="12"/>
        </w:numPr>
        <w:rPr>
          <w:b/>
          <w:i/>
        </w:rPr>
      </w:pPr>
      <w:r>
        <w:rPr>
          <w:b/>
          <w:i/>
        </w:rPr>
        <w:t>What specific questions are the PDP WG seeking feedback on?</w:t>
      </w:r>
    </w:p>
    <w:p w14:paraId="32B565E0" w14:textId="77777777" w:rsidR="00BA6ADE" w:rsidRDefault="00BA6ADE">
      <w:pPr>
        <w:contextualSpacing w:val="0"/>
        <w:rPr>
          <w:b/>
          <w:i/>
        </w:rPr>
      </w:pPr>
    </w:p>
    <w:p w14:paraId="74120210" w14:textId="77777777" w:rsidR="00BA6ADE" w:rsidRDefault="000329F2">
      <w:pPr>
        <w:numPr>
          <w:ilvl w:val="0"/>
          <w:numId w:val="18"/>
        </w:numPr>
      </w:pPr>
      <w:r>
        <w:t>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Do you believe it makes sense to shorten this particular application comment period, or perhaps just have it run in parallel to the Initial Evaluation comment period?</w:t>
      </w:r>
    </w:p>
    <w:p w14:paraId="71E608C9" w14:textId="77777777" w:rsidR="00BA6ADE" w:rsidRDefault="000329F2">
      <w:pPr>
        <w:numPr>
          <w:ilvl w:val="0"/>
          <w:numId w:val="18"/>
        </w:numPr>
      </w:pPr>
      <w:r>
        <w:t>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 issue that needs to be addressed? If so, what measures do you propose in response to this problem?</w:t>
      </w:r>
    </w:p>
    <w:p w14:paraId="20EBF34B" w14:textId="77777777" w:rsidR="00BA6ADE" w:rsidRDefault="000329F2">
      <w:pPr>
        <w:numPr>
          <w:ilvl w:val="0"/>
          <w:numId w:val="18"/>
        </w:numPr>
      </w:pPr>
      <w:r>
        <w:t xml:space="preserve">If there is a application comment period prior to evaluations, should applicants be given a certain amount of time to respond to the public comments prior to the consideration of those comments. For example, if there is a 60-day public comment period, should an </w:t>
      </w:r>
      <w:r>
        <w:lastRenderedPageBreak/>
        <w:t>additional time period of 7-10 days be added solely for the purpose of providing an opportunity for applicants to respond to the comments if they so choose?</w:t>
      </w:r>
    </w:p>
    <w:p w14:paraId="16E149DB" w14:textId="77777777" w:rsidR="00BA6ADE" w:rsidRDefault="00BA6ADE">
      <w:pPr>
        <w:contextualSpacing w:val="0"/>
        <w:rPr>
          <w:b/>
          <w:i/>
        </w:rPr>
      </w:pPr>
    </w:p>
    <w:p w14:paraId="5BDB2695" w14:textId="77777777" w:rsidR="00BA6ADE" w:rsidRDefault="000329F2">
      <w:pPr>
        <w:numPr>
          <w:ilvl w:val="0"/>
          <w:numId w:val="12"/>
        </w:numPr>
        <w:rPr>
          <w:b/>
          <w:i/>
        </w:rPr>
      </w:pPr>
      <w:r>
        <w:rPr>
          <w:b/>
          <w:i/>
        </w:rPr>
        <w:t>Deliberations</w:t>
      </w:r>
    </w:p>
    <w:p w14:paraId="0163FBAC" w14:textId="77777777" w:rsidR="00BA6ADE" w:rsidRDefault="00BA6ADE">
      <w:pPr>
        <w:contextualSpacing w:val="0"/>
      </w:pPr>
    </w:p>
    <w:p w14:paraId="73BAAB48" w14:textId="77777777" w:rsidR="00BA6ADE" w:rsidRDefault="000329F2">
      <w:pPr>
        <w:contextualSpacing w:val="0"/>
      </w:pPr>
      <w:r>
        <w:t>This topic was initially discussed on 25 June 2018 at ICANN62 during the Working Group’s second face-to-face session and was later considered further in Working Group discussions.</w:t>
      </w:r>
    </w:p>
    <w:p w14:paraId="5B49D308" w14:textId="77777777" w:rsidR="00BA6ADE" w:rsidRDefault="00BA6ADE">
      <w:pPr>
        <w:contextualSpacing w:val="0"/>
      </w:pPr>
    </w:p>
    <w:p w14:paraId="3A31B23F" w14:textId="77777777" w:rsidR="00BA6ADE" w:rsidRDefault="000329F2">
      <w:pPr>
        <w:contextualSpacing w:val="0"/>
      </w:pPr>
      <w:r>
        <w:t>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14:paraId="1F8FFAA6" w14:textId="77777777" w:rsidR="00BA6ADE" w:rsidRDefault="00BA6ADE">
      <w:pPr>
        <w:contextualSpacing w:val="0"/>
      </w:pPr>
    </w:p>
    <w:p w14:paraId="718F6B06" w14:textId="77777777" w:rsidR="00BA6ADE" w:rsidRDefault="000329F2">
      <w:pPr>
        <w:contextualSpacing w:val="0"/>
      </w:pPr>
      <w:r>
        <w:t>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14:paraId="2609B247" w14:textId="77777777" w:rsidR="00BA6ADE" w:rsidRDefault="00BA6ADE">
      <w:pPr>
        <w:contextualSpacing w:val="0"/>
      </w:pPr>
    </w:p>
    <w:p w14:paraId="5D091340" w14:textId="77777777" w:rsidR="00BA6ADE" w:rsidRDefault="000329F2">
      <w:pPr>
        <w:contextualSpacing w:val="0"/>
      </w:pPr>
      <w:r>
        <w:t>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p>
    <w:p w14:paraId="403466B3" w14:textId="77777777" w:rsidR="00BA6ADE" w:rsidRDefault="00BA6ADE">
      <w:pPr>
        <w:contextualSpacing w:val="0"/>
      </w:pPr>
    </w:p>
    <w:p w14:paraId="3554C2CF" w14:textId="77777777" w:rsidR="00BA6ADE" w:rsidRDefault="000329F2">
      <w:pPr>
        <w:contextualSpacing w:val="0"/>
      </w:pPr>
      <w: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14:paraId="0FC25A9D" w14:textId="77777777" w:rsidR="00BA6ADE" w:rsidRDefault="00BA6ADE">
      <w:pPr>
        <w:contextualSpacing w:val="0"/>
      </w:pPr>
    </w:p>
    <w:p w14:paraId="2E1B0397" w14:textId="77777777" w:rsidR="00BA6ADE" w:rsidRDefault="000329F2">
      <w:pPr>
        <w:contextualSpacing w:val="0"/>
      </w:pPr>
      <w:r>
        <w:t xml:space="preserve">The Working Group discussed the length of the public comment period, at least in respect to Initial Evaluation, and considered whether 60 days from the posting date of the public portion of </w:t>
      </w:r>
      <w:r>
        <w:lastRenderedPageBreak/>
        <w:t xml:space="preserve">applications was a sufficient period of time. Per the Applicant Guidebook, this time period is subject to extension, which was the case in 2012, where the period was extended 45 additional days. There were not concerns raised about this period. </w:t>
      </w:r>
    </w:p>
    <w:p w14:paraId="5D65876E" w14:textId="77777777" w:rsidR="00BA6ADE" w:rsidRDefault="00BA6ADE">
      <w:pPr>
        <w:contextualSpacing w:val="0"/>
      </w:pPr>
    </w:p>
    <w:p w14:paraId="1B095D0E" w14:textId="77777777" w:rsidR="00BA6ADE" w:rsidRDefault="000329F2">
      <w:pPr>
        <w:contextualSpacing w:val="0"/>
      </w:pPr>
      <w:r>
        <w:t>One Working Group member raised concerns about the public comment period for community applications, and asked if it was fair that the public comment period for community applications remained open longer than the public comment period for standard applications. The Working Group member 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Community Priority Evaluation was performed (i.e., after Initial and Extended Evaluation, objections, and near the end of the evaluation process).</w:t>
      </w:r>
    </w:p>
    <w:p w14:paraId="5143B09C" w14:textId="77777777" w:rsidR="00BA6ADE" w:rsidRDefault="00BA6ADE">
      <w:pPr>
        <w:contextualSpacing w:val="0"/>
        <w:rPr>
          <w:b/>
          <w:i/>
        </w:rPr>
      </w:pPr>
    </w:p>
    <w:p w14:paraId="2CDB384D" w14:textId="77777777" w:rsidR="00BA6ADE" w:rsidRDefault="000329F2">
      <w:pPr>
        <w:numPr>
          <w:ilvl w:val="0"/>
          <w:numId w:val="12"/>
        </w:numPr>
        <w:rPr>
          <w:b/>
          <w:i/>
        </w:rPr>
      </w:pPr>
      <w:r>
        <w:rPr>
          <w:b/>
          <w:i/>
        </w:rPr>
        <w:t>Are there other activities in the community that may serve as a dependency or future input to this topic?</w:t>
      </w:r>
    </w:p>
    <w:p w14:paraId="710B9D77" w14:textId="77777777" w:rsidR="00BA6ADE" w:rsidRDefault="00BA6ADE">
      <w:pPr>
        <w:contextualSpacing w:val="0"/>
        <w:rPr>
          <w:b/>
          <w:i/>
        </w:rPr>
      </w:pPr>
    </w:p>
    <w:p w14:paraId="65A4C09C" w14:textId="77777777" w:rsidR="00BA6ADE" w:rsidRDefault="000329F2">
      <w:pPr>
        <w:contextualSpacing w:val="0"/>
      </w:pPr>
      <w:r>
        <w:t>None identified at this time.</w:t>
      </w:r>
    </w:p>
    <w:p w14:paraId="7C7E0D8A" w14:textId="77777777" w:rsidR="00BA6ADE" w:rsidRDefault="00BA6ADE">
      <w:pPr>
        <w:contextualSpacing w:val="0"/>
      </w:pPr>
    </w:p>
    <w:p w14:paraId="0ADA646B" w14:textId="77777777" w:rsidR="00BA6ADE" w:rsidRDefault="00BA6ADE">
      <w:pPr>
        <w:contextualSpacing w:val="0"/>
      </w:pPr>
    </w:p>
    <w:p w14:paraId="774B04F4" w14:textId="77777777" w:rsidR="00BA6ADE" w:rsidRDefault="00BA6ADE">
      <w:pPr>
        <w:contextualSpacing w:val="0"/>
      </w:pPr>
    </w:p>
    <w:p w14:paraId="140A0BAA" w14:textId="77777777" w:rsidR="00BA6ADE" w:rsidRDefault="000329F2">
      <w:pPr>
        <w:pStyle w:val="Heading4"/>
        <w:keepNext w:val="0"/>
        <w:keepLines w:val="0"/>
        <w:spacing w:before="240" w:after="40"/>
        <w:contextualSpacing w:val="0"/>
        <w:rPr>
          <w:b/>
          <w:color w:val="000000"/>
          <w:sz w:val="22"/>
          <w:szCs w:val="22"/>
        </w:rPr>
      </w:pPr>
      <w:bookmarkStart w:id="1" w:name="_ik6w38y6qc9m" w:colFirst="0" w:colLast="0"/>
      <w:bookmarkEnd w:id="1"/>
      <w:r>
        <w:br w:type="page"/>
      </w:r>
    </w:p>
    <w:p w14:paraId="606E3885" w14:textId="77777777" w:rsidR="00BA6ADE" w:rsidRDefault="000329F2">
      <w:pPr>
        <w:pStyle w:val="Heading4"/>
        <w:keepNext w:val="0"/>
        <w:keepLines w:val="0"/>
        <w:spacing w:before="240" w:after="40"/>
        <w:contextualSpacing w:val="0"/>
      </w:pPr>
      <w:bookmarkStart w:id="2" w:name="_glge9kwh3f" w:colFirst="0" w:colLast="0"/>
      <w:bookmarkEnd w:id="2"/>
      <w:r>
        <w:rPr>
          <w:b/>
          <w:color w:val="000000"/>
          <w:sz w:val="22"/>
          <w:szCs w:val="22"/>
        </w:rPr>
        <w:lastRenderedPageBreak/>
        <w:t>1.4 Change Requests</w:t>
      </w:r>
    </w:p>
    <w:p w14:paraId="7F7B3641" w14:textId="77777777" w:rsidR="00BA6ADE" w:rsidRDefault="00BA6ADE">
      <w:pPr>
        <w:contextualSpacing w:val="0"/>
      </w:pPr>
    </w:p>
    <w:p w14:paraId="34DD6A0E" w14:textId="77777777" w:rsidR="00BA6ADE" w:rsidRDefault="000329F2">
      <w:pPr>
        <w:numPr>
          <w:ilvl w:val="0"/>
          <w:numId w:val="16"/>
        </w:numPr>
        <w:rPr>
          <w:b/>
          <w:i/>
        </w:rPr>
      </w:pPr>
      <w:r>
        <w:rPr>
          <w:b/>
          <w:i/>
        </w:rPr>
        <w:t>What is the relevant policy and/or implementation guidance (if any)?</w:t>
      </w:r>
    </w:p>
    <w:p w14:paraId="2D3A5A1A" w14:textId="77777777" w:rsidR="00BA6ADE" w:rsidRDefault="00BA6ADE">
      <w:pPr>
        <w:contextualSpacing w:val="0"/>
        <w:rPr>
          <w:b/>
          <w:i/>
        </w:rPr>
      </w:pPr>
    </w:p>
    <w:p w14:paraId="329F6812" w14:textId="77777777" w:rsidR="00BA6ADE" w:rsidRDefault="000329F2">
      <w:pPr>
        <w:contextualSpacing w:val="0"/>
      </w:pPr>
      <w:r>
        <w:t>No relevant policy or implementation guidance.</w:t>
      </w:r>
    </w:p>
    <w:p w14:paraId="28683F1A" w14:textId="77777777" w:rsidR="00BA6ADE" w:rsidRDefault="00BA6ADE">
      <w:pPr>
        <w:contextualSpacing w:val="0"/>
        <w:rPr>
          <w:b/>
          <w:i/>
        </w:rPr>
      </w:pPr>
    </w:p>
    <w:p w14:paraId="424983A4" w14:textId="77777777" w:rsidR="00BA6ADE" w:rsidRDefault="000329F2">
      <w:pPr>
        <w:numPr>
          <w:ilvl w:val="0"/>
          <w:numId w:val="16"/>
        </w:numPr>
        <w:rPr>
          <w:b/>
          <w:i/>
        </w:rPr>
      </w:pPr>
      <w:r>
        <w:rPr>
          <w:b/>
          <w:i/>
        </w:rPr>
        <w:t>How was it implemented in the 2012 round of the New gTLD Program?</w:t>
      </w:r>
    </w:p>
    <w:p w14:paraId="194BF117" w14:textId="77777777" w:rsidR="00BA6ADE" w:rsidRDefault="00BA6ADE">
      <w:pPr>
        <w:contextualSpacing w:val="0"/>
        <w:rPr>
          <w:b/>
          <w:i/>
        </w:rPr>
      </w:pPr>
    </w:p>
    <w:p w14:paraId="116CAFEA" w14:textId="77777777" w:rsidR="00BA6ADE" w:rsidRDefault="000329F2">
      <w:pPr>
        <w:contextualSpacing w:val="0"/>
      </w:pPr>
      <w:r>
        <w:t>There are many reasons applicants may wish to change aspects of their applications during the application and evaluation phases of the New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p>
    <w:p w14:paraId="11A54C19" w14:textId="77777777" w:rsidR="00BA6ADE" w:rsidRDefault="00BA6ADE">
      <w:pPr>
        <w:contextualSpacing w:val="0"/>
      </w:pPr>
    </w:p>
    <w:p w14:paraId="0D651561" w14:textId="77777777" w:rsidR="00BA6ADE" w:rsidRDefault="000329F2">
      <w:pPr>
        <w:contextualSpacing w:val="0"/>
      </w:pPr>
      <w:r>
        <w:t>On 5 September 2012, ICANN published criteria for considering and evaluating change requests. Requests were considered against a set of seven criteria and if approved, were published for a 30-day comment period. After enough data was available and after careful consideration the 30-day comment period was removed for certain types of change requests (e.g., changes to confidential parts of the application, updates to the application as a normal course of business, like contact information, stock symbol, etc.). The seven criteria were:</w:t>
      </w:r>
    </w:p>
    <w:p w14:paraId="79F1E9D9" w14:textId="77777777" w:rsidR="00BA6ADE" w:rsidRDefault="00BA6ADE">
      <w:pPr>
        <w:contextualSpacing w:val="0"/>
      </w:pPr>
    </w:p>
    <w:p w14:paraId="50A53233" w14:textId="77777777" w:rsidR="00BA6ADE" w:rsidRDefault="000329F2">
      <w:pPr>
        <w:numPr>
          <w:ilvl w:val="0"/>
          <w:numId w:val="10"/>
        </w:numPr>
      </w:pPr>
      <w:r>
        <w:t>Explanation: Is a reasonable explanation provided?</w:t>
      </w:r>
    </w:p>
    <w:p w14:paraId="6C83BED8" w14:textId="77777777" w:rsidR="00BA6ADE" w:rsidRDefault="000329F2">
      <w:pPr>
        <w:numPr>
          <w:ilvl w:val="0"/>
          <w:numId w:val="10"/>
        </w:numPr>
      </w:pPr>
      <w:r>
        <w:t>Evidence that original submission was in error: Are there indicia to support an assertion that the change merely corrects an error?</w:t>
      </w:r>
    </w:p>
    <w:p w14:paraId="153D4907" w14:textId="77777777" w:rsidR="00BA6ADE" w:rsidRDefault="000329F2">
      <w:pPr>
        <w:numPr>
          <w:ilvl w:val="0"/>
          <w:numId w:val="10"/>
        </w:numPr>
      </w:pPr>
      <w:r>
        <w:t>Other third parties affected: Does the change affect other third parties materially?</w:t>
      </w:r>
    </w:p>
    <w:p w14:paraId="6B273C06" w14:textId="77777777" w:rsidR="00BA6ADE" w:rsidRDefault="000329F2">
      <w:pPr>
        <w:numPr>
          <w:ilvl w:val="0"/>
          <w:numId w:val="10"/>
        </w:numPr>
      </w:pPr>
      <w:r>
        <w:t>Precedents: Is the change similar to others that have already been approved? Could the change lead others to request similar changes that could affect third parties or result in undesirable effects on the program?</w:t>
      </w:r>
    </w:p>
    <w:p w14:paraId="5B36B202" w14:textId="77777777" w:rsidR="00BA6ADE" w:rsidRDefault="000329F2">
      <w:pPr>
        <w:numPr>
          <w:ilvl w:val="0"/>
          <w:numId w:val="10"/>
        </w:numPr>
      </w:pPr>
      <w:r>
        <w:t>Fairness to applicants: Would allowing the change be construed as fair to the general community? Would disallowing the change be construed as unfair?</w:t>
      </w:r>
    </w:p>
    <w:p w14:paraId="5C57CC12" w14:textId="77777777" w:rsidR="00BA6ADE" w:rsidRDefault="000329F2">
      <w:pPr>
        <w:numPr>
          <w:ilvl w:val="0"/>
          <w:numId w:val="10"/>
        </w:numPr>
      </w:pPr>
      <w:r>
        <w:t>Materiality: Would the change affect the evaluation score or require re-evaluation of some or all of the application? Would the change affect string contention or community priority?</w:t>
      </w:r>
    </w:p>
    <w:p w14:paraId="2F3CA41C" w14:textId="77777777" w:rsidR="00BA6ADE" w:rsidRDefault="000329F2">
      <w:pPr>
        <w:numPr>
          <w:ilvl w:val="0"/>
          <w:numId w:val="10"/>
        </w:numPr>
      </w:pPr>
      <w:r>
        <w:t>Timing: Does the timing interfere with the evaluation process in some way?</w:t>
      </w:r>
    </w:p>
    <w:p w14:paraId="44708A48" w14:textId="77777777" w:rsidR="00BA6ADE" w:rsidRDefault="00BA6ADE">
      <w:pPr>
        <w:contextualSpacing w:val="0"/>
      </w:pPr>
    </w:p>
    <w:p w14:paraId="2C75CA45" w14:textId="77777777" w:rsidR="00BA6ADE" w:rsidRDefault="000329F2">
      <w:pPr>
        <w:contextualSpacing w:val="0"/>
      </w:pPr>
      <w:r>
        <w:t>An Application Change Request Process and Criteria page was established</w:t>
      </w:r>
      <w:r>
        <w:rPr>
          <w:vertAlign w:val="superscript"/>
        </w:rPr>
        <w:footnoteReference w:id="1"/>
      </w:r>
      <w:r>
        <w:t xml:space="preserve"> with a subsequent advisory</w:t>
      </w:r>
      <w:r>
        <w:rPr>
          <w:vertAlign w:val="superscript"/>
        </w:rPr>
        <w:footnoteReference w:id="2"/>
      </w:r>
    </w:p>
    <w:p w14:paraId="3DDD71F0" w14:textId="77777777" w:rsidR="00BA6ADE" w:rsidRDefault="00BA6ADE">
      <w:pPr>
        <w:contextualSpacing w:val="0"/>
      </w:pPr>
    </w:p>
    <w:p w14:paraId="7368D8DB" w14:textId="77777777" w:rsidR="00BA6ADE" w:rsidRDefault="000329F2">
      <w:pPr>
        <w:contextualSpacing w:val="0"/>
      </w:pPr>
      <w:r>
        <w:lastRenderedPageBreak/>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3"/>
      </w:r>
      <w:r>
        <w:t xml:space="preserve">. </w:t>
      </w:r>
    </w:p>
    <w:p w14:paraId="18542D24" w14:textId="77777777" w:rsidR="00BA6ADE" w:rsidRDefault="00BA6ADE">
      <w:pPr>
        <w:contextualSpacing w:val="0"/>
      </w:pPr>
    </w:p>
    <w:p w14:paraId="705480FD" w14:textId="77777777" w:rsidR="00BA6ADE" w:rsidRDefault="000329F2">
      <w:pPr>
        <w:contextualSpacing w:val="0"/>
      </w:pPr>
      <w:r>
        <w:t>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14:paraId="74E54B9D" w14:textId="77777777" w:rsidR="00BA6ADE" w:rsidRDefault="00BA6ADE">
      <w:pPr>
        <w:contextualSpacing w:val="0"/>
      </w:pPr>
    </w:p>
    <w:p w14:paraId="1B92C0D8" w14:textId="77777777" w:rsidR="00BA6ADE" w:rsidRDefault="000329F2">
      <w:pPr>
        <w:contextualSpacing w:val="0"/>
      </w:pPr>
      <w:r>
        <w:t>While the change request was beneficial in some regards, by allowing applicants to cure deficiencies or concerns (e.g., from GAC Early Warning), the timing of change requests created operational challenges, sometimes requiring redundant reviews, delays in processing, and operational costs. There were also challenges around change requests for applications self identified as community-based, where certain changes that could impact community priority evaluation were not allowed.</w:t>
      </w:r>
    </w:p>
    <w:p w14:paraId="67FCED37" w14:textId="77777777" w:rsidR="00BA6ADE" w:rsidRDefault="00BA6ADE">
      <w:pPr>
        <w:contextualSpacing w:val="0"/>
        <w:rPr>
          <w:b/>
          <w:i/>
        </w:rPr>
      </w:pPr>
    </w:p>
    <w:p w14:paraId="6D255382" w14:textId="77777777" w:rsidR="00BA6ADE" w:rsidRDefault="000329F2">
      <w:pPr>
        <w:numPr>
          <w:ilvl w:val="0"/>
          <w:numId w:val="16"/>
        </w:numPr>
        <w:rPr>
          <w:b/>
          <w:i/>
        </w:rPr>
      </w:pPr>
      <w:r>
        <w:rPr>
          <w:b/>
          <w:i/>
        </w:rPr>
        <w:t>What are the preliminary recommendations and/or implementation guidelines?</w:t>
      </w:r>
    </w:p>
    <w:p w14:paraId="4C019E15" w14:textId="77777777" w:rsidR="00BA6ADE" w:rsidRDefault="00BA6ADE">
      <w:pPr>
        <w:contextualSpacing w:val="0"/>
        <w:rPr>
          <w:b/>
          <w:i/>
        </w:rPr>
      </w:pPr>
    </w:p>
    <w:p w14:paraId="751A6F35" w14:textId="77777777" w:rsidR="00BA6ADE" w:rsidRDefault="000329F2">
      <w:pPr>
        <w:numPr>
          <w:ilvl w:val="0"/>
          <w:numId w:val="6"/>
        </w:numPr>
      </w:pPr>
      <w:r>
        <w:t>The Working Group believes that at a high-level, a criteria based change request process, as was employed in 2012, continues to make sense going forward. However, the Working believes that some operational improvements should be made.</w:t>
      </w:r>
    </w:p>
    <w:p w14:paraId="12292D75" w14:textId="77777777" w:rsidR="00BA6ADE" w:rsidRDefault="000329F2">
      <w:pPr>
        <w:numPr>
          <w:ilvl w:val="1"/>
          <w:numId w:val="6"/>
        </w:numPr>
      </w:pPr>
      <w:r>
        <w:t>Implementation Guidance: ICANN org could seek to provide guidance on both changes that will likely be approved and changes that will likely NOT be approved.</w:t>
      </w:r>
    </w:p>
    <w:p w14:paraId="50C195E1" w14:textId="77777777" w:rsidR="00BA6ADE" w:rsidRDefault="000329F2">
      <w:pPr>
        <w:numPr>
          <w:ilvl w:val="1"/>
          <w:numId w:val="6"/>
        </w:numPr>
      </w:pPr>
      <w:r>
        <w:t>Implementation Guidance: ICANN org should also set forth the types of changes which are required to be posted for public comments and which are not.</w:t>
      </w:r>
    </w:p>
    <w:p w14:paraId="2D9FB14E" w14:textId="77777777" w:rsidR="00BA6ADE" w:rsidRDefault="000329F2">
      <w:pPr>
        <w:numPr>
          <w:ilvl w:val="1"/>
          <w:numId w:val="6"/>
        </w:numPr>
      </w:pPr>
      <w:r>
        <w:t>Implementation Guidance: ICANN org should set forth in the Applicant Guidebook the types of changes that would require a re-evaluation of some or all of the application and which changes would not.</w:t>
      </w:r>
    </w:p>
    <w:p w14:paraId="6261CBA2" w14:textId="77777777" w:rsidR="00BA6ADE" w:rsidRDefault="000329F2">
      <w:pPr>
        <w:numPr>
          <w:ilvl w:val="1"/>
          <w:numId w:val="6"/>
        </w:numPr>
      </w:pPr>
      <w: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14:paraId="5CCDFEEF" w14:textId="77777777" w:rsidR="00BA6ADE" w:rsidRDefault="00BA6ADE">
      <w:pPr>
        <w:contextualSpacing w:val="0"/>
        <w:rPr>
          <w:b/>
          <w:i/>
        </w:rPr>
      </w:pPr>
    </w:p>
    <w:p w14:paraId="65BA050B" w14:textId="77777777" w:rsidR="00BA6ADE" w:rsidRDefault="000329F2">
      <w:pPr>
        <w:numPr>
          <w:ilvl w:val="0"/>
          <w:numId w:val="16"/>
        </w:numPr>
        <w:rPr>
          <w:b/>
          <w:i/>
        </w:rPr>
      </w:pPr>
      <w:r>
        <w:rPr>
          <w:b/>
          <w:i/>
        </w:rPr>
        <w:t>What are the options under consideration, along with the associated benefits / drawbacks?</w:t>
      </w:r>
    </w:p>
    <w:p w14:paraId="2C605841" w14:textId="77777777" w:rsidR="00BA6ADE" w:rsidRDefault="00BA6ADE">
      <w:pPr>
        <w:contextualSpacing w:val="0"/>
        <w:rPr>
          <w:b/>
          <w:i/>
        </w:rPr>
      </w:pPr>
    </w:p>
    <w:p w14:paraId="0726869D" w14:textId="77777777" w:rsidR="00BA6ADE" w:rsidRDefault="000329F2">
      <w:pPr>
        <w:contextualSpacing w:val="0"/>
      </w:pPr>
      <w: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w:t>
      </w:r>
      <w:r>
        <w:lastRenderedPageBreak/>
        <w:t xml:space="preserve">should be allowed to 1) create joint ventures or 2) have a limited ability to select a different string, which must be closely related to the original string. </w:t>
      </w:r>
    </w:p>
    <w:p w14:paraId="6C06F612" w14:textId="77777777" w:rsidR="00BA6ADE" w:rsidRDefault="000329F2">
      <w:pPr>
        <w:numPr>
          <w:ilvl w:val="0"/>
          <w:numId w:val="9"/>
        </w:numPr>
      </w:pPr>
      <w:r>
        <w:t>Implementation Guidance: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p w14:paraId="621B03DA" w14:textId="77777777" w:rsidR="00BA6ADE" w:rsidRDefault="000329F2">
      <w:pPr>
        <w:numPr>
          <w:ilvl w:val="0"/>
          <w:numId w:val="9"/>
        </w:numPr>
      </w:pPr>
      <w:r>
        <w:t>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 The applicant may be responsible for additional, material costs incurred by ICANN due to re-evaluation and the application could be subject to delay.</w:t>
      </w:r>
    </w:p>
    <w:p w14:paraId="416FB104" w14:textId="77777777" w:rsidR="00BA6ADE" w:rsidRDefault="00BA6ADE">
      <w:pPr>
        <w:contextualSpacing w:val="0"/>
        <w:rPr>
          <w:b/>
          <w:i/>
        </w:rPr>
      </w:pPr>
    </w:p>
    <w:p w14:paraId="74E6B2BA" w14:textId="77777777" w:rsidR="00BA6ADE" w:rsidRDefault="000329F2">
      <w:pPr>
        <w:numPr>
          <w:ilvl w:val="0"/>
          <w:numId w:val="16"/>
        </w:numPr>
        <w:rPr>
          <w:b/>
          <w:i/>
        </w:rPr>
      </w:pPr>
      <w:r>
        <w:rPr>
          <w:b/>
          <w:i/>
        </w:rPr>
        <w:t>What specific questions are the PDP WG seeking feedback on?</w:t>
      </w:r>
    </w:p>
    <w:p w14:paraId="51638653" w14:textId="77777777" w:rsidR="00BA6ADE" w:rsidRDefault="00BA6ADE">
      <w:pPr>
        <w:pBdr>
          <w:top w:val="nil"/>
          <w:left w:val="nil"/>
          <w:bottom w:val="nil"/>
          <w:right w:val="nil"/>
          <w:between w:val="nil"/>
        </w:pBdr>
        <w:contextualSpacing w:val="0"/>
        <w:rPr>
          <w:b/>
          <w:i/>
        </w:rPr>
      </w:pPr>
    </w:p>
    <w:p w14:paraId="7225089F" w14:textId="77777777" w:rsidR="00BA6ADE" w:rsidRDefault="000329F2">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14:paraId="11C8C03D" w14:textId="77777777" w:rsidR="00BA6ADE" w:rsidRDefault="000329F2">
      <w:pPr>
        <w:numPr>
          <w:ilvl w:val="0"/>
          <w:numId w:val="15"/>
        </w:numPr>
      </w:pPr>
      <w:r>
        <w:t xml:space="preserve">Do you agree with allowing these types of changes? Why or why not? Does the implementation guidance above seem reasonable if these changes are allowed?  </w:t>
      </w:r>
    </w:p>
    <w:p w14:paraId="5D839D07" w14:textId="77777777" w:rsidR="00BA6ADE" w:rsidRDefault="000329F2">
      <w:pPr>
        <w:numPr>
          <w:ilvl w:val="0"/>
          <w:numId w:val="15"/>
        </w:numPr>
      </w:pPr>
      <w:r>
        <w:t>If these changes are allowed, what are the potential risks or possibilities for gaming these types of changes? How can those risks be mitigated?</w:t>
      </w:r>
    </w:p>
    <w:p w14:paraId="1D2C1094" w14:textId="77777777" w:rsidR="00BA6ADE" w:rsidRDefault="000329F2">
      <w:pPr>
        <w:numPr>
          <w:ilvl w:val="0"/>
          <w:numId w:val="15"/>
        </w:numPr>
      </w:pPr>
      <w:r>
        <w:t>For the limited ability to change the applied-for string, what do you believe should be the criteria in considering such requests? Are there examples of where a change of an applied-for string should NOT be approved?</w:t>
      </w:r>
    </w:p>
    <w:p w14:paraId="3E84BAFC" w14:textId="77777777" w:rsidR="00BA6ADE" w:rsidRDefault="000329F2">
      <w:pPr>
        <w:numPr>
          <w:ilvl w:val="0"/>
          <w:numId w:val="9"/>
        </w:numPr>
      </w:pPr>
      <w:r>
        <w:t xml:space="preserve">What role should public comment play in determining if a change request should be granted? </w:t>
      </w:r>
    </w:p>
    <w:p w14:paraId="05061863" w14:textId="77777777" w:rsidR="00BA6ADE" w:rsidRDefault="000329F2">
      <w:pPr>
        <w:numPr>
          <w:ilvl w:val="0"/>
          <w:numId w:val="9"/>
        </w:numPr>
      </w:pPr>
      <w:r>
        <w:t>Reflecting on the seven criteria utilized for considering change requests in 2012 (see section (b) above for reference), do you have specific changes that you would suggest being made to those criteria for usage in the future?</w:t>
      </w:r>
    </w:p>
    <w:p w14:paraId="55E24257" w14:textId="77777777" w:rsidR="00BA6ADE" w:rsidRDefault="00BA6ADE">
      <w:pPr>
        <w:contextualSpacing w:val="0"/>
        <w:rPr>
          <w:b/>
          <w:i/>
        </w:rPr>
      </w:pPr>
    </w:p>
    <w:p w14:paraId="6417DC2B" w14:textId="77777777" w:rsidR="00BA6ADE" w:rsidRDefault="000329F2">
      <w:pPr>
        <w:numPr>
          <w:ilvl w:val="0"/>
          <w:numId w:val="16"/>
        </w:numPr>
        <w:rPr>
          <w:b/>
          <w:i/>
        </w:rPr>
      </w:pPr>
      <w:r>
        <w:rPr>
          <w:b/>
          <w:i/>
        </w:rPr>
        <w:t>Deliberations</w:t>
      </w:r>
    </w:p>
    <w:p w14:paraId="0266524A" w14:textId="77777777" w:rsidR="00BA6ADE" w:rsidRDefault="00BA6ADE">
      <w:pPr>
        <w:contextualSpacing w:val="0"/>
      </w:pPr>
    </w:p>
    <w:p w14:paraId="2A6F8D3E" w14:textId="77777777" w:rsidR="00BA6ADE" w:rsidRDefault="000329F2">
      <w:pPr>
        <w:contextualSpacing w:val="0"/>
      </w:pPr>
      <w:r>
        <w:t>This topic was initially discussed on 25 June 2018 at ICANN62 during the Working Group’s second face-to-face session and was later considered further in Working Group discussions.</w:t>
      </w:r>
    </w:p>
    <w:p w14:paraId="148A4B63" w14:textId="77777777" w:rsidR="00BA6ADE" w:rsidRDefault="00BA6ADE">
      <w:pPr>
        <w:contextualSpacing w:val="0"/>
      </w:pPr>
    </w:p>
    <w:p w14:paraId="187AC080" w14:textId="77777777" w:rsidR="00BA6ADE" w:rsidRDefault="000329F2">
      <w:pPr>
        <w:contextualSpacing w:val="0"/>
      </w:pPr>
      <w:r>
        <w:t>The Working Group reviewed the process ICANN used in the 2012 round to evaluate change requests and discussed whether this same system might be appropriate for subsequent 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14:paraId="3837B66F" w14:textId="77777777" w:rsidR="00BA6ADE" w:rsidRDefault="00BA6ADE">
      <w:pPr>
        <w:contextualSpacing w:val="0"/>
      </w:pPr>
    </w:p>
    <w:p w14:paraId="4C5E8230" w14:textId="77777777" w:rsidR="00BA6ADE" w:rsidRDefault="000329F2">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14:paraId="60B53850" w14:textId="77777777" w:rsidR="00BA6ADE" w:rsidRDefault="00BA6ADE">
      <w:pPr>
        <w:contextualSpacing w:val="0"/>
      </w:pPr>
    </w:p>
    <w:p w14:paraId="233E3CD7" w14:textId="77777777" w:rsidR="00BA6ADE" w:rsidRDefault="000329F2">
      <w:pPr>
        <w:contextualSpacing w:val="0"/>
      </w:pPr>
      <w:r>
        <w:t xml:space="preserve">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w:t>
      </w:r>
    </w:p>
    <w:p w14:paraId="25B0CD8A" w14:textId="77777777" w:rsidR="00BA6ADE" w:rsidRDefault="00BA6ADE">
      <w:pPr>
        <w:contextualSpacing w:val="0"/>
      </w:pPr>
    </w:p>
    <w:p w14:paraId="0AC9DAE9" w14:textId="77777777" w:rsidR="00BA6ADE" w:rsidRDefault="000329F2">
      <w:pPr>
        <w:contextualSpacing w:val="0"/>
      </w:pPr>
      <w:r>
        <w:t>One Working Group member suggested that applicants should be permitted to change the proposed business model for the TLD during the application process. It is unclear if that was allowed during the 2012 New gTLD Round if those changes were allowed or whether there were restrictions on those types of changes.  The member suggested that the evaluation process used for the Registry Services Evaluation Process (RSEP) could be used as a model in evaluating these requests.</w:t>
      </w:r>
    </w:p>
    <w:p w14:paraId="7CDFE3D3" w14:textId="77777777" w:rsidR="00BA6ADE" w:rsidRDefault="00BA6ADE">
      <w:pPr>
        <w:contextualSpacing w:val="0"/>
      </w:pPr>
    </w:p>
    <w:p w14:paraId="343404EC" w14:textId="77777777" w:rsidR="00BA6ADE" w:rsidRDefault="000329F2">
      <w:pPr>
        <w:contextualSpacing w:val="0"/>
      </w:pPr>
      <w:r>
        <w:t xml:space="preserve">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.sas in the 2012 round if applicants had more flexibility to change their applications (e.g., one applicant would get .sas while the other could potentially choose .sasair). </w:t>
      </w:r>
    </w:p>
    <w:p w14:paraId="4AADA188" w14:textId="77777777" w:rsidR="00BA6ADE" w:rsidRDefault="00BA6ADE">
      <w:pPr>
        <w:contextualSpacing w:val="0"/>
      </w:pPr>
    </w:p>
    <w:p w14:paraId="021AC968" w14:textId="77777777" w:rsidR="00BA6ADE" w:rsidRDefault="000329F2">
      <w:pPr>
        <w:contextualSpacing w:val="0"/>
      </w:pPr>
      <w:r>
        <w:t>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string after submission, which is viewed as a gaming concern. While there appeared to be support to allow a change of string in some limited circumstances, the Working Group noted that criteria would be needed to prevent gaming.</w:t>
      </w:r>
    </w:p>
    <w:p w14:paraId="58AD5CF1" w14:textId="77777777" w:rsidR="00BA6ADE" w:rsidRDefault="00BA6ADE">
      <w:pPr>
        <w:contextualSpacing w:val="0"/>
        <w:rPr>
          <w:b/>
          <w:i/>
        </w:rPr>
      </w:pPr>
    </w:p>
    <w:p w14:paraId="0DD3724E" w14:textId="77777777" w:rsidR="00BA6ADE" w:rsidRDefault="000329F2">
      <w:pPr>
        <w:numPr>
          <w:ilvl w:val="0"/>
          <w:numId w:val="16"/>
        </w:numPr>
        <w:rPr>
          <w:b/>
          <w:i/>
        </w:rPr>
      </w:pPr>
      <w:r>
        <w:rPr>
          <w:b/>
          <w:i/>
        </w:rPr>
        <w:t>Are there other activities in the community that may serve as a dependency or future input to this topic?</w:t>
      </w:r>
    </w:p>
    <w:p w14:paraId="03D4E245" w14:textId="77777777" w:rsidR="00BA6ADE" w:rsidRDefault="00BA6ADE">
      <w:pPr>
        <w:contextualSpacing w:val="0"/>
        <w:rPr>
          <w:b/>
          <w:i/>
        </w:rPr>
      </w:pPr>
    </w:p>
    <w:p w14:paraId="10F14805" w14:textId="52ADA2B3" w:rsidR="00BA6ADE" w:rsidRDefault="000329F2">
      <w:pPr>
        <w:contextualSpacing w:val="0"/>
      </w:pPr>
      <w:r>
        <w:t>None identified at this time.</w:t>
      </w:r>
      <w:bookmarkStart w:id="3" w:name="_GoBack"/>
      <w:bookmarkEnd w:id="3"/>
      <w:r>
        <w:br w:type="page"/>
      </w:r>
    </w:p>
    <w:p w14:paraId="1364B140" w14:textId="77777777" w:rsidR="00BA6ADE" w:rsidRDefault="000329F2">
      <w:pPr>
        <w:pStyle w:val="Heading4"/>
        <w:keepNext w:val="0"/>
        <w:keepLines w:val="0"/>
        <w:spacing w:before="240" w:after="40"/>
        <w:contextualSpacing w:val="0"/>
      </w:pPr>
      <w:bookmarkStart w:id="4" w:name="_lbkc7a1nr006" w:colFirst="0" w:colLast="0"/>
      <w:bookmarkEnd w:id="4"/>
      <w:r>
        <w:rPr>
          <w:b/>
          <w:color w:val="000000"/>
          <w:sz w:val="22"/>
          <w:szCs w:val="22"/>
        </w:rPr>
        <w:lastRenderedPageBreak/>
        <w:t>1.5 Registrar Support for New gTLDs</w:t>
      </w:r>
    </w:p>
    <w:p w14:paraId="18F09807" w14:textId="77777777" w:rsidR="00BA6ADE" w:rsidRDefault="00BA6ADE">
      <w:pPr>
        <w:contextualSpacing w:val="0"/>
      </w:pPr>
    </w:p>
    <w:p w14:paraId="61050BB9" w14:textId="77777777" w:rsidR="00BA6ADE" w:rsidRDefault="000329F2">
      <w:pPr>
        <w:numPr>
          <w:ilvl w:val="0"/>
          <w:numId w:val="11"/>
        </w:numPr>
        <w:rPr>
          <w:b/>
          <w:i/>
        </w:rPr>
      </w:pPr>
      <w:r>
        <w:rPr>
          <w:b/>
          <w:i/>
        </w:rPr>
        <w:t>What is the relevant policy and/or implementation guidance (if any)?</w:t>
      </w:r>
    </w:p>
    <w:p w14:paraId="199FA77A" w14:textId="77777777" w:rsidR="00BA6ADE" w:rsidRDefault="00BA6ADE">
      <w:pPr>
        <w:contextualSpacing w:val="0"/>
        <w:rPr>
          <w:b/>
          <w:i/>
        </w:rPr>
      </w:pPr>
    </w:p>
    <w:p w14:paraId="1CE8C30C" w14:textId="77777777" w:rsidR="00BA6ADE" w:rsidRDefault="000329F2">
      <w:pPr>
        <w:contextualSpacing w:val="0"/>
      </w:pPr>
      <w:r>
        <w:rPr>
          <w:u w:val="single"/>
        </w:rPr>
        <w:t>Recommendation 19</w:t>
      </w:r>
      <w:r>
        <w:t>: Registries must use only ICANN accredited registrars in registering domain names and may not discriminate among such accredited registrars.</w:t>
      </w:r>
    </w:p>
    <w:p w14:paraId="288F6107" w14:textId="77777777" w:rsidR="00BA6ADE" w:rsidRDefault="00BA6ADE">
      <w:pPr>
        <w:contextualSpacing w:val="0"/>
        <w:rPr>
          <w:b/>
          <w:i/>
        </w:rPr>
      </w:pPr>
    </w:p>
    <w:p w14:paraId="1F8A0FD4" w14:textId="77777777" w:rsidR="00BA6ADE" w:rsidRDefault="000329F2">
      <w:pPr>
        <w:numPr>
          <w:ilvl w:val="0"/>
          <w:numId w:val="11"/>
        </w:numPr>
        <w:rPr>
          <w:b/>
          <w:i/>
        </w:rPr>
      </w:pPr>
      <w:r>
        <w:rPr>
          <w:b/>
          <w:i/>
        </w:rPr>
        <w:t>How was it implemented in the 2012 round of the New gTLD Program?</w:t>
      </w:r>
    </w:p>
    <w:p w14:paraId="0E8DFA08" w14:textId="77777777" w:rsidR="00BA6ADE" w:rsidRDefault="00BA6ADE">
      <w:pPr>
        <w:contextualSpacing w:val="0"/>
        <w:rPr>
          <w:b/>
          <w:i/>
        </w:rPr>
      </w:pPr>
    </w:p>
    <w:p w14:paraId="77BDB95A" w14:textId="77777777" w:rsidR="00BA6ADE" w:rsidRDefault="000329F2">
      <w:pPr>
        <w:contextualSpacing w:val="0"/>
      </w:pPr>
      <w:r>
        <w:t>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14:paraId="447CB798" w14:textId="77777777" w:rsidR="00BA6ADE" w:rsidRDefault="00BA6ADE">
      <w:pPr>
        <w:contextualSpacing w:val="0"/>
      </w:pPr>
    </w:p>
    <w:p w14:paraId="7F9C0C78" w14:textId="77777777" w:rsidR="00BA6ADE" w:rsidRDefault="000329F2">
      <w:pPr>
        <w:contextualSpacing w:val="0"/>
      </w:pPr>
      <w:r>
        <w:t>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14:paraId="20975806" w14:textId="77777777" w:rsidR="00BA6ADE" w:rsidRDefault="00BA6ADE">
      <w:pPr>
        <w:contextualSpacing w:val="0"/>
      </w:pPr>
    </w:p>
    <w:p w14:paraId="69189E8A" w14:textId="77777777" w:rsidR="00BA6ADE" w:rsidRDefault="000329F2">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4"/>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14:paraId="70871575" w14:textId="77777777" w:rsidR="00BA6ADE" w:rsidRDefault="00BA6ADE">
      <w:pPr>
        <w:contextualSpacing w:val="0"/>
      </w:pPr>
    </w:p>
    <w:p w14:paraId="094F16FA" w14:textId="77777777" w:rsidR="00BA6ADE" w:rsidRDefault="000329F2">
      <w:pPr>
        <w:contextualSpacing w:val="0"/>
      </w:pPr>
      <w:r>
        <w:t xml:space="preserve">In addition, Specification 9 which requires Registries that are Affiliated with Registrars or vice versa, to adhere to a Code of Conduct, which among other things, requires Affiliated Registries and Registrars to maintain structural separation and separate books and records. Only so-called .Brand TLDs that execute Specification 13 or TLDs for which all registrations are registered to </w:t>
      </w:r>
      <w:r>
        <w:lastRenderedPageBreak/>
        <w:t xml:space="preserve">the Registry Operator and/or its Affiliates are exempt from that Code of Conduct. In all cases, whether exempt or not, only ICANN Accredited Registrars may be used to register names within the TLD. </w:t>
      </w:r>
    </w:p>
    <w:p w14:paraId="3A3136D5" w14:textId="77777777" w:rsidR="00BA6ADE" w:rsidRDefault="00BA6ADE">
      <w:pPr>
        <w:contextualSpacing w:val="0"/>
      </w:pPr>
    </w:p>
    <w:p w14:paraId="0D116432" w14:textId="77777777" w:rsidR="00BA6ADE" w:rsidRDefault="000329F2">
      <w:pPr>
        <w:contextualSpacing w:val="0"/>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As a result, it is believed that in some instances (e.g., locale, type of TLD, etc.), it may be difficult to get a registrar to agree to sell certain TLDs.</w:t>
      </w:r>
    </w:p>
    <w:p w14:paraId="6F3D8B55" w14:textId="77777777" w:rsidR="00BA6ADE" w:rsidRDefault="00BA6ADE">
      <w:pPr>
        <w:contextualSpacing w:val="0"/>
      </w:pPr>
    </w:p>
    <w:p w14:paraId="27172C6C" w14:textId="10502377" w:rsidR="00BA6ADE" w:rsidRDefault="000329F2">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14:paraId="3F0FFE7B" w14:textId="77777777" w:rsidR="00BA6ADE" w:rsidRDefault="00BA6ADE">
      <w:pPr>
        <w:contextualSpacing w:val="0"/>
      </w:pPr>
    </w:p>
    <w:p w14:paraId="63A286F4" w14:textId="77777777" w:rsidR="00BA6ADE" w:rsidRDefault="000329F2">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whether there are any measures that can be taken to assist those new gTLD Registries that are unable to attract Registrars to carry their TLDs.  </w:t>
      </w:r>
    </w:p>
    <w:p w14:paraId="6D202969" w14:textId="77777777" w:rsidR="00BA6ADE" w:rsidRDefault="00BA6ADE">
      <w:pPr>
        <w:contextualSpacing w:val="0"/>
        <w:rPr>
          <w:b/>
          <w:i/>
        </w:rPr>
      </w:pPr>
    </w:p>
    <w:p w14:paraId="05E19B22" w14:textId="77777777" w:rsidR="00BA6ADE" w:rsidRDefault="000329F2">
      <w:pPr>
        <w:numPr>
          <w:ilvl w:val="0"/>
          <w:numId w:val="11"/>
        </w:numPr>
        <w:rPr>
          <w:b/>
          <w:i/>
        </w:rPr>
      </w:pPr>
      <w:r>
        <w:rPr>
          <w:b/>
          <w:i/>
        </w:rPr>
        <w:t>What are the preliminary recommendations and/or implementation guidelines?</w:t>
      </w:r>
    </w:p>
    <w:p w14:paraId="3B090FBD" w14:textId="77777777" w:rsidR="00BA6ADE" w:rsidRDefault="00BA6ADE">
      <w:pPr>
        <w:contextualSpacing w:val="0"/>
        <w:rPr>
          <w:b/>
        </w:rPr>
      </w:pPr>
    </w:p>
    <w:p w14:paraId="65AD9BD3" w14:textId="77777777" w:rsidR="00BA6ADE" w:rsidRDefault="000329F2">
      <w:pPr>
        <w:contextualSpacing w:val="0"/>
      </w:pPr>
      <w:r>
        <w:t>None at this time.</w:t>
      </w:r>
    </w:p>
    <w:p w14:paraId="503FE982" w14:textId="77777777" w:rsidR="00BA6ADE" w:rsidRDefault="00BA6ADE">
      <w:pPr>
        <w:contextualSpacing w:val="0"/>
        <w:rPr>
          <w:b/>
          <w:i/>
        </w:rPr>
      </w:pPr>
    </w:p>
    <w:p w14:paraId="3EEE03BB" w14:textId="77777777" w:rsidR="00BA6ADE" w:rsidRDefault="000329F2">
      <w:pPr>
        <w:numPr>
          <w:ilvl w:val="0"/>
          <w:numId w:val="11"/>
        </w:numPr>
        <w:rPr>
          <w:b/>
          <w:i/>
        </w:rPr>
      </w:pPr>
      <w:r>
        <w:rPr>
          <w:b/>
          <w:i/>
        </w:rPr>
        <w:t>What are the options under consideration, along with the associated benefits / drawbacks?</w:t>
      </w:r>
    </w:p>
    <w:p w14:paraId="4C11FF2A" w14:textId="77777777" w:rsidR="00BA6ADE" w:rsidRDefault="00BA6ADE">
      <w:pPr>
        <w:contextualSpacing w:val="0"/>
        <w:rPr>
          <w:b/>
          <w:i/>
        </w:rPr>
      </w:pPr>
    </w:p>
    <w:p w14:paraId="6976CD1D" w14:textId="77777777" w:rsidR="00BA6ADE" w:rsidRDefault="000329F2">
      <w:pPr>
        <w:contextualSpacing w:val="0"/>
      </w:pPr>
      <w:r>
        <w:t xml:space="preserve">The following proposals have been discussed by the Working Group as options which can be pursued if there is support from the community to do so. Many of them require substantial </w:t>
      </w:r>
      <w:r>
        <w:lastRenderedPageBreak/>
        <w:t>resources by ICANN. No cost benefit analysis on these options have been performed and the Working Group is seeking input from the community on these proposals.</w:t>
      </w:r>
    </w:p>
    <w:p w14:paraId="0DA7D018" w14:textId="77777777" w:rsidR="00BA6ADE" w:rsidRDefault="00BA6ADE">
      <w:pPr>
        <w:contextualSpacing w:val="0"/>
      </w:pPr>
    </w:p>
    <w:p w14:paraId="79E6D42D" w14:textId="77777777" w:rsidR="00BA6ADE" w:rsidRDefault="000329F2">
      <w:pPr>
        <w:numPr>
          <w:ilvl w:val="0"/>
          <w:numId w:val="13"/>
        </w:numPr>
      </w:pPr>
      <w:r>
        <w:t>ICANN org could select a “last-resort” wholesale registrar that would provide resellers with the ability to sell TLDs that lacked market interest and/or have their target markets in regions or verticalls lacking ICANN-Accredited registrars. In order to not burden ICANN org or the selected registrar with making initial deposits for TLDs, only registries allowing Post Payment terms would be eligible for this resource.</w:t>
      </w:r>
    </w:p>
    <w:p w14:paraId="2766A9AD" w14:textId="77777777" w:rsidR="00BA6ADE" w:rsidRDefault="000329F2">
      <w:pPr>
        <w:numPr>
          <w:ilvl w:val="0"/>
          <w:numId w:val="13"/>
        </w:numPr>
      </w:pPr>
      <w:r>
        <w:t xml:space="preserve">ICANN org could provide a “clearinghouse” for payments between the registries and registrars that operate in different currencies. </w:t>
      </w:r>
    </w:p>
    <w:p w14:paraId="288817E8" w14:textId="77777777" w:rsidR="00BA6ADE" w:rsidRDefault="000329F2">
      <w:pPr>
        <w:numPr>
          <w:ilvl w:val="0"/>
          <w:numId w:val="13"/>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14:paraId="0809F2C1" w14:textId="77777777" w:rsidR="00BA6ADE" w:rsidRDefault="000329F2">
      <w:pPr>
        <w:numPr>
          <w:ilvl w:val="0"/>
          <w:numId w:val="13"/>
        </w:numPr>
        <w:contextualSpacing w:val="0"/>
      </w:pPr>
      <w:r>
        <w:t xml:space="preserve">The Applicant Guidebook could encourage potential applicants to communicate with ICANN accredited registrars before submitting an application, so that they fully understand potential market and technical integration issues that might be encountered. </w:t>
      </w:r>
    </w:p>
    <w:p w14:paraId="5E54E081" w14:textId="7FF73B38" w:rsidR="00BA6ADE" w:rsidRPr="008D3812" w:rsidRDefault="008D3812" w:rsidP="008D3812">
      <w:pPr>
        <w:pStyle w:val="ListParagraph"/>
        <w:numPr>
          <w:ilvl w:val="0"/>
          <w:numId w:val="13"/>
        </w:numPr>
        <w:spacing w:line="240" w:lineRule="auto"/>
        <w:contextualSpacing w:val="0"/>
        <w:rPr>
          <w:rFonts w:eastAsia="Times New Roman"/>
          <w:color w:val="000000"/>
          <w:lang w:val="en-US"/>
        </w:rPr>
      </w:pPr>
      <w:r w:rsidRPr="008D3812">
        <w:rPr>
          <w:rFonts w:eastAsia="Times New Roman"/>
          <w:color w:val="000000"/>
          <w:lang w:val="en-US"/>
        </w:rPr>
        <w:t xml:space="preserve">Some members of the Working Group also proposed that the Registry contract should bundle the capacity of becoming an Accredited Registrar. </w:t>
      </w:r>
    </w:p>
    <w:p w14:paraId="7935AFF8" w14:textId="77777777" w:rsidR="00BA6ADE" w:rsidRDefault="00BA6ADE">
      <w:pPr>
        <w:contextualSpacing w:val="0"/>
        <w:rPr>
          <w:b/>
          <w:i/>
        </w:rPr>
      </w:pPr>
    </w:p>
    <w:p w14:paraId="1BACB31C" w14:textId="77777777" w:rsidR="00BA6ADE" w:rsidRDefault="000329F2">
      <w:pPr>
        <w:numPr>
          <w:ilvl w:val="0"/>
          <w:numId w:val="11"/>
        </w:numPr>
        <w:rPr>
          <w:b/>
          <w:i/>
        </w:rPr>
      </w:pPr>
      <w:r>
        <w:rPr>
          <w:b/>
          <w:i/>
        </w:rPr>
        <w:t>What specific questions are the PDP WG seeking feedback on?</w:t>
      </w:r>
    </w:p>
    <w:p w14:paraId="4B5FEFF2" w14:textId="77777777" w:rsidR="00BA6ADE" w:rsidRDefault="00BA6ADE">
      <w:pPr>
        <w:contextualSpacing w:val="0"/>
        <w:rPr>
          <w:b/>
          <w:i/>
        </w:rPr>
      </w:pPr>
    </w:p>
    <w:p w14:paraId="3A84E849" w14:textId="77777777" w:rsidR="00BA6ADE" w:rsidRDefault="000329F2">
      <w:pPr>
        <w:numPr>
          <w:ilvl w:val="0"/>
          <w:numId w:val="4"/>
        </w:numPr>
      </w:pPr>
      <w:r>
        <w:t>Please comment on each of the proposal set forth above. What are the pros and cons of those proposals? Should any or all of them be adopted? Why or why not?</w:t>
      </w:r>
    </w:p>
    <w:p w14:paraId="17D01C67" w14:textId="77777777" w:rsidR="00BA6ADE" w:rsidRDefault="000329F2">
      <w:pPr>
        <w:numPr>
          <w:ilvl w:val="0"/>
          <w:numId w:val="4"/>
        </w:numPr>
      </w:pPr>
      <w:r>
        <w:t>Are there any other proposals that could assist TLD Registries that have difficulty attracting ICANN Accredited Registrars?</w:t>
      </w:r>
    </w:p>
    <w:p w14:paraId="25DE53C4" w14:textId="77777777" w:rsidR="00BA6ADE" w:rsidRDefault="000329F2">
      <w:pPr>
        <w:numPr>
          <w:ilvl w:val="0"/>
          <w:numId w:val="4"/>
        </w:numPr>
      </w:pPr>
      <w:r>
        <w:t>Should ICANN even get involved in assisting Registries or is this outside the scope of ICANN’s mission, bylaws, or mandate? Please explain.</w:t>
      </w:r>
    </w:p>
    <w:p w14:paraId="5D405075" w14:textId="77777777" w:rsidR="00BA6ADE" w:rsidRDefault="000329F2">
      <w:pPr>
        <w:numPr>
          <w:ilvl w:val="0"/>
          <w:numId w:val="4"/>
        </w:numPr>
      </w:pPr>
      <w:r>
        <w:t>The Working Group has not yet found a way to identify whether a TLD with low market performance has low performance due to lack of demand or lack of sales channels. How could the underlying issues be identified?</w:t>
      </w:r>
    </w:p>
    <w:p w14:paraId="075B7292" w14:textId="77777777" w:rsidR="00BA6ADE" w:rsidRDefault="00BA6ADE">
      <w:pPr>
        <w:contextualSpacing w:val="0"/>
        <w:rPr>
          <w:b/>
          <w:i/>
        </w:rPr>
      </w:pPr>
    </w:p>
    <w:p w14:paraId="5A470B40" w14:textId="77777777" w:rsidR="00BA6ADE" w:rsidRDefault="000329F2">
      <w:pPr>
        <w:numPr>
          <w:ilvl w:val="0"/>
          <w:numId w:val="11"/>
        </w:numPr>
        <w:rPr>
          <w:b/>
          <w:i/>
        </w:rPr>
      </w:pPr>
      <w:r>
        <w:rPr>
          <w:b/>
          <w:i/>
        </w:rPr>
        <w:t>Deliberations</w:t>
      </w:r>
    </w:p>
    <w:p w14:paraId="728789A3" w14:textId="77777777" w:rsidR="00BA6ADE" w:rsidRDefault="00BA6ADE">
      <w:pPr>
        <w:contextualSpacing w:val="0"/>
      </w:pPr>
    </w:p>
    <w:p w14:paraId="54B827ED" w14:textId="77777777" w:rsidR="00BA6ADE" w:rsidRDefault="000329F2">
      <w:pPr>
        <w:contextualSpacing w:val="0"/>
      </w:pPr>
      <w:r>
        <w:t>This topic was initially discussed on 25 June 2018 at ICANN62 during the Working Group’s second face-to-face session and was later considered further in Working Group discussions.</w:t>
      </w:r>
    </w:p>
    <w:p w14:paraId="37E096B9" w14:textId="77777777" w:rsidR="00BA6ADE" w:rsidRDefault="00BA6ADE">
      <w:pPr>
        <w:contextualSpacing w:val="0"/>
      </w:pPr>
    </w:p>
    <w:p w14:paraId="3E031910" w14:textId="77777777" w:rsidR="00BA6ADE" w:rsidRDefault="000329F2">
      <w:pPr>
        <w:contextualSpacing w:val="0"/>
      </w:pPr>
      <w:r>
        <w:t xml:space="preserve">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w:t>
      </w:r>
      <w:r>
        <w:lastRenderedPageBreak/>
        <w:t>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14:paraId="17E55D32" w14:textId="77777777" w:rsidR="00BA6ADE" w:rsidRDefault="00BA6ADE">
      <w:pPr>
        <w:contextualSpacing w:val="0"/>
      </w:pPr>
    </w:p>
    <w:p w14:paraId="55350D98" w14:textId="77777777" w:rsidR="00BA6ADE" w:rsidRDefault="000329F2">
      <w:pPr>
        <w:contextualSpacing w:val="0"/>
      </w:pPr>
      <w:r>
        <w:t xml:space="preserve">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w:t>
      </w:r>
    </w:p>
    <w:p w14:paraId="6F577687" w14:textId="77777777" w:rsidR="00BA6ADE" w:rsidRDefault="00BA6ADE">
      <w:pPr>
        <w:contextualSpacing w:val="0"/>
      </w:pPr>
    </w:p>
    <w:p w14:paraId="096B11FB" w14:textId="77777777" w:rsidR="00BA6ADE" w:rsidRDefault="000329F2">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registries of a certain size to sell domains under these TLDs. Working Group members noted that they could only possibly support this option if there was clear evidence of a sales channel defect. </w:t>
      </w:r>
    </w:p>
    <w:p w14:paraId="6B9D8440" w14:textId="77777777" w:rsidR="00BA6ADE" w:rsidRDefault="00BA6ADE">
      <w:pPr>
        <w:contextualSpacing w:val="0"/>
      </w:pPr>
    </w:p>
    <w:p w14:paraId="14E782B0" w14:textId="77777777" w:rsidR="00BA6ADE" w:rsidRDefault="000329F2">
      <w:pPr>
        <w:contextualSpacing w:val="0"/>
      </w:pPr>
      <w:r>
        <w:t>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14:paraId="108D6219" w14:textId="77777777" w:rsidR="00BA6ADE" w:rsidRDefault="00BA6ADE">
      <w:pPr>
        <w:contextualSpacing w:val="0"/>
      </w:pPr>
    </w:p>
    <w:p w14:paraId="1AF9097D" w14:textId="77777777" w:rsidR="00BA6ADE" w:rsidRDefault="000329F2">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14:paraId="5EEDC0EC" w14:textId="77777777" w:rsidR="00BA6ADE" w:rsidRDefault="00BA6ADE">
      <w:pPr>
        <w:contextualSpacing w:val="0"/>
      </w:pPr>
    </w:p>
    <w:p w14:paraId="620F06A2" w14:textId="77777777" w:rsidR="00BA6ADE" w:rsidRDefault="000329F2">
      <w:pPr>
        <w:contextualSpacing w:val="0"/>
      </w:pPr>
      <w:r>
        <w:t xml:space="preserve">Working Group members identified additional issues that might be addressed through policy measures. First, the fact that many TLDs require deposits result in registrars selecting a small </w:t>
      </w:r>
      <w:r>
        <w:lastRenderedPageBreak/>
        <w:t xml:space="preserve">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14:paraId="757E5A14" w14:textId="77777777" w:rsidR="00BA6ADE" w:rsidRDefault="00BA6ADE">
      <w:pPr>
        <w:contextualSpacing w:val="0"/>
        <w:rPr>
          <w:b/>
          <w:i/>
        </w:rPr>
      </w:pPr>
    </w:p>
    <w:p w14:paraId="0B529A52" w14:textId="77777777" w:rsidR="00BA6ADE" w:rsidRDefault="000329F2">
      <w:pPr>
        <w:numPr>
          <w:ilvl w:val="0"/>
          <w:numId w:val="11"/>
        </w:numPr>
        <w:rPr>
          <w:b/>
          <w:i/>
        </w:rPr>
      </w:pPr>
      <w:r>
        <w:rPr>
          <w:b/>
          <w:i/>
        </w:rPr>
        <w:t>Are there other activities in the community that may serve as a dependency or future input to this topic?</w:t>
      </w:r>
    </w:p>
    <w:p w14:paraId="7AF6E260" w14:textId="77777777" w:rsidR="00BA6ADE" w:rsidRDefault="00BA6ADE">
      <w:pPr>
        <w:contextualSpacing w:val="0"/>
        <w:rPr>
          <w:b/>
          <w:i/>
        </w:rPr>
      </w:pPr>
    </w:p>
    <w:p w14:paraId="6C576B9E" w14:textId="77777777" w:rsidR="00BA6ADE" w:rsidRDefault="000329F2">
      <w:pPr>
        <w:contextualSpacing w:val="0"/>
      </w:pPr>
      <w:r>
        <w:t>None identified at this time.</w:t>
      </w:r>
    </w:p>
    <w:sectPr w:rsidR="00BA6AD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6420E" w14:textId="77777777" w:rsidR="002D4389" w:rsidRDefault="002D4389">
      <w:pPr>
        <w:spacing w:line="240" w:lineRule="auto"/>
      </w:pPr>
      <w:r>
        <w:separator/>
      </w:r>
    </w:p>
  </w:endnote>
  <w:endnote w:type="continuationSeparator" w:id="0">
    <w:p w14:paraId="22416E05" w14:textId="77777777" w:rsidR="002D4389" w:rsidRDefault="002D4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44B6E" w14:textId="77777777" w:rsidR="002D4389" w:rsidRDefault="002D4389">
      <w:pPr>
        <w:spacing w:line="240" w:lineRule="auto"/>
      </w:pPr>
      <w:r>
        <w:separator/>
      </w:r>
    </w:p>
  </w:footnote>
  <w:footnote w:type="continuationSeparator" w:id="0">
    <w:p w14:paraId="280A872A" w14:textId="77777777" w:rsidR="002D4389" w:rsidRDefault="002D4389">
      <w:pPr>
        <w:spacing w:line="240" w:lineRule="auto"/>
      </w:pPr>
      <w:r>
        <w:continuationSeparator/>
      </w:r>
    </w:p>
  </w:footnote>
  <w:footnote w:id="1">
    <w:p w14:paraId="090C3EF0" w14:textId="77777777" w:rsidR="00BA6ADE" w:rsidRDefault="000329F2">
      <w:pPr>
        <w:spacing w:line="240" w:lineRule="auto"/>
        <w:contextualSpacing w:val="0"/>
        <w:rPr>
          <w:sz w:val="20"/>
          <w:szCs w:val="20"/>
        </w:rPr>
      </w:pPr>
      <w:r>
        <w:rPr>
          <w:vertAlign w:val="superscript"/>
        </w:rPr>
        <w:footnoteRef/>
      </w:r>
      <w:r>
        <w:rPr>
          <w:sz w:val="20"/>
          <w:szCs w:val="20"/>
        </w:rPr>
        <w:t xml:space="preserve"> See here: </w:t>
      </w:r>
      <w:hyperlink r:id="rId1">
        <w:r>
          <w:rPr>
            <w:color w:val="1155CC"/>
            <w:sz w:val="20"/>
            <w:szCs w:val="20"/>
            <w:u w:val="single"/>
          </w:rPr>
          <w:t>https://newgtlds.icann.org/en/applicants/global-support/change-requests</w:t>
        </w:r>
      </w:hyperlink>
    </w:p>
  </w:footnote>
  <w:footnote w:id="2">
    <w:p w14:paraId="35D72101" w14:textId="77777777" w:rsidR="00BA6ADE" w:rsidRDefault="000329F2">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2">
        <w:r>
          <w:rPr>
            <w:color w:val="1155CC"/>
            <w:sz w:val="20"/>
            <w:szCs w:val="20"/>
            <w:u w:val="single"/>
          </w:rPr>
          <w:t>https://newgtlds.icann.org/en/applicants/advisories/change-request-set-05sep14-en</w:t>
        </w:r>
      </w:hyperlink>
    </w:p>
  </w:footnote>
  <w:footnote w:id="3">
    <w:p w14:paraId="1919F676" w14:textId="77777777" w:rsidR="00BA6ADE" w:rsidRDefault="000329F2">
      <w:pPr>
        <w:spacing w:line="240" w:lineRule="auto"/>
        <w:contextualSpacing w:val="0"/>
        <w:rPr>
          <w:sz w:val="20"/>
          <w:szCs w:val="20"/>
        </w:rPr>
      </w:pPr>
      <w:r>
        <w:rPr>
          <w:vertAlign w:val="superscript"/>
        </w:rPr>
        <w:footnoteRef/>
      </w:r>
      <w:r>
        <w:rPr>
          <w:sz w:val="20"/>
          <w:szCs w:val="20"/>
        </w:rPr>
        <w:t xml:space="preserve"> New gTLD Change Request page here: </w:t>
      </w:r>
      <w:hyperlink r:id="rId3" w:anchor="statistics">
        <w:r>
          <w:rPr>
            <w:color w:val="1155CC"/>
            <w:sz w:val="20"/>
            <w:szCs w:val="20"/>
            <w:u w:val="single"/>
          </w:rPr>
          <w:t>https://newgtlds.icann.org/en/applicants/global-support/change-requests#statistics</w:t>
        </w:r>
      </w:hyperlink>
    </w:p>
  </w:footnote>
  <w:footnote w:id="4">
    <w:p w14:paraId="1410D134" w14:textId="77777777" w:rsidR="00BA6ADE" w:rsidRDefault="000329F2">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9CE"/>
    <w:multiLevelType w:val="multilevel"/>
    <w:tmpl w:val="363E3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674BFD"/>
    <w:multiLevelType w:val="multilevel"/>
    <w:tmpl w:val="DDD0E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FD5DCE"/>
    <w:multiLevelType w:val="multilevel"/>
    <w:tmpl w:val="C84A4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60096A"/>
    <w:multiLevelType w:val="multilevel"/>
    <w:tmpl w:val="A86246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4CA74A5"/>
    <w:multiLevelType w:val="multilevel"/>
    <w:tmpl w:val="54D042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B054A37"/>
    <w:multiLevelType w:val="multilevel"/>
    <w:tmpl w:val="E68A0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F645AF"/>
    <w:multiLevelType w:val="multilevel"/>
    <w:tmpl w:val="2A6AA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4B07FE"/>
    <w:multiLevelType w:val="multilevel"/>
    <w:tmpl w:val="98CE833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FE5161B"/>
    <w:multiLevelType w:val="multilevel"/>
    <w:tmpl w:val="585400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2214BA3"/>
    <w:multiLevelType w:val="multilevel"/>
    <w:tmpl w:val="DD1AAF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363C5A42"/>
    <w:multiLevelType w:val="multilevel"/>
    <w:tmpl w:val="CAF48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A60675"/>
    <w:multiLevelType w:val="multilevel"/>
    <w:tmpl w:val="DF08F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FC5620"/>
    <w:multiLevelType w:val="multilevel"/>
    <w:tmpl w:val="8A00B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5FA6A4B"/>
    <w:multiLevelType w:val="multilevel"/>
    <w:tmpl w:val="2604E5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C900C56"/>
    <w:multiLevelType w:val="multilevel"/>
    <w:tmpl w:val="D4EAC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1C84371"/>
    <w:multiLevelType w:val="multilevel"/>
    <w:tmpl w:val="07A0C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8B061D"/>
    <w:multiLevelType w:val="multilevel"/>
    <w:tmpl w:val="5808C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C76F88"/>
    <w:multiLevelType w:val="multilevel"/>
    <w:tmpl w:val="FBD23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
  </w:num>
  <w:num w:numId="3">
    <w:abstractNumId w:val="2"/>
  </w:num>
  <w:num w:numId="4">
    <w:abstractNumId w:val="6"/>
  </w:num>
  <w:num w:numId="5">
    <w:abstractNumId w:val="10"/>
  </w:num>
  <w:num w:numId="6">
    <w:abstractNumId w:val="15"/>
  </w:num>
  <w:num w:numId="7">
    <w:abstractNumId w:val="17"/>
  </w:num>
  <w:num w:numId="8">
    <w:abstractNumId w:val="13"/>
  </w:num>
  <w:num w:numId="9">
    <w:abstractNumId w:val="16"/>
  </w:num>
  <w:num w:numId="10">
    <w:abstractNumId w:val="14"/>
  </w:num>
  <w:num w:numId="11">
    <w:abstractNumId w:val="4"/>
  </w:num>
  <w:num w:numId="12">
    <w:abstractNumId w:val="3"/>
  </w:num>
  <w:num w:numId="13">
    <w:abstractNumId w:val="7"/>
  </w:num>
  <w:num w:numId="14">
    <w:abstractNumId w:val="8"/>
  </w:num>
  <w:num w:numId="15">
    <w:abstractNumId w:val="9"/>
  </w:num>
  <w:num w:numId="16">
    <w:abstractNumId w:val="1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A6ADE"/>
    <w:rsid w:val="000329F2"/>
    <w:rsid w:val="002D4389"/>
    <w:rsid w:val="0046645D"/>
    <w:rsid w:val="0050588F"/>
    <w:rsid w:val="008D3812"/>
    <w:rsid w:val="00BA6ADE"/>
    <w:rsid w:val="00B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124E8C"/>
  <w15:docId w15:val="{7955870F-EC3D-7F4F-A4ED-38177052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45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645D"/>
    <w:rPr>
      <w:rFonts w:ascii="Times New Roman" w:hAnsi="Times New Roman" w:cs="Times New Roman"/>
      <w:sz w:val="18"/>
      <w:szCs w:val="18"/>
    </w:rPr>
  </w:style>
  <w:style w:type="paragraph" w:styleId="ListParagraph">
    <w:name w:val="List Paragraph"/>
    <w:basedOn w:val="Normal"/>
    <w:uiPriority w:val="34"/>
    <w:qFormat/>
    <w:rsid w:val="008D38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ewgtlds.icann.org/en/applicants/global-support/change-requests" TargetMode="External"/><Relationship Id="rId2" Type="http://schemas.openxmlformats.org/officeDocument/2006/relationships/hyperlink" Target="https://newgtlds.icann.org/en/applicants/advisories/change-request-set-05sep14-en" TargetMode="External"/><Relationship Id="rId1" Type="http://schemas.openxmlformats.org/officeDocument/2006/relationships/hyperlink" Target="https://newgtlds.icann.org/en/applicants/global-support/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5016</Words>
  <Characters>28596</Characters>
  <Application>Microsoft Office Word</Application>
  <DocSecurity>0</DocSecurity>
  <Lines>238</Lines>
  <Paragraphs>67</Paragraphs>
  <ScaleCrop>false</ScaleCrop>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3</cp:revision>
  <dcterms:created xsi:type="dcterms:W3CDTF">2018-09-07T19:33:00Z</dcterms:created>
  <dcterms:modified xsi:type="dcterms:W3CDTF">2018-09-07T19:33:00Z</dcterms:modified>
</cp:coreProperties>
</file>