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2463" w14:textId="2E599CEA" w:rsidR="009D04F7" w:rsidRDefault="009D04F7">
      <w:r>
        <w:t xml:space="preserve">Your </w:t>
      </w:r>
      <w:r w:rsidR="00C639AA">
        <w:t>name</w:t>
      </w:r>
      <w:r>
        <w:t xml:space="preserve">: </w:t>
      </w:r>
      <w:r w:rsidR="009F7996">
        <w:t>Anne Aikman-Scalese</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30"/>
        <w:gridCol w:w="2661"/>
        <w:gridCol w:w="1952"/>
        <w:gridCol w:w="4387"/>
        <w:gridCol w:w="4550"/>
      </w:tblGrid>
      <w:tr w:rsidR="000D421E"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14EDC35E" w14:textId="2D1230E8" w:rsidR="000D421E" w:rsidRDefault="009F7996">
            <w:r>
              <w:t xml:space="preserve">ICANN must allow applicants to submit Registry Voluntary Commitments (RVCs) (previously called voluntary PICs) in subsequent rounds in their applications and/or to respond to public comments, objections, GAC Early Warnings, and/or GAC Consensus Advice.  </w:t>
            </w:r>
          </w:p>
        </w:tc>
        <w:tc>
          <w:tcPr>
            <w:tcW w:w="1260" w:type="dxa"/>
          </w:tcPr>
          <w:p w14:paraId="290600ED" w14:textId="77777777" w:rsidR="000D421E" w:rsidRDefault="009F7996">
            <w:r>
              <w:t>2.3.2 Registry Voluntary Commitments</w:t>
            </w:r>
          </w:p>
          <w:p w14:paraId="4883C8B1" w14:textId="77777777" w:rsidR="009F7996" w:rsidRDefault="009F7996"/>
          <w:p w14:paraId="6F343617" w14:textId="622E2218" w:rsidR="009F7996" w:rsidRDefault="009F7996">
            <w:r>
              <w:t>Recommendation xx (Rationale 9)</w:t>
            </w:r>
          </w:p>
        </w:tc>
        <w:tc>
          <w:tcPr>
            <w:tcW w:w="4860" w:type="dxa"/>
          </w:tcPr>
          <w:p w14:paraId="15203516" w14:textId="77777777" w:rsidR="000D421E" w:rsidRDefault="009F7996">
            <w:r>
              <w:t xml:space="preserve">At some point in amendments made to Package 6, the word “formal” was inserted in numerous places in the Objection section.  This included a statement that RVCs adopted in response to FORMAL Objections are considered Application Change Requests requiring public comment.  </w:t>
            </w:r>
          </w:p>
          <w:p w14:paraId="3ACDEF43" w14:textId="77777777" w:rsidR="009F7996" w:rsidRDefault="009F7996"/>
          <w:p w14:paraId="006CBAEE" w14:textId="78AC28E1" w:rsidR="009F7996" w:rsidRDefault="009F7996">
            <w:r>
              <w:t>Two changes are required to clarify that all RVCs adopted via both formal and informal objection resolution require public comment in an Application Change Request procedure.</w:t>
            </w:r>
          </w:p>
        </w:tc>
        <w:tc>
          <w:tcPr>
            <w:tcW w:w="4860" w:type="dxa"/>
          </w:tcPr>
          <w:p w14:paraId="664BDE67" w14:textId="5AD1480B" w:rsidR="000D421E" w:rsidRDefault="009F7996">
            <w:r>
              <w:t>ICANN must allow applicants to submit Registry Voluntary Commitments (RVCs) (previously called voluntary PICs) in subsequent rounds in their applications and/or to respond to public comments, objections</w:t>
            </w:r>
            <w:r w:rsidR="00563450">
              <w:t xml:space="preserve">, </w:t>
            </w:r>
            <w:r w:rsidR="00563450">
              <w:rPr>
                <w:color w:val="FF0000"/>
              </w:rPr>
              <w:t>whether formal or informal,</w:t>
            </w:r>
            <w:r w:rsidR="00563450">
              <w:t xml:space="preserve"> </w:t>
            </w:r>
            <w:r>
              <w:t xml:space="preserve"> GAC Early Warnings, and/or GAC Consensus Advice.  </w:t>
            </w:r>
          </w:p>
        </w:tc>
      </w:tr>
      <w:tr w:rsidR="000D421E" w14:paraId="26201D1C" w14:textId="77777777" w:rsidTr="000D421E">
        <w:tc>
          <w:tcPr>
            <w:tcW w:w="1080" w:type="dxa"/>
          </w:tcPr>
          <w:p w14:paraId="1E78E9F8" w14:textId="77777777" w:rsidR="000D421E" w:rsidRDefault="000D421E" w:rsidP="006D0418">
            <w:pPr>
              <w:pStyle w:val="ListParagraph"/>
              <w:numPr>
                <w:ilvl w:val="0"/>
                <w:numId w:val="1"/>
              </w:numPr>
            </w:pPr>
          </w:p>
        </w:tc>
        <w:tc>
          <w:tcPr>
            <w:tcW w:w="2520" w:type="dxa"/>
          </w:tcPr>
          <w:p w14:paraId="4D6A8B49" w14:textId="77777777" w:rsidR="009F7996" w:rsidRDefault="009F7996" w:rsidP="009F7996">
            <w:pPr>
              <w:pStyle w:val="NormalWeb"/>
              <w:spacing w:before="0" w:beforeAutospacing="0" w:after="0" w:afterAutospacing="0"/>
            </w:pPr>
            <w:r>
              <w:rPr>
                <w:rFonts w:ascii="Arial" w:hAnsi="Arial" w:cs="Arial"/>
                <w:color w:val="000000"/>
                <w:sz w:val="22"/>
                <w:szCs w:val="22"/>
                <w:u w:val="single"/>
              </w:rPr>
              <w:t>Recommendation xx (rationale 2)</w:t>
            </w:r>
            <w:r>
              <w:rPr>
                <w:rFonts w:ascii="Arial" w:hAnsi="Arial" w:cs="Arial"/>
                <w:color w:val="000000"/>
                <w:sz w:val="22"/>
                <w:szCs w:val="22"/>
              </w:rPr>
              <w:t>: ICANN org must document the types of changes which are required to be posted for public comment and which are not required to be posted for public comment. The following is a non-exhaustive list of changes that must require public comment:</w:t>
            </w:r>
          </w:p>
          <w:p w14:paraId="0B6E54AD" w14:textId="77777777" w:rsidR="009F7996" w:rsidRDefault="009F7996" w:rsidP="009F79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The addition of Registry Voluntary Commitments in response to public comments, objections, GAC Consensus Advice, or GAC Early Warnings</w:t>
            </w:r>
          </w:p>
          <w:p w14:paraId="22B32C91" w14:textId="77777777" w:rsidR="009F7996" w:rsidRDefault="009F7996" w:rsidP="009F79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Changes to Registry Voluntary Commitments in response to public comments, objections, GAC Consensus Advice, or GAC Early Warnings</w:t>
            </w:r>
          </w:p>
          <w:p w14:paraId="4EC18799" w14:textId="77777777" w:rsidR="009F7996" w:rsidRDefault="009F7996" w:rsidP="009F79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Changes associated with the formation of joint ventures (see Recommendation xx below)</w:t>
            </w:r>
          </w:p>
          <w:p w14:paraId="1F4B615D" w14:textId="4650A28E" w:rsidR="000D421E" w:rsidRDefault="000D421E"/>
        </w:tc>
        <w:tc>
          <w:tcPr>
            <w:tcW w:w="1260" w:type="dxa"/>
          </w:tcPr>
          <w:p w14:paraId="0654562B" w14:textId="7C92B5A7" w:rsidR="000D421E" w:rsidRDefault="009F7996">
            <w:r>
              <w:lastRenderedPageBreak/>
              <w:t>2.4.2 Application Change Request</w:t>
            </w:r>
            <w:r w:rsidR="001C41AD">
              <w:t xml:space="preserve"> </w:t>
            </w:r>
          </w:p>
        </w:tc>
        <w:tc>
          <w:tcPr>
            <w:tcW w:w="4860" w:type="dxa"/>
          </w:tcPr>
          <w:p w14:paraId="29E2E80E" w14:textId="12D70A8B" w:rsidR="000D421E" w:rsidRDefault="001C41AD">
            <w:r>
              <w:t>This was a different package number but the change to Package 6 to insert “forma” before “objection” throughout the Objections section requires amendment to the section in Application Change Request shown at the right.</w:t>
            </w:r>
          </w:p>
        </w:tc>
        <w:tc>
          <w:tcPr>
            <w:tcW w:w="4860" w:type="dxa"/>
          </w:tcPr>
          <w:p w14:paraId="02018D9E" w14:textId="77777777" w:rsidR="009F7996" w:rsidRDefault="009F7996" w:rsidP="009F7996">
            <w:pPr>
              <w:pStyle w:val="NormalWeb"/>
              <w:spacing w:before="0" w:beforeAutospacing="0" w:after="0" w:afterAutospacing="0"/>
            </w:pPr>
            <w:r>
              <w:rPr>
                <w:rFonts w:ascii="Arial" w:hAnsi="Arial" w:cs="Arial"/>
                <w:color w:val="000000"/>
                <w:sz w:val="22"/>
                <w:szCs w:val="22"/>
                <w:u w:val="single"/>
              </w:rPr>
              <w:t>Recommendation xx (rationale 2)</w:t>
            </w:r>
            <w:r>
              <w:rPr>
                <w:rFonts w:ascii="Arial" w:hAnsi="Arial" w:cs="Arial"/>
                <w:color w:val="000000"/>
                <w:sz w:val="22"/>
                <w:szCs w:val="22"/>
              </w:rPr>
              <w:t>: ICANN org must document the types of changes which are required to be posted for public comment and which are not required to be posted for public comment. The following is a non-exhaustive list of changes that must require public comment:</w:t>
            </w:r>
          </w:p>
          <w:p w14:paraId="10A29994" w14:textId="4FA23F70" w:rsidR="009F7996" w:rsidRDefault="009F7996" w:rsidP="009F7996">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addition of Registry Voluntary Commitments in response to public comments, objections</w:t>
            </w:r>
            <w:r w:rsidR="00563450">
              <w:rPr>
                <w:rFonts w:ascii="Arial" w:hAnsi="Arial" w:cs="Arial"/>
                <w:color w:val="000000"/>
                <w:sz w:val="22"/>
                <w:szCs w:val="22"/>
              </w:rPr>
              <w:t xml:space="preserve">, </w:t>
            </w:r>
            <w:r w:rsidR="00563450">
              <w:rPr>
                <w:rFonts w:ascii="Arial" w:hAnsi="Arial" w:cs="Arial"/>
                <w:color w:val="FF0000"/>
                <w:sz w:val="22"/>
                <w:szCs w:val="22"/>
              </w:rPr>
              <w:t>whether formal or informal,</w:t>
            </w:r>
            <w:bookmarkStart w:id="0" w:name="_GoBack"/>
            <w:bookmarkEnd w:id="0"/>
            <w:r>
              <w:rPr>
                <w:rFonts w:ascii="Arial" w:hAnsi="Arial" w:cs="Arial"/>
                <w:color w:val="000000"/>
                <w:sz w:val="22"/>
                <w:szCs w:val="22"/>
              </w:rPr>
              <w:t xml:space="preserve"> GAC Consensus Advice, or GAC Early Warnings</w:t>
            </w:r>
          </w:p>
          <w:p w14:paraId="48EA7891" w14:textId="77777777" w:rsidR="009F7996" w:rsidRDefault="009F7996" w:rsidP="009F7996">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Changes to Registry Voluntary Commitments in response to public comments, objections, GAC Consensus Advice, or GAC Early Warnings</w:t>
            </w:r>
          </w:p>
          <w:p w14:paraId="66202D30" w14:textId="77777777" w:rsidR="009F7996" w:rsidRDefault="009F7996" w:rsidP="009F7996">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Changes associated with the formation of joint ventures (see Recommendation xx below)</w:t>
            </w:r>
          </w:p>
          <w:p w14:paraId="00ED2E91" w14:textId="77777777" w:rsidR="000D421E" w:rsidRDefault="000D421E"/>
        </w:tc>
      </w:tr>
      <w:tr w:rsidR="000D421E" w14:paraId="1FA85D02" w14:textId="77777777" w:rsidTr="000D421E">
        <w:tc>
          <w:tcPr>
            <w:tcW w:w="1080" w:type="dxa"/>
          </w:tcPr>
          <w:p w14:paraId="6DAE0DEE" w14:textId="77777777" w:rsidR="000D421E" w:rsidRDefault="000D421E" w:rsidP="006D0418">
            <w:pPr>
              <w:pStyle w:val="ListParagraph"/>
              <w:numPr>
                <w:ilvl w:val="0"/>
                <w:numId w:val="1"/>
              </w:numPr>
            </w:pPr>
          </w:p>
        </w:tc>
        <w:tc>
          <w:tcPr>
            <w:tcW w:w="2520" w:type="dxa"/>
          </w:tcPr>
          <w:p w14:paraId="39098A00" w14:textId="1FB49468" w:rsidR="000D421E" w:rsidRDefault="000D421E"/>
        </w:tc>
        <w:tc>
          <w:tcPr>
            <w:tcW w:w="1260" w:type="dxa"/>
          </w:tcPr>
          <w:p w14:paraId="2B950626" w14:textId="77777777" w:rsidR="000D421E" w:rsidRDefault="000D421E"/>
        </w:tc>
        <w:tc>
          <w:tcPr>
            <w:tcW w:w="4860" w:type="dxa"/>
          </w:tcPr>
          <w:p w14:paraId="3DFFE446" w14:textId="6C7A517C" w:rsidR="000D421E" w:rsidRDefault="000D421E"/>
        </w:tc>
        <w:tc>
          <w:tcPr>
            <w:tcW w:w="4860" w:type="dxa"/>
          </w:tcPr>
          <w:p w14:paraId="1CE5317D" w14:textId="77777777" w:rsidR="000D421E" w:rsidRDefault="000D421E"/>
        </w:tc>
      </w:tr>
      <w:tr w:rsidR="000D421E" w14:paraId="5059611E" w14:textId="77777777" w:rsidTr="000D421E">
        <w:tc>
          <w:tcPr>
            <w:tcW w:w="1080" w:type="dxa"/>
          </w:tcPr>
          <w:p w14:paraId="01FE68CA" w14:textId="77777777" w:rsidR="000D421E" w:rsidRDefault="000D421E" w:rsidP="006D0418">
            <w:pPr>
              <w:pStyle w:val="ListParagraph"/>
              <w:numPr>
                <w:ilvl w:val="0"/>
                <w:numId w:val="1"/>
              </w:numPr>
            </w:pPr>
          </w:p>
        </w:tc>
        <w:tc>
          <w:tcPr>
            <w:tcW w:w="2520" w:type="dxa"/>
          </w:tcPr>
          <w:p w14:paraId="1904CBFA" w14:textId="49594D7C" w:rsidR="000D421E" w:rsidRDefault="000D421E"/>
        </w:tc>
        <w:tc>
          <w:tcPr>
            <w:tcW w:w="1260" w:type="dxa"/>
          </w:tcPr>
          <w:p w14:paraId="648CF34F" w14:textId="77777777" w:rsidR="000D421E" w:rsidRDefault="000D421E"/>
        </w:tc>
        <w:tc>
          <w:tcPr>
            <w:tcW w:w="4860" w:type="dxa"/>
          </w:tcPr>
          <w:p w14:paraId="6811FCC6" w14:textId="0F199C46" w:rsidR="000D421E" w:rsidRDefault="000D421E"/>
        </w:tc>
        <w:tc>
          <w:tcPr>
            <w:tcW w:w="4860" w:type="dxa"/>
          </w:tcPr>
          <w:p w14:paraId="151B38A9" w14:textId="77777777" w:rsidR="000D421E" w:rsidRDefault="000D421E"/>
        </w:tc>
      </w:tr>
      <w:tr w:rsidR="000D421E"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0D421E"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B3303" w14:textId="77777777" w:rsidR="009F7996" w:rsidRDefault="009F7996" w:rsidP="009F7996">
      <w:r>
        <w:separator/>
      </w:r>
    </w:p>
  </w:endnote>
  <w:endnote w:type="continuationSeparator" w:id="0">
    <w:p w14:paraId="2EE36A09" w14:textId="77777777" w:rsidR="009F7996" w:rsidRDefault="009F7996" w:rsidP="009F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A9E8" w14:textId="77777777" w:rsidR="009F7996" w:rsidRDefault="009F7996" w:rsidP="009F7996">
      <w:r>
        <w:separator/>
      </w:r>
    </w:p>
  </w:footnote>
  <w:footnote w:type="continuationSeparator" w:id="0">
    <w:p w14:paraId="1A97941C" w14:textId="77777777" w:rsidR="009F7996" w:rsidRDefault="009F7996" w:rsidP="009F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814BC"/>
    <w:multiLevelType w:val="multilevel"/>
    <w:tmpl w:val="301A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F60AE"/>
    <w:multiLevelType w:val="multilevel"/>
    <w:tmpl w:val="6F6A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D421E"/>
    <w:rsid w:val="001C41AD"/>
    <w:rsid w:val="00246C3B"/>
    <w:rsid w:val="00336B8B"/>
    <w:rsid w:val="0035336D"/>
    <w:rsid w:val="00385D74"/>
    <w:rsid w:val="004B3C4A"/>
    <w:rsid w:val="00563450"/>
    <w:rsid w:val="005E720C"/>
    <w:rsid w:val="005F102F"/>
    <w:rsid w:val="006D0418"/>
    <w:rsid w:val="007F1FED"/>
    <w:rsid w:val="008363A6"/>
    <w:rsid w:val="00970EBD"/>
    <w:rsid w:val="009D04F7"/>
    <w:rsid w:val="009F7957"/>
    <w:rsid w:val="009F7996"/>
    <w:rsid w:val="00B34569"/>
    <w:rsid w:val="00BE5129"/>
    <w:rsid w:val="00C639AA"/>
    <w:rsid w:val="00CD0B02"/>
    <w:rsid w:val="00E53B3D"/>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Header">
    <w:name w:val="header"/>
    <w:basedOn w:val="Normal"/>
    <w:link w:val="HeaderChar"/>
    <w:uiPriority w:val="99"/>
    <w:unhideWhenUsed/>
    <w:rsid w:val="009F7996"/>
    <w:pPr>
      <w:tabs>
        <w:tab w:val="center" w:pos="4680"/>
        <w:tab w:val="right" w:pos="9360"/>
      </w:tabs>
    </w:pPr>
  </w:style>
  <w:style w:type="character" w:customStyle="1" w:styleId="HeaderChar">
    <w:name w:val="Header Char"/>
    <w:basedOn w:val="DefaultParagraphFont"/>
    <w:link w:val="Header"/>
    <w:uiPriority w:val="99"/>
    <w:rsid w:val="009F7996"/>
    <w:rPr>
      <w:rFonts w:eastAsiaTheme="minorEastAsia"/>
    </w:rPr>
  </w:style>
  <w:style w:type="paragraph" w:styleId="Footer">
    <w:name w:val="footer"/>
    <w:basedOn w:val="Normal"/>
    <w:link w:val="FooterChar"/>
    <w:uiPriority w:val="99"/>
    <w:unhideWhenUsed/>
    <w:rsid w:val="009F7996"/>
    <w:pPr>
      <w:tabs>
        <w:tab w:val="center" w:pos="4680"/>
        <w:tab w:val="right" w:pos="9360"/>
      </w:tabs>
    </w:pPr>
  </w:style>
  <w:style w:type="character" w:customStyle="1" w:styleId="FooterChar">
    <w:name w:val="Footer Char"/>
    <w:basedOn w:val="DefaultParagraphFont"/>
    <w:link w:val="Footer"/>
    <w:uiPriority w:val="99"/>
    <w:rsid w:val="009F7996"/>
    <w:rPr>
      <w:rFonts w:eastAsiaTheme="minorEastAsia"/>
    </w:rPr>
  </w:style>
  <w:style w:type="paragraph" w:styleId="NormalWeb">
    <w:name w:val="Normal (Web)"/>
    <w:basedOn w:val="Normal"/>
    <w:uiPriority w:val="99"/>
    <w:semiHidden/>
    <w:unhideWhenUsed/>
    <w:rsid w:val="009F799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21016">
      <w:bodyDiv w:val="1"/>
      <w:marLeft w:val="0"/>
      <w:marRight w:val="0"/>
      <w:marTop w:val="0"/>
      <w:marBottom w:val="0"/>
      <w:divBdr>
        <w:top w:val="none" w:sz="0" w:space="0" w:color="auto"/>
        <w:left w:val="none" w:sz="0" w:space="0" w:color="auto"/>
        <w:bottom w:val="none" w:sz="0" w:space="0" w:color="auto"/>
        <w:right w:val="none" w:sz="0" w:space="0" w:color="auto"/>
      </w:divBdr>
    </w:div>
    <w:div w:id="9740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settings.xml" Type="http://schemas.openxmlformats.org/officeDocument/2006/relationships/settings" Id="rId3"></Relationship><Relationship Target="fontTable.xml" Type="http://schemas.openxmlformats.org/officeDocument/2006/relationships/fontTable"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