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582463" w14:textId="61CF9099" w:rsidR="009D04F7" w:rsidRDefault="009D04F7">
      <w:r>
        <w:t xml:space="preserve">Your </w:t>
      </w:r>
      <w:r w:rsidR="00C639AA">
        <w:t>name</w:t>
      </w:r>
      <w:r>
        <w:t xml:space="preserve">: </w:t>
      </w:r>
      <w:r w:rsidR="00F66C58">
        <w:t>Anne Aikman-Scalese</w:t>
      </w:r>
      <w:r w:rsidR="001D1C54">
        <w:t xml:space="preserve"> (IPC)</w:t>
      </w:r>
    </w:p>
    <w:p w14:paraId="7E7AAADE" w14:textId="77777777" w:rsidR="009D04F7" w:rsidRDefault="009D04F7"/>
    <w:tbl>
      <w:tblPr>
        <w:tblStyle w:val="TableGrid"/>
        <w:tblW w:w="14580" w:type="dxa"/>
        <w:tblInd w:w="-725" w:type="dxa"/>
        <w:tblLook w:val="04A0" w:firstRow="1" w:lastRow="0" w:firstColumn="1" w:lastColumn="0" w:noHBand="0" w:noVBand="1"/>
      </w:tblPr>
      <w:tblGrid>
        <w:gridCol w:w="1044"/>
        <w:gridCol w:w="2448"/>
        <w:gridCol w:w="1952"/>
        <w:gridCol w:w="4566"/>
        <w:gridCol w:w="4570"/>
      </w:tblGrid>
      <w:tr w:rsidR="00A366D0" w14:paraId="2DFB18A8" w14:textId="77777777" w:rsidTr="000D421E">
        <w:trPr>
          <w:trHeight w:val="332"/>
        </w:trPr>
        <w:tc>
          <w:tcPr>
            <w:tcW w:w="1080" w:type="dxa"/>
            <w:shd w:val="clear" w:color="auto" w:fill="E7E6E6" w:themeFill="background2"/>
          </w:tcPr>
          <w:p w14:paraId="7FE0EC21" w14:textId="27379A6F" w:rsidR="000D421E" w:rsidRPr="009D04F7" w:rsidRDefault="000D421E">
            <w:pPr>
              <w:rPr>
                <w:b/>
                <w:bCs/>
              </w:rPr>
            </w:pPr>
            <w:r>
              <w:rPr>
                <w:b/>
                <w:bCs/>
              </w:rPr>
              <w:t>Issue</w:t>
            </w:r>
          </w:p>
        </w:tc>
        <w:tc>
          <w:tcPr>
            <w:tcW w:w="2520" w:type="dxa"/>
            <w:shd w:val="clear" w:color="auto" w:fill="E7E6E6" w:themeFill="background2"/>
          </w:tcPr>
          <w:p w14:paraId="1456978A" w14:textId="67D6483D" w:rsidR="000D421E" w:rsidRPr="009D04F7" w:rsidRDefault="000D421E">
            <w:pPr>
              <w:rPr>
                <w:b/>
                <w:bCs/>
              </w:rPr>
            </w:pPr>
            <w:r>
              <w:rPr>
                <w:b/>
                <w:bCs/>
              </w:rPr>
              <w:t>Applicable text (please quote directly)</w:t>
            </w:r>
          </w:p>
        </w:tc>
        <w:tc>
          <w:tcPr>
            <w:tcW w:w="1260" w:type="dxa"/>
            <w:shd w:val="clear" w:color="auto" w:fill="E7E6E6" w:themeFill="background2"/>
          </w:tcPr>
          <w:p w14:paraId="66BBA0F6" w14:textId="11EA8A7B" w:rsidR="000D421E" w:rsidRPr="009D04F7" w:rsidRDefault="00F07ECE">
            <w:pPr>
              <w:rPr>
                <w:b/>
                <w:bCs/>
              </w:rPr>
            </w:pPr>
            <w:r>
              <w:rPr>
                <w:b/>
                <w:bCs/>
              </w:rPr>
              <w:t>Number and n</w:t>
            </w:r>
            <w:r w:rsidR="00970EBD">
              <w:rPr>
                <w:b/>
                <w:bCs/>
              </w:rPr>
              <w:t>ame of applicable report section</w:t>
            </w:r>
          </w:p>
        </w:tc>
        <w:tc>
          <w:tcPr>
            <w:tcW w:w="4860" w:type="dxa"/>
            <w:shd w:val="clear" w:color="auto" w:fill="E7E6E6" w:themeFill="background2"/>
          </w:tcPr>
          <w:p w14:paraId="59003FD4" w14:textId="26BAC8F2" w:rsidR="000D421E" w:rsidRPr="009D04F7" w:rsidRDefault="000D421E">
            <w:pPr>
              <w:rPr>
                <w:b/>
                <w:bCs/>
              </w:rPr>
            </w:pPr>
            <w:r w:rsidRPr="009D04F7">
              <w:rPr>
                <w:b/>
                <w:bCs/>
              </w:rPr>
              <w:t>Cannot live with rationale</w:t>
            </w:r>
          </w:p>
        </w:tc>
        <w:tc>
          <w:tcPr>
            <w:tcW w:w="4860" w:type="dxa"/>
            <w:shd w:val="clear" w:color="auto" w:fill="E7E6E6" w:themeFill="background2"/>
          </w:tcPr>
          <w:p w14:paraId="799D98C8" w14:textId="6E9DC6F1" w:rsidR="000D421E" w:rsidRPr="009D04F7" w:rsidRDefault="000D421E">
            <w:pPr>
              <w:rPr>
                <w:b/>
                <w:bCs/>
              </w:rPr>
            </w:pPr>
            <w:r w:rsidRPr="009D04F7">
              <w:rPr>
                <w:b/>
                <w:bCs/>
              </w:rPr>
              <w:t>Proposed changes</w:t>
            </w:r>
            <w:r>
              <w:rPr>
                <w:b/>
                <w:bCs/>
              </w:rPr>
              <w:t xml:space="preserve"> (taking into account whether others would be able to live with </w:t>
            </w:r>
            <w:r w:rsidR="00336B8B">
              <w:rPr>
                <w:b/>
                <w:bCs/>
              </w:rPr>
              <w:t>them</w:t>
            </w:r>
            <w:r>
              <w:rPr>
                <w:b/>
                <w:bCs/>
              </w:rPr>
              <w:t>)</w:t>
            </w:r>
          </w:p>
        </w:tc>
      </w:tr>
      <w:tr w:rsidR="00A366D0" w14:paraId="079FFA20" w14:textId="77777777" w:rsidTr="000D421E">
        <w:tc>
          <w:tcPr>
            <w:tcW w:w="1080" w:type="dxa"/>
          </w:tcPr>
          <w:p w14:paraId="21AB5E62" w14:textId="77777777" w:rsidR="000D421E" w:rsidRDefault="000D421E" w:rsidP="006D0418">
            <w:pPr>
              <w:pStyle w:val="ListParagraph"/>
              <w:numPr>
                <w:ilvl w:val="0"/>
                <w:numId w:val="1"/>
              </w:numPr>
            </w:pPr>
          </w:p>
        </w:tc>
        <w:tc>
          <w:tcPr>
            <w:tcW w:w="2520" w:type="dxa"/>
          </w:tcPr>
          <w:p w14:paraId="14EDC35E" w14:textId="06BEEA1E" w:rsidR="000D421E" w:rsidRDefault="008A7C82">
            <w:r>
              <w:t>No text exists re external efforts</w:t>
            </w:r>
          </w:p>
        </w:tc>
        <w:tc>
          <w:tcPr>
            <w:tcW w:w="1260" w:type="dxa"/>
          </w:tcPr>
          <w:p w14:paraId="6F343617" w14:textId="41908DBD" w:rsidR="000D421E" w:rsidRDefault="008A7C82">
            <w:proofErr w:type="spellStart"/>
            <w:r>
              <w:t>2.2.1.d</w:t>
            </w:r>
            <w:proofErr w:type="spellEnd"/>
            <w:r>
              <w:t>.</w:t>
            </w:r>
          </w:p>
        </w:tc>
        <w:tc>
          <w:tcPr>
            <w:tcW w:w="4860" w:type="dxa"/>
          </w:tcPr>
          <w:p w14:paraId="006CBAEE" w14:textId="1835F64B" w:rsidR="000D421E" w:rsidRDefault="008A7C82">
            <w:r>
              <w:t xml:space="preserve">In light of all the text in Rationale 1 and references to the March 1, 2019 Board Resolution, Section </w:t>
            </w:r>
            <w:proofErr w:type="spellStart"/>
            <w:r>
              <w:t>2.2.1.d</w:t>
            </w:r>
            <w:proofErr w:type="spellEnd"/>
            <w:r>
              <w:t>. should refer to Jeff Neuman’s letter to the GNSO Council re DNS Abuse</w:t>
            </w:r>
          </w:p>
        </w:tc>
        <w:tc>
          <w:tcPr>
            <w:tcW w:w="4860" w:type="dxa"/>
          </w:tcPr>
          <w:p w14:paraId="664BDE67" w14:textId="5EB04F4D" w:rsidR="000D421E" w:rsidRDefault="008A7C82">
            <w:r>
              <w:t>Add the following: The Working Group Chair has directed a letter to GNSO Council relative to addressing CCT-RT recommendations re DNS Abuse</w:t>
            </w:r>
            <w:r w:rsidR="00C54181">
              <w:t xml:space="preserve"> holistically</w:t>
            </w:r>
            <w:r>
              <w:t>.  The letter is dated __________ and is attached to this report as ______________.</w:t>
            </w:r>
          </w:p>
        </w:tc>
      </w:tr>
      <w:tr w:rsidR="00A366D0" w14:paraId="26201D1C" w14:textId="77777777" w:rsidTr="000D421E">
        <w:tc>
          <w:tcPr>
            <w:tcW w:w="1080" w:type="dxa"/>
          </w:tcPr>
          <w:p w14:paraId="1E78E9F8" w14:textId="77777777" w:rsidR="000D421E" w:rsidRDefault="000D421E" w:rsidP="006D0418">
            <w:pPr>
              <w:pStyle w:val="ListParagraph"/>
              <w:numPr>
                <w:ilvl w:val="0"/>
                <w:numId w:val="1"/>
              </w:numPr>
            </w:pPr>
          </w:p>
        </w:tc>
        <w:tc>
          <w:tcPr>
            <w:tcW w:w="2520" w:type="dxa"/>
          </w:tcPr>
          <w:p w14:paraId="55BE475C" w14:textId="77777777" w:rsidR="000D421E" w:rsidRDefault="008A7C82">
            <w:r>
              <w:t>“It should not be possible to apply for a string that is still being processed from a previous application round…”</w:t>
            </w:r>
          </w:p>
          <w:p w14:paraId="301CB71D" w14:textId="77777777" w:rsidR="0092265D" w:rsidRDefault="0092265D"/>
          <w:p w14:paraId="1F4B615D" w14:textId="230A5D42" w:rsidR="0092265D" w:rsidRDefault="0092265D"/>
        </w:tc>
        <w:tc>
          <w:tcPr>
            <w:tcW w:w="1260" w:type="dxa"/>
          </w:tcPr>
          <w:p w14:paraId="6349080B" w14:textId="77777777" w:rsidR="000D421E" w:rsidRDefault="008A7C82">
            <w:r>
              <w:t>2.2.3</w:t>
            </w:r>
          </w:p>
          <w:p w14:paraId="0654562B" w14:textId="5DAE2126" w:rsidR="00F66C58" w:rsidRDefault="00F66C58">
            <w:r>
              <w:t xml:space="preserve">Implementation Guidance xx (Rationale 2) </w:t>
            </w:r>
          </w:p>
        </w:tc>
        <w:tc>
          <w:tcPr>
            <w:tcW w:w="4860" w:type="dxa"/>
          </w:tcPr>
          <w:p w14:paraId="58374B41" w14:textId="05208A71" w:rsidR="0092265D" w:rsidRDefault="00844BD4" w:rsidP="0092265D">
            <w:r>
              <w:t>Dissenting V</w:t>
            </w:r>
            <w:r w:rsidR="0092265D">
              <w:t xml:space="preserve">iews should be noted in the draft final report with more </w:t>
            </w:r>
            <w:r w:rsidR="00A366D0">
              <w:t xml:space="preserve">prominence and </w:t>
            </w:r>
            <w:r w:rsidR="0092265D">
              <w:t>particulari</w:t>
            </w:r>
            <w:r>
              <w:t>ty as to the rationale for the Dissenting V</w:t>
            </w:r>
            <w:r w:rsidR="0092265D">
              <w:t>iew.</w:t>
            </w:r>
            <w:r w:rsidR="008A7C82">
              <w:t xml:space="preserve"> </w:t>
            </w:r>
          </w:p>
          <w:p w14:paraId="4A52903D" w14:textId="77777777" w:rsidR="00F66C58" w:rsidRDefault="00F66C58"/>
          <w:p w14:paraId="29E2E80E" w14:textId="6992F89C" w:rsidR="005F72EF" w:rsidRDefault="005F72EF"/>
        </w:tc>
        <w:tc>
          <w:tcPr>
            <w:tcW w:w="4860" w:type="dxa"/>
          </w:tcPr>
          <w:p w14:paraId="629F6546" w14:textId="759A953A" w:rsidR="008A7C82" w:rsidRDefault="00A366D0" w:rsidP="008A7C82">
            <w:pPr>
              <w:rPr>
                <w:rFonts w:eastAsiaTheme="minorHAnsi"/>
              </w:rPr>
            </w:pPr>
            <w:r w:rsidRPr="00A366D0">
              <w:rPr>
                <w:rFonts w:ascii="Arial" w:hAnsi="Arial" w:cs="Arial"/>
                <w:color w:val="000000"/>
                <w:sz w:val="22"/>
                <w:szCs w:val="22"/>
                <w:u w:val="single"/>
              </w:rPr>
              <w:t>Dissenting View</w:t>
            </w:r>
            <w:r>
              <w:rPr>
                <w:rFonts w:ascii="Arial" w:hAnsi="Arial" w:cs="Arial"/>
                <w:color w:val="000000"/>
                <w:sz w:val="22"/>
                <w:szCs w:val="22"/>
              </w:rPr>
              <w:t>:  I</w:t>
            </w:r>
            <w:r w:rsidR="009A4779">
              <w:rPr>
                <w:rFonts w:ascii="Arial" w:hAnsi="Arial" w:cs="Arial"/>
                <w:color w:val="000000"/>
                <w:sz w:val="22"/>
                <w:szCs w:val="22"/>
              </w:rPr>
              <w:t xml:space="preserve">n recognition Principle G, </w:t>
            </w:r>
            <w:r w:rsidR="00D015D8">
              <w:rPr>
                <w:rFonts w:ascii="Arial" w:hAnsi="Arial" w:cs="Arial"/>
                <w:color w:val="000000"/>
                <w:sz w:val="22"/>
                <w:szCs w:val="22"/>
              </w:rPr>
              <w:t xml:space="preserve"> Applicant Freedom of Expres</w:t>
            </w:r>
            <w:r w:rsidR="008A7C82">
              <w:rPr>
                <w:rFonts w:ascii="Arial" w:hAnsi="Arial" w:cs="Arial"/>
                <w:color w:val="000000"/>
                <w:sz w:val="22"/>
                <w:szCs w:val="22"/>
              </w:rPr>
              <w:t>sion, timely applications for any string previously applied for but not yet delegated should be permitted, but such applications should not be processed further unless and until the matching  string from the previous round has been classified as “Will Not Proceed:”.</w:t>
            </w:r>
          </w:p>
          <w:p w14:paraId="0C2AE195" w14:textId="58DDDE1A" w:rsidR="000D421E" w:rsidRPr="009A4779" w:rsidRDefault="009A4779">
            <w:pPr>
              <w:rPr>
                <w:b/>
              </w:rPr>
            </w:pPr>
            <w:r w:rsidRPr="009A4779">
              <w:rPr>
                <w:b/>
              </w:rPr>
              <w:t>ADD the following to text on page 28:</w:t>
            </w:r>
          </w:p>
          <w:p w14:paraId="00ED2E91" w14:textId="35FEC359" w:rsidR="0092265D" w:rsidRDefault="009A4779">
            <w:bookmarkStart w:id="0" w:name="_GoBack"/>
            <w:bookmarkEnd w:id="0"/>
            <w:r>
              <w:t>The stated rationale for the Dissenting V</w:t>
            </w:r>
            <w:r w:rsidR="0092265D">
              <w:t xml:space="preserve">iew was that applicants from prior rounds would retain too much power to (a) insist on non-compliance with new policy requirements </w:t>
            </w:r>
            <w:r w:rsidR="00A366D0">
              <w:t xml:space="preserve">applicable to subsequent procedures </w:t>
            </w:r>
            <w:r w:rsidR="0092265D">
              <w:t>and (b) be able</w:t>
            </w:r>
            <w:r w:rsidR="00A366D0">
              <w:t xml:space="preserve"> to effectively block later </w:t>
            </w:r>
            <w:r w:rsidR="0092265D">
              <w:t xml:space="preserve"> applicants </w:t>
            </w:r>
            <w:r w:rsidR="00A366D0">
              <w:t xml:space="preserve">for the same string who are </w:t>
            </w:r>
            <w:r w:rsidR="0092265D">
              <w:t xml:space="preserve">willing to comply with new </w:t>
            </w:r>
            <w:r w:rsidR="00A366D0">
              <w:t xml:space="preserve">subsequent procedures </w:t>
            </w:r>
            <w:r w:rsidR="0092265D">
              <w:t>policy requirements.</w:t>
            </w:r>
            <w:r w:rsidR="00A366D0">
              <w:t xml:space="preserve">  Examples provided related to </w:t>
            </w:r>
            <w:r>
              <w:t xml:space="preserve">evolving </w:t>
            </w:r>
            <w:r w:rsidR="00A366D0">
              <w:t>name collisions policy and closed generics policy.</w:t>
            </w:r>
          </w:p>
        </w:tc>
      </w:tr>
      <w:tr w:rsidR="00A366D0" w14:paraId="1FA85D02" w14:textId="77777777" w:rsidTr="000D421E">
        <w:tc>
          <w:tcPr>
            <w:tcW w:w="1080" w:type="dxa"/>
          </w:tcPr>
          <w:p w14:paraId="6DAE0DEE" w14:textId="77777777" w:rsidR="000D421E" w:rsidRDefault="000D421E" w:rsidP="006D0418">
            <w:pPr>
              <w:pStyle w:val="ListParagraph"/>
              <w:numPr>
                <w:ilvl w:val="0"/>
                <w:numId w:val="1"/>
              </w:numPr>
            </w:pPr>
          </w:p>
        </w:tc>
        <w:tc>
          <w:tcPr>
            <w:tcW w:w="2520" w:type="dxa"/>
          </w:tcPr>
          <w:p w14:paraId="39098A00" w14:textId="7680DF4D" w:rsidR="000D421E" w:rsidRDefault="00F66C58">
            <w:r>
              <w:t xml:space="preserve">“More specifically, prior to the commencement of the next Application Submission Period, ICANN </w:t>
            </w:r>
            <w:r w:rsidRPr="006D71E0">
              <w:rPr>
                <w:color w:val="FF0000"/>
              </w:rPr>
              <w:t>shall</w:t>
            </w:r>
            <w:r>
              <w:t xml:space="preserve"> publish either (a) the date in which the next subsequent round of new gTLDs will take place or (b) the </w:t>
            </w:r>
            <w:r>
              <w:lastRenderedPageBreak/>
              <w:t>specific set of criteria and/or events that must occur prior to the opening up of the next subsequent round”</w:t>
            </w:r>
          </w:p>
        </w:tc>
        <w:tc>
          <w:tcPr>
            <w:tcW w:w="1260" w:type="dxa"/>
          </w:tcPr>
          <w:p w14:paraId="4CB38C76" w14:textId="77777777" w:rsidR="000D421E" w:rsidRDefault="00F66C58">
            <w:r>
              <w:lastRenderedPageBreak/>
              <w:t>2.2.3</w:t>
            </w:r>
          </w:p>
          <w:p w14:paraId="2B950626" w14:textId="3ED317E5" w:rsidR="00F66C58" w:rsidRDefault="00F66C58">
            <w:r>
              <w:t>Recommendation xx (Rationale 2)</w:t>
            </w:r>
          </w:p>
        </w:tc>
        <w:tc>
          <w:tcPr>
            <w:tcW w:w="4860" w:type="dxa"/>
          </w:tcPr>
          <w:p w14:paraId="35527177" w14:textId="77777777" w:rsidR="000D421E" w:rsidRDefault="00F66C58">
            <w:r>
              <w:t xml:space="preserve">What do we mean by the use of the word, “shall”?  Do we mean ICANN “must”?  Or ICANN “should”?  This is a Recommendation so we need to be very specific.  </w:t>
            </w:r>
          </w:p>
          <w:p w14:paraId="0B710612" w14:textId="77777777" w:rsidR="00D2741F" w:rsidRDefault="00D2741F"/>
          <w:p w14:paraId="3DFFE446" w14:textId="6C25FF9F" w:rsidR="00D2741F" w:rsidRDefault="00D2741F">
            <w:r>
              <w:t>What are the conventions in relation to the use of the terms, “shall”, “must”, and “should” in the draft Final Report?</w:t>
            </w:r>
          </w:p>
        </w:tc>
        <w:tc>
          <w:tcPr>
            <w:tcW w:w="4860" w:type="dxa"/>
          </w:tcPr>
          <w:p w14:paraId="1CE5317D" w14:textId="174633C9" w:rsidR="000D421E" w:rsidRDefault="00F66C58">
            <w:r>
              <w:t>Suggest we replace “shall” with “must” if that is what we mean.</w:t>
            </w:r>
          </w:p>
        </w:tc>
      </w:tr>
      <w:tr w:rsidR="00A366D0" w14:paraId="5059611E" w14:textId="77777777" w:rsidTr="000D421E">
        <w:tc>
          <w:tcPr>
            <w:tcW w:w="1080" w:type="dxa"/>
          </w:tcPr>
          <w:p w14:paraId="01FE68CA" w14:textId="77777777" w:rsidR="000D421E" w:rsidRDefault="000D421E" w:rsidP="006D0418">
            <w:pPr>
              <w:pStyle w:val="ListParagraph"/>
              <w:numPr>
                <w:ilvl w:val="0"/>
                <w:numId w:val="1"/>
              </w:numPr>
            </w:pPr>
          </w:p>
        </w:tc>
        <w:tc>
          <w:tcPr>
            <w:tcW w:w="2520" w:type="dxa"/>
          </w:tcPr>
          <w:p w14:paraId="1904CBFA" w14:textId="49594D7C" w:rsidR="000D421E" w:rsidRDefault="000D421E"/>
        </w:tc>
        <w:tc>
          <w:tcPr>
            <w:tcW w:w="1260" w:type="dxa"/>
          </w:tcPr>
          <w:p w14:paraId="648CF34F" w14:textId="77777777" w:rsidR="000D421E" w:rsidRDefault="000D421E"/>
        </w:tc>
        <w:tc>
          <w:tcPr>
            <w:tcW w:w="4860" w:type="dxa"/>
          </w:tcPr>
          <w:p w14:paraId="6811FCC6" w14:textId="0F199C46" w:rsidR="000D421E" w:rsidRDefault="000D421E"/>
        </w:tc>
        <w:tc>
          <w:tcPr>
            <w:tcW w:w="4860" w:type="dxa"/>
          </w:tcPr>
          <w:p w14:paraId="151B38A9" w14:textId="77777777" w:rsidR="000D421E" w:rsidRDefault="000D421E"/>
        </w:tc>
      </w:tr>
      <w:tr w:rsidR="00A366D0" w14:paraId="28AFB8FA" w14:textId="77777777" w:rsidTr="000D421E">
        <w:tc>
          <w:tcPr>
            <w:tcW w:w="1080" w:type="dxa"/>
          </w:tcPr>
          <w:p w14:paraId="55F0ABCB" w14:textId="77777777" w:rsidR="000D421E" w:rsidRDefault="000D421E" w:rsidP="006D0418">
            <w:pPr>
              <w:pStyle w:val="ListParagraph"/>
              <w:numPr>
                <w:ilvl w:val="0"/>
                <w:numId w:val="1"/>
              </w:numPr>
            </w:pPr>
          </w:p>
        </w:tc>
        <w:tc>
          <w:tcPr>
            <w:tcW w:w="2520" w:type="dxa"/>
          </w:tcPr>
          <w:p w14:paraId="0FEF9ECF" w14:textId="1806BF96" w:rsidR="000D421E" w:rsidRDefault="000D421E"/>
        </w:tc>
        <w:tc>
          <w:tcPr>
            <w:tcW w:w="1260" w:type="dxa"/>
          </w:tcPr>
          <w:p w14:paraId="6CDAF456" w14:textId="77777777" w:rsidR="000D421E" w:rsidRDefault="000D421E"/>
        </w:tc>
        <w:tc>
          <w:tcPr>
            <w:tcW w:w="4860" w:type="dxa"/>
          </w:tcPr>
          <w:p w14:paraId="76AC15AE" w14:textId="0E5EFB4A" w:rsidR="000D421E" w:rsidRDefault="000D421E"/>
        </w:tc>
        <w:tc>
          <w:tcPr>
            <w:tcW w:w="4860" w:type="dxa"/>
          </w:tcPr>
          <w:p w14:paraId="42C8B40A" w14:textId="77777777" w:rsidR="000D421E" w:rsidRDefault="000D421E"/>
        </w:tc>
      </w:tr>
      <w:tr w:rsidR="00A366D0" w14:paraId="4CADDBB7" w14:textId="77777777" w:rsidTr="000D421E">
        <w:tc>
          <w:tcPr>
            <w:tcW w:w="1080" w:type="dxa"/>
          </w:tcPr>
          <w:p w14:paraId="25826C9A" w14:textId="77777777" w:rsidR="000D421E" w:rsidRDefault="000D421E" w:rsidP="006D0418">
            <w:pPr>
              <w:pStyle w:val="ListParagraph"/>
              <w:numPr>
                <w:ilvl w:val="0"/>
                <w:numId w:val="1"/>
              </w:numPr>
            </w:pPr>
          </w:p>
        </w:tc>
        <w:tc>
          <w:tcPr>
            <w:tcW w:w="2520" w:type="dxa"/>
          </w:tcPr>
          <w:p w14:paraId="178D08F8" w14:textId="77777777" w:rsidR="000D421E" w:rsidRDefault="000D421E"/>
        </w:tc>
        <w:tc>
          <w:tcPr>
            <w:tcW w:w="1260" w:type="dxa"/>
          </w:tcPr>
          <w:p w14:paraId="73118B82" w14:textId="77777777" w:rsidR="000D421E" w:rsidRDefault="000D421E"/>
        </w:tc>
        <w:tc>
          <w:tcPr>
            <w:tcW w:w="4860" w:type="dxa"/>
          </w:tcPr>
          <w:p w14:paraId="189DCE57" w14:textId="26DC78C3" w:rsidR="000D421E" w:rsidRDefault="000D421E"/>
        </w:tc>
        <w:tc>
          <w:tcPr>
            <w:tcW w:w="4860" w:type="dxa"/>
          </w:tcPr>
          <w:p w14:paraId="79019494" w14:textId="77777777" w:rsidR="000D421E" w:rsidRDefault="000D421E"/>
        </w:tc>
      </w:tr>
    </w:tbl>
    <w:p w14:paraId="293DC469" w14:textId="77777777" w:rsidR="000B7A30" w:rsidRDefault="000B7A30"/>
    <w:sectPr w:rsidR="000B7A30" w:rsidSect="009D04F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C0E46"/>
    <w:multiLevelType w:val="hybridMultilevel"/>
    <w:tmpl w:val="97B8E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hideSpellingErrors/>
  <w:hideGrammatical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4F7"/>
    <w:rsid w:val="000B7A30"/>
    <w:rsid w:val="000D421E"/>
    <w:rsid w:val="001D1C54"/>
    <w:rsid w:val="00246C3B"/>
    <w:rsid w:val="00336B8B"/>
    <w:rsid w:val="0035336D"/>
    <w:rsid w:val="00385D74"/>
    <w:rsid w:val="004B3C4A"/>
    <w:rsid w:val="005E720C"/>
    <w:rsid w:val="005F102F"/>
    <w:rsid w:val="005F72EF"/>
    <w:rsid w:val="006D0418"/>
    <w:rsid w:val="006D71E0"/>
    <w:rsid w:val="007F1FED"/>
    <w:rsid w:val="008363A6"/>
    <w:rsid w:val="00844BD4"/>
    <w:rsid w:val="008A7C82"/>
    <w:rsid w:val="0092265D"/>
    <w:rsid w:val="00970EBD"/>
    <w:rsid w:val="009A4779"/>
    <w:rsid w:val="009D04F7"/>
    <w:rsid w:val="009F7957"/>
    <w:rsid w:val="00A366D0"/>
    <w:rsid w:val="00B34569"/>
    <w:rsid w:val="00BE5129"/>
    <w:rsid w:val="00C54181"/>
    <w:rsid w:val="00C639AA"/>
    <w:rsid w:val="00CD0B02"/>
    <w:rsid w:val="00D015D8"/>
    <w:rsid w:val="00D2741F"/>
    <w:rsid w:val="00E53B3D"/>
    <w:rsid w:val="00EF35AF"/>
    <w:rsid w:val="00F07ECE"/>
    <w:rsid w:val="00F10689"/>
    <w:rsid w:val="00F66C58"/>
    <w:rsid w:val="00F76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F790D"/>
  <w15:chartTrackingRefBased/>
  <w15:docId w15:val="{C73C14C4-F2EC-5F42-88A8-611DDE95E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04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04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746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Relationship Target="settings.xml" Type="http://schemas.openxmlformats.org/officeDocument/2006/relationships/settings" Id="rId3"></Relationship><Relationship Target="styles.xml" Type="http://schemas.openxmlformats.org/officeDocument/2006/relationships/styles" Id="rId2"></Relationship><Relationship Target="numbering.xml" Type="http://schemas.openxmlformats.org/officeDocument/2006/relationships/numbering" Id="rId1"></Relationship><Relationship Target="theme/theme1.xml" Type="http://schemas.openxmlformats.org/officeDocument/2006/relationships/theme" Id="rId6"></Relationship><Relationship Target="fontTable.xml" Type="http://schemas.openxmlformats.org/officeDocument/2006/relationships/fontTable" Id="rId5"></Relationship><Relationship Target="webSettings.xml" Type="http://schemas.openxmlformats.org/officeDocument/2006/relationships/webSettings" Id="rId4"></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itlesOfParts>
    <vt:vector size="1" baseType="lpstr">
      <vt:lpstr/>
    </vt:vector>
  </TitlesOfPart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coreProperties>
</file>