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82463" w14:textId="074B092D" w:rsidR="009D04F7" w:rsidRPr="00264F25" w:rsidRDefault="009D04F7">
      <w:pPr>
        <w:rPr>
          <w:rFonts w:cstheme="minorHAnsi"/>
          <w:sz w:val="22"/>
          <w:szCs w:val="22"/>
        </w:rPr>
      </w:pPr>
      <w:r w:rsidRPr="00264F25">
        <w:rPr>
          <w:rFonts w:cstheme="minorHAnsi"/>
          <w:sz w:val="22"/>
          <w:szCs w:val="22"/>
        </w:rPr>
        <w:t xml:space="preserve">Your </w:t>
      </w:r>
      <w:r w:rsidR="00C639AA" w:rsidRPr="00264F25">
        <w:rPr>
          <w:rFonts w:cstheme="minorHAnsi"/>
          <w:sz w:val="22"/>
          <w:szCs w:val="22"/>
        </w:rPr>
        <w:t>name</w:t>
      </w:r>
      <w:r w:rsidRPr="00264F25">
        <w:rPr>
          <w:rFonts w:cstheme="minorHAnsi"/>
          <w:sz w:val="22"/>
          <w:szCs w:val="22"/>
        </w:rPr>
        <w:t xml:space="preserve">: </w:t>
      </w:r>
      <w:r w:rsidR="00770DEF" w:rsidRPr="00264F25">
        <w:rPr>
          <w:rFonts w:cstheme="minorHAnsi"/>
          <w:sz w:val="22"/>
          <w:szCs w:val="22"/>
        </w:rPr>
        <w:t>Jim Prendergast</w:t>
      </w:r>
    </w:p>
    <w:p w14:paraId="64ABA4D7" w14:textId="20DB7E2A" w:rsidR="00193502" w:rsidRPr="00264F25" w:rsidRDefault="00193502">
      <w:pPr>
        <w:rPr>
          <w:rFonts w:cstheme="minorHAnsi"/>
          <w:sz w:val="22"/>
          <w:szCs w:val="22"/>
        </w:rPr>
      </w:pPr>
      <w:r w:rsidRPr="00264F25">
        <w:rPr>
          <w:rFonts w:eastAsia="Times New Roman" w:cstheme="minorHAnsi"/>
          <w:color w:val="000000"/>
          <w:sz w:val="22"/>
          <w:szCs w:val="22"/>
        </w:rPr>
        <w:t>Auctions: Mechanisms of Last Resort &amp; Private Resolution of Contention Sets (Including Private Auction)</w:t>
      </w:r>
    </w:p>
    <w:p w14:paraId="7E7AAADE" w14:textId="77777777" w:rsidR="009D04F7" w:rsidRPr="00264F25" w:rsidRDefault="009D04F7">
      <w:pPr>
        <w:rPr>
          <w:rFonts w:cstheme="minorHAnsi"/>
          <w:sz w:val="22"/>
          <w:szCs w:val="22"/>
        </w:rPr>
      </w:pPr>
    </w:p>
    <w:tbl>
      <w:tblPr>
        <w:tblStyle w:val="TableGrid"/>
        <w:tblW w:w="14580" w:type="dxa"/>
        <w:tblInd w:w="-725" w:type="dxa"/>
        <w:tblLook w:val="04A0" w:firstRow="1" w:lastRow="0" w:firstColumn="1" w:lastColumn="0" w:noHBand="0" w:noVBand="1"/>
      </w:tblPr>
      <w:tblGrid>
        <w:gridCol w:w="1009"/>
        <w:gridCol w:w="2351"/>
        <w:gridCol w:w="2718"/>
        <w:gridCol w:w="4241"/>
        <w:gridCol w:w="4261"/>
      </w:tblGrid>
      <w:tr w:rsidR="00361201" w:rsidRPr="00264F25" w14:paraId="2DFB18A8" w14:textId="77777777" w:rsidTr="00B54E0C">
        <w:trPr>
          <w:trHeight w:val="332"/>
        </w:trPr>
        <w:tc>
          <w:tcPr>
            <w:tcW w:w="1009" w:type="dxa"/>
            <w:shd w:val="clear" w:color="auto" w:fill="E7E6E6" w:themeFill="background2"/>
          </w:tcPr>
          <w:p w14:paraId="7FE0EC21" w14:textId="27379A6F" w:rsidR="000D421E" w:rsidRPr="00264F25" w:rsidRDefault="000D421E">
            <w:pPr>
              <w:rPr>
                <w:rFonts w:cstheme="minorHAnsi"/>
                <w:b/>
                <w:bCs/>
                <w:sz w:val="22"/>
                <w:szCs w:val="22"/>
              </w:rPr>
            </w:pPr>
            <w:r w:rsidRPr="00264F25">
              <w:rPr>
                <w:rFonts w:cstheme="minorHAnsi"/>
                <w:b/>
                <w:bCs/>
                <w:sz w:val="22"/>
                <w:szCs w:val="22"/>
              </w:rPr>
              <w:t>Issue</w:t>
            </w:r>
          </w:p>
        </w:tc>
        <w:tc>
          <w:tcPr>
            <w:tcW w:w="2351" w:type="dxa"/>
            <w:shd w:val="clear" w:color="auto" w:fill="E7E6E6" w:themeFill="background2"/>
          </w:tcPr>
          <w:p w14:paraId="1456978A" w14:textId="67D6483D" w:rsidR="000D421E" w:rsidRPr="00264F25" w:rsidRDefault="000D421E">
            <w:pPr>
              <w:rPr>
                <w:rFonts w:cstheme="minorHAnsi"/>
                <w:b/>
                <w:bCs/>
                <w:sz w:val="22"/>
                <w:szCs w:val="22"/>
              </w:rPr>
            </w:pPr>
            <w:r w:rsidRPr="00264F25">
              <w:rPr>
                <w:rFonts w:cstheme="minorHAnsi"/>
                <w:b/>
                <w:bCs/>
                <w:sz w:val="22"/>
                <w:szCs w:val="22"/>
              </w:rPr>
              <w:t>Applicable text (please quote directly)</w:t>
            </w:r>
          </w:p>
        </w:tc>
        <w:tc>
          <w:tcPr>
            <w:tcW w:w="2718" w:type="dxa"/>
            <w:shd w:val="clear" w:color="auto" w:fill="E7E6E6" w:themeFill="background2"/>
          </w:tcPr>
          <w:p w14:paraId="66BBA0F6" w14:textId="11EA8A7B" w:rsidR="000D421E" w:rsidRPr="00264F25" w:rsidRDefault="00F07ECE">
            <w:pPr>
              <w:rPr>
                <w:rFonts w:cstheme="minorHAnsi"/>
                <w:b/>
                <w:bCs/>
                <w:sz w:val="22"/>
                <w:szCs w:val="22"/>
              </w:rPr>
            </w:pPr>
            <w:r w:rsidRPr="00264F25">
              <w:rPr>
                <w:rFonts w:cstheme="minorHAnsi"/>
                <w:b/>
                <w:bCs/>
                <w:sz w:val="22"/>
                <w:szCs w:val="22"/>
              </w:rPr>
              <w:t>Number and n</w:t>
            </w:r>
            <w:r w:rsidR="00970EBD" w:rsidRPr="00264F25">
              <w:rPr>
                <w:rFonts w:cstheme="minorHAnsi"/>
                <w:b/>
                <w:bCs/>
                <w:sz w:val="22"/>
                <w:szCs w:val="22"/>
              </w:rPr>
              <w:t>ame of applicable report section</w:t>
            </w:r>
          </w:p>
        </w:tc>
        <w:tc>
          <w:tcPr>
            <w:tcW w:w="4241" w:type="dxa"/>
            <w:shd w:val="clear" w:color="auto" w:fill="E7E6E6" w:themeFill="background2"/>
          </w:tcPr>
          <w:p w14:paraId="59003FD4" w14:textId="26BAC8F2" w:rsidR="000D421E" w:rsidRPr="00264F25" w:rsidRDefault="000D421E">
            <w:pPr>
              <w:rPr>
                <w:rFonts w:cstheme="minorHAnsi"/>
                <w:b/>
                <w:bCs/>
                <w:sz w:val="22"/>
                <w:szCs w:val="22"/>
              </w:rPr>
            </w:pPr>
            <w:r w:rsidRPr="00264F25">
              <w:rPr>
                <w:rFonts w:cstheme="minorHAnsi"/>
                <w:b/>
                <w:bCs/>
                <w:sz w:val="22"/>
                <w:szCs w:val="22"/>
              </w:rPr>
              <w:t>Cannot live with rationale</w:t>
            </w:r>
          </w:p>
        </w:tc>
        <w:tc>
          <w:tcPr>
            <w:tcW w:w="4261" w:type="dxa"/>
            <w:shd w:val="clear" w:color="auto" w:fill="E7E6E6" w:themeFill="background2"/>
          </w:tcPr>
          <w:p w14:paraId="799D98C8" w14:textId="6E9DC6F1" w:rsidR="000D421E" w:rsidRPr="00264F25" w:rsidRDefault="000D421E">
            <w:pPr>
              <w:rPr>
                <w:rFonts w:cstheme="minorHAnsi"/>
                <w:b/>
                <w:bCs/>
                <w:sz w:val="22"/>
                <w:szCs w:val="22"/>
              </w:rPr>
            </w:pPr>
            <w:r w:rsidRPr="00264F25">
              <w:rPr>
                <w:rFonts w:cstheme="minorHAnsi"/>
                <w:b/>
                <w:bCs/>
                <w:sz w:val="22"/>
                <w:szCs w:val="22"/>
              </w:rPr>
              <w:t>Proposed changes (</w:t>
            </w:r>
            <w:proofErr w:type="gramStart"/>
            <w:r w:rsidRPr="00264F25">
              <w:rPr>
                <w:rFonts w:cstheme="minorHAnsi"/>
                <w:b/>
                <w:bCs/>
                <w:sz w:val="22"/>
                <w:szCs w:val="22"/>
              </w:rPr>
              <w:t>taking into account</w:t>
            </w:r>
            <w:proofErr w:type="gramEnd"/>
            <w:r w:rsidRPr="00264F25">
              <w:rPr>
                <w:rFonts w:cstheme="minorHAnsi"/>
                <w:b/>
                <w:bCs/>
                <w:sz w:val="22"/>
                <w:szCs w:val="22"/>
              </w:rPr>
              <w:t xml:space="preserve"> whether others would be able to live with </w:t>
            </w:r>
            <w:r w:rsidR="00336B8B" w:rsidRPr="00264F25">
              <w:rPr>
                <w:rFonts w:cstheme="minorHAnsi"/>
                <w:b/>
                <w:bCs/>
                <w:sz w:val="22"/>
                <w:szCs w:val="22"/>
              </w:rPr>
              <w:t>them</w:t>
            </w:r>
            <w:r w:rsidRPr="00264F25">
              <w:rPr>
                <w:rFonts w:cstheme="minorHAnsi"/>
                <w:b/>
                <w:bCs/>
                <w:sz w:val="22"/>
                <w:szCs w:val="22"/>
              </w:rPr>
              <w:t>)</w:t>
            </w:r>
          </w:p>
        </w:tc>
      </w:tr>
      <w:tr w:rsidR="00361201" w:rsidRPr="00264F25" w14:paraId="079FFA20" w14:textId="77777777" w:rsidTr="00B54E0C">
        <w:tc>
          <w:tcPr>
            <w:tcW w:w="1009" w:type="dxa"/>
          </w:tcPr>
          <w:p w14:paraId="21AB5E62" w14:textId="77777777" w:rsidR="000D421E" w:rsidRPr="00264F25" w:rsidRDefault="000D421E" w:rsidP="006D0418">
            <w:pPr>
              <w:pStyle w:val="ListParagraph"/>
              <w:numPr>
                <w:ilvl w:val="0"/>
                <w:numId w:val="1"/>
              </w:numPr>
              <w:rPr>
                <w:rFonts w:cstheme="minorHAnsi"/>
                <w:sz w:val="22"/>
                <w:szCs w:val="22"/>
              </w:rPr>
            </w:pPr>
          </w:p>
        </w:tc>
        <w:tc>
          <w:tcPr>
            <w:tcW w:w="2351" w:type="dxa"/>
          </w:tcPr>
          <w:p w14:paraId="14EDC35E" w14:textId="0F93022A" w:rsidR="000D421E" w:rsidRPr="00264F25" w:rsidRDefault="00193502">
            <w:pPr>
              <w:rPr>
                <w:rFonts w:cstheme="minorHAnsi"/>
                <w:sz w:val="22"/>
                <w:szCs w:val="22"/>
              </w:rPr>
            </w:pPr>
            <w:r w:rsidRPr="00264F25">
              <w:rPr>
                <w:rFonts w:cstheme="minorHAnsi"/>
                <w:color w:val="000000"/>
                <w:sz w:val="22"/>
                <w:szCs w:val="22"/>
              </w:rPr>
              <w:t xml:space="preserve">The revision to part </w:t>
            </w:r>
            <w:proofErr w:type="spellStart"/>
            <w:r w:rsidRPr="00264F25">
              <w:rPr>
                <w:rFonts w:cstheme="minorHAnsi"/>
                <w:color w:val="000000"/>
                <w:sz w:val="22"/>
                <w:szCs w:val="22"/>
              </w:rPr>
              <w:t>i</w:t>
            </w:r>
            <w:proofErr w:type="spellEnd"/>
            <w:r w:rsidRPr="00264F25">
              <w:rPr>
                <w:rFonts w:cstheme="minorHAnsi"/>
                <w:color w:val="000000"/>
                <w:sz w:val="22"/>
                <w:szCs w:val="22"/>
              </w:rPr>
              <w:t>) specifies that any private resolution of contention must be in accordance with the Application Guidebook and supporting documents, including the Application Change request process. Adjustments in the text of ii) and iii) describe in greater specificity program elements as they were implemented in the 2012 round, which will carry over into subsequent rounds.</w:t>
            </w:r>
          </w:p>
        </w:tc>
        <w:tc>
          <w:tcPr>
            <w:tcW w:w="2718" w:type="dxa"/>
          </w:tcPr>
          <w:p w14:paraId="6F343617" w14:textId="08E4172A" w:rsidR="000D421E" w:rsidRPr="00264F25" w:rsidRDefault="00193502">
            <w:pPr>
              <w:rPr>
                <w:rFonts w:cstheme="minorHAnsi"/>
                <w:sz w:val="22"/>
                <w:szCs w:val="22"/>
              </w:rPr>
            </w:pPr>
            <w:r w:rsidRPr="00264F25">
              <w:rPr>
                <w:rFonts w:cstheme="minorHAnsi"/>
                <w:sz w:val="22"/>
                <w:szCs w:val="22"/>
              </w:rPr>
              <w:t>Section a. Recommendations and/or implementation guidelines, third paragraph</w:t>
            </w:r>
          </w:p>
        </w:tc>
        <w:tc>
          <w:tcPr>
            <w:tcW w:w="4241" w:type="dxa"/>
          </w:tcPr>
          <w:p w14:paraId="006CBAEE" w14:textId="3A118EE4" w:rsidR="000D421E" w:rsidRPr="00264F25" w:rsidRDefault="00193502">
            <w:pPr>
              <w:rPr>
                <w:rFonts w:cstheme="minorHAnsi"/>
                <w:sz w:val="22"/>
                <w:szCs w:val="22"/>
              </w:rPr>
            </w:pPr>
            <w:r w:rsidRPr="00264F25">
              <w:rPr>
                <w:rFonts w:cstheme="minorHAnsi"/>
                <w:sz w:val="22"/>
                <w:szCs w:val="22"/>
              </w:rPr>
              <w:t xml:space="preserve">We’ve made several updates to what will be included in the </w:t>
            </w:r>
            <w:proofErr w:type="spellStart"/>
            <w:r w:rsidRPr="00264F25">
              <w:rPr>
                <w:rFonts w:cstheme="minorHAnsi"/>
                <w:sz w:val="22"/>
                <w:szCs w:val="22"/>
              </w:rPr>
              <w:t>Ts&amp;Cs</w:t>
            </w:r>
            <w:proofErr w:type="spellEnd"/>
            <w:r w:rsidRPr="00264F25">
              <w:rPr>
                <w:rFonts w:cstheme="minorHAnsi"/>
                <w:sz w:val="22"/>
                <w:szCs w:val="22"/>
              </w:rPr>
              <w:t xml:space="preserve"> regarding disclosure and this should be referenced here. </w:t>
            </w:r>
          </w:p>
        </w:tc>
        <w:tc>
          <w:tcPr>
            <w:tcW w:w="4261" w:type="dxa"/>
          </w:tcPr>
          <w:p w14:paraId="664BDE67" w14:textId="3DF04ADD" w:rsidR="000D421E" w:rsidRPr="00264F25" w:rsidRDefault="00193502">
            <w:pPr>
              <w:rPr>
                <w:rFonts w:cstheme="minorHAnsi"/>
                <w:sz w:val="22"/>
                <w:szCs w:val="22"/>
              </w:rPr>
            </w:pPr>
            <w:r w:rsidRPr="00264F25">
              <w:rPr>
                <w:rFonts w:cstheme="minorHAnsi"/>
                <w:color w:val="000000"/>
                <w:sz w:val="22"/>
                <w:szCs w:val="22"/>
              </w:rPr>
              <w:t xml:space="preserve">The revision to part </w:t>
            </w:r>
            <w:proofErr w:type="spellStart"/>
            <w:r w:rsidRPr="00264F25">
              <w:rPr>
                <w:rFonts w:cstheme="minorHAnsi"/>
                <w:color w:val="000000"/>
                <w:sz w:val="22"/>
                <w:szCs w:val="22"/>
              </w:rPr>
              <w:t>i</w:t>
            </w:r>
            <w:proofErr w:type="spellEnd"/>
            <w:r w:rsidRPr="00264F25">
              <w:rPr>
                <w:rFonts w:cstheme="minorHAnsi"/>
                <w:color w:val="000000"/>
                <w:sz w:val="22"/>
                <w:szCs w:val="22"/>
              </w:rPr>
              <w:t xml:space="preserve">) specifies that any private resolution of contention must be in accordance with the Application Guidebook and supporting documents, including the Application Change request process </w:t>
            </w:r>
            <w:r w:rsidRPr="00264F25">
              <w:rPr>
                <w:rFonts w:cstheme="minorHAnsi"/>
                <w:color w:val="FF0000"/>
                <w:sz w:val="22"/>
                <w:szCs w:val="22"/>
              </w:rPr>
              <w:t xml:space="preserve">and Terms and Conditions. </w:t>
            </w:r>
            <w:r w:rsidRPr="00264F25">
              <w:rPr>
                <w:rFonts w:cstheme="minorHAnsi"/>
                <w:color w:val="000000"/>
                <w:sz w:val="22"/>
                <w:szCs w:val="22"/>
              </w:rPr>
              <w:t>Adjustments in the text of ii) and iii) describe in greater specificity program elements as they were implemented in the 2012 round, which will carry over into subsequent rounds.</w:t>
            </w:r>
          </w:p>
        </w:tc>
      </w:tr>
      <w:tr w:rsidR="00361201" w:rsidRPr="00264F25" w14:paraId="26201D1C" w14:textId="77777777" w:rsidTr="00B54E0C">
        <w:tc>
          <w:tcPr>
            <w:tcW w:w="1009" w:type="dxa"/>
          </w:tcPr>
          <w:p w14:paraId="1E78E9F8" w14:textId="77777777" w:rsidR="000D421E" w:rsidRPr="00264F25" w:rsidRDefault="000D421E" w:rsidP="006D0418">
            <w:pPr>
              <w:pStyle w:val="ListParagraph"/>
              <w:numPr>
                <w:ilvl w:val="0"/>
                <w:numId w:val="1"/>
              </w:numPr>
              <w:rPr>
                <w:rFonts w:cstheme="minorHAnsi"/>
                <w:sz w:val="22"/>
                <w:szCs w:val="22"/>
              </w:rPr>
            </w:pPr>
          </w:p>
        </w:tc>
        <w:tc>
          <w:tcPr>
            <w:tcW w:w="2351" w:type="dxa"/>
          </w:tcPr>
          <w:p w14:paraId="1F4B615D" w14:textId="5C4F2A13" w:rsidR="000D421E" w:rsidRPr="00264F25" w:rsidRDefault="005F6B4E">
            <w:pPr>
              <w:rPr>
                <w:rFonts w:cstheme="minorHAnsi"/>
                <w:sz w:val="22"/>
                <w:szCs w:val="22"/>
              </w:rPr>
            </w:pPr>
            <w:r w:rsidRPr="00264F25">
              <w:rPr>
                <w:rFonts w:cstheme="minorHAnsi"/>
                <w:color w:val="000000"/>
                <w:sz w:val="22"/>
                <w:szCs w:val="22"/>
              </w:rPr>
              <w:t xml:space="preserve">All private resolutions reached by means of forming business combinations or other joint ventures resulting in the withdrawal of one or more applications are likely to result in material </w:t>
            </w:r>
            <w:r w:rsidRPr="00264F25">
              <w:rPr>
                <w:rFonts w:cstheme="minorHAnsi"/>
                <w:color w:val="000000"/>
                <w:sz w:val="22"/>
                <w:szCs w:val="22"/>
              </w:rPr>
              <w:lastRenderedPageBreak/>
              <w:t>changes to the surviving application and to the extent they do, must follow the Application Change processes set forth under Topic 20 as all material changes require; material changes may require reevaluation of some or all of the new resulting application.</w:t>
            </w:r>
          </w:p>
        </w:tc>
        <w:tc>
          <w:tcPr>
            <w:tcW w:w="2718" w:type="dxa"/>
          </w:tcPr>
          <w:p w14:paraId="0654562B" w14:textId="13BBDE69" w:rsidR="000D421E" w:rsidRPr="00264F25" w:rsidRDefault="005F6B4E">
            <w:pPr>
              <w:rPr>
                <w:rFonts w:cstheme="minorHAnsi"/>
                <w:sz w:val="22"/>
                <w:szCs w:val="22"/>
              </w:rPr>
            </w:pPr>
            <w:r w:rsidRPr="00264F25">
              <w:rPr>
                <w:rFonts w:cstheme="minorHAnsi"/>
                <w:sz w:val="22"/>
                <w:szCs w:val="22"/>
              </w:rPr>
              <w:lastRenderedPageBreak/>
              <w:t>Recommendation xx (Rationale 2), first bullet</w:t>
            </w:r>
          </w:p>
        </w:tc>
        <w:tc>
          <w:tcPr>
            <w:tcW w:w="4241" w:type="dxa"/>
          </w:tcPr>
          <w:p w14:paraId="29E2E80E" w14:textId="0855E236" w:rsidR="000D421E" w:rsidRPr="00264F25" w:rsidRDefault="005F6B4E">
            <w:pPr>
              <w:rPr>
                <w:rFonts w:cstheme="minorHAnsi"/>
                <w:sz w:val="22"/>
                <w:szCs w:val="22"/>
              </w:rPr>
            </w:pPr>
            <w:r w:rsidRPr="00264F25">
              <w:rPr>
                <w:rFonts w:cstheme="minorHAnsi"/>
                <w:sz w:val="22"/>
                <w:szCs w:val="22"/>
              </w:rPr>
              <w:t xml:space="preserve">Material changes may not always be the result in a private resolution settlement. The terms of a business combination may not meet the requirements for terms of “material changes”. Also, the use of the words “likely” and “to the extent they do” </w:t>
            </w:r>
            <w:proofErr w:type="gramStart"/>
            <w:r w:rsidRPr="00264F25">
              <w:rPr>
                <w:rFonts w:cstheme="minorHAnsi"/>
                <w:sz w:val="22"/>
                <w:szCs w:val="22"/>
              </w:rPr>
              <w:t>don’t</w:t>
            </w:r>
            <w:proofErr w:type="gramEnd"/>
            <w:r w:rsidRPr="00264F25">
              <w:rPr>
                <w:rFonts w:cstheme="minorHAnsi"/>
                <w:sz w:val="22"/>
                <w:szCs w:val="22"/>
              </w:rPr>
              <w:t xml:space="preserve"> present a value add to this statement.</w:t>
            </w:r>
            <w:r w:rsidR="00E236CE">
              <w:rPr>
                <w:rFonts w:cstheme="minorHAnsi"/>
                <w:sz w:val="22"/>
                <w:szCs w:val="22"/>
              </w:rPr>
              <w:t xml:space="preserve">  T</w:t>
            </w:r>
            <w:r w:rsidR="00E236CE" w:rsidRPr="00E236CE">
              <w:rPr>
                <w:rFonts w:cstheme="minorHAnsi"/>
                <w:sz w:val="22"/>
                <w:szCs w:val="22"/>
              </w:rPr>
              <w:t>h</w:t>
            </w:r>
            <w:r w:rsidR="00E236CE">
              <w:rPr>
                <w:rFonts w:cstheme="minorHAnsi"/>
                <w:sz w:val="22"/>
                <w:szCs w:val="22"/>
              </w:rPr>
              <w:t>ey actually</w:t>
            </w:r>
            <w:r w:rsidR="00E236CE" w:rsidRPr="00E236CE">
              <w:rPr>
                <w:rFonts w:cstheme="minorHAnsi"/>
                <w:sz w:val="22"/>
                <w:szCs w:val="22"/>
              </w:rPr>
              <w:t xml:space="preserve"> introduce an opportunity for </w:t>
            </w:r>
            <w:r w:rsidR="00E236CE" w:rsidRPr="00E236CE">
              <w:rPr>
                <w:rFonts w:cstheme="minorHAnsi"/>
                <w:sz w:val="22"/>
                <w:szCs w:val="22"/>
              </w:rPr>
              <w:lastRenderedPageBreak/>
              <w:t xml:space="preserve">applicants to subjectively determine </w:t>
            </w:r>
            <w:proofErr w:type="gramStart"/>
            <w:r w:rsidR="00E236CE" w:rsidRPr="00E236CE">
              <w:rPr>
                <w:rFonts w:cstheme="minorHAnsi"/>
                <w:sz w:val="22"/>
                <w:szCs w:val="22"/>
              </w:rPr>
              <w:t>if  they</w:t>
            </w:r>
            <w:proofErr w:type="gramEnd"/>
            <w:r w:rsidR="00E236CE" w:rsidRPr="00E236CE">
              <w:rPr>
                <w:rFonts w:cstheme="minorHAnsi"/>
                <w:sz w:val="22"/>
                <w:szCs w:val="22"/>
              </w:rPr>
              <w:t xml:space="preserve"> must follow the application change process</w:t>
            </w:r>
          </w:p>
        </w:tc>
        <w:tc>
          <w:tcPr>
            <w:tcW w:w="4261" w:type="dxa"/>
          </w:tcPr>
          <w:p w14:paraId="1C2154CE" w14:textId="538D75C5" w:rsidR="000D421E" w:rsidRPr="00264F25" w:rsidRDefault="005F6B4E">
            <w:pPr>
              <w:rPr>
                <w:rFonts w:cstheme="minorHAnsi"/>
                <w:sz w:val="22"/>
                <w:szCs w:val="22"/>
              </w:rPr>
            </w:pPr>
            <w:r w:rsidRPr="00264F25">
              <w:rPr>
                <w:rFonts w:cstheme="minorHAnsi"/>
                <w:sz w:val="22"/>
                <w:szCs w:val="22"/>
              </w:rPr>
              <w:lastRenderedPageBreak/>
              <w:t xml:space="preserve">Strikethrough – </w:t>
            </w:r>
          </w:p>
          <w:p w14:paraId="00ED2E91" w14:textId="70B8840D" w:rsidR="005F6B4E" w:rsidRPr="00264F25" w:rsidRDefault="005F6B4E">
            <w:pPr>
              <w:rPr>
                <w:rFonts w:cstheme="minorHAnsi"/>
                <w:sz w:val="22"/>
                <w:szCs w:val="22"/>
              </w:rPr>
            </w:pPr>
            <w:r w:rsidRPr="00264F25">
              <w:rPr>
                <w:rFonts w:cstheme="minorHAnsi"/>
                <w:color w:val="000000"/>
                <w:sz w:val="22"/>
                <w:szCs w:val="22"/>
              </w:rPr>
              <w:t xml:space="preserve">All private resolutions reached by means of forming business combinations or other joint ventures resulting in the withdrawal of one or more applications </w:t>
            </w:r>
            <w:r w:rsidRPr="00264F25">
              <w:rPr>
                <w:rFonts w:cstheme="minorHAnsi"/>
                <w:strike/>
                <w:color w:val="FF0000"/>
                <w:sz w:val="22"/>
                <w:szCs w:val="22"/>
              </w:rPr>
              <w:t>are likely to result in material changes to the surviving application and to the extent they do,</w:t>
            </w:r>
            <w:r w:rsidRPr="00264F25">
              <w:rPr>
                <w:rFonts w:cstheme="minorHAnsi"/>
                <w:color w:val="FF0000"/>
                <w:sz w:val="22"/>
                <w:szCs w:val="22"/>
              </w:rPr>
              <w:t xml:space="preserve"> </w:t>
            </w:r>
            <w:r w:rsidRPr="00264F25">
              <w:rPr>
                <w:rFonts w:cstheme="minorHAnsi"/>
                <w:color w:val="000000"/>
                <w:sz w:val="22"/>
                <w:szCs w:val="22"/>
              </w:rPr>
              <w:t xml:space="preserve">must follow the Application Change processes set forth under Topic 20 as all material changes </w:t>
            </w:r>
            <w:r w:rsidRPr="00264F25">
              <w:rPr>
                <w:rFonts w:cstheme="minorHAnsi"/>
                <w:color w:val="000000"/>
                <w:sz w:val="22"/>
                <w:szCs w:val="22"/>
              </w:rPr>
              <w:lastRenderedPageBreak/>
              <w:t>require; material changes may require reevaluation of some or all of the new resulting application.</w:t>
            </w:r>
          </w:p>
        </w:tc>
      </w:tr>
      <w:tr w:rsidR="00B54E0C" w:rsidRPr="00264F25" w14:paraId="1FA85D02" w14:textId="77777777" w:rsidTr="00B54E0C">
        <w:tc>
          <w:tcPr>
            <w:tcW w:w="1009" w:type="dxa"/>
          </w:tcPr>
          <w:p w14:paraId="6DAE0DEE" w14:textId="77777777" w:rsidR="00B54E0C" w:rsidRPr="00264F25" w:rsidRDefault="00B54E0C" w:rsidP="00B54E0C">
            <w:pPr>
              <w:pStyle w:val="ListParagraph"/>
              <w:numPr>
                <w:ilvl w:val="0"/>
                <w:numId w:val="1"/>
              </w:numPr>
              <w:rPr>
                <w:rFonts w:cstheme="minorHAnsi"/>
                <w:sz w:val="22"/>
                <w:szCs w:val="22"/>
              </w:rPr>
            </w:pPr>
          </w:p>
        </w:tc>
        <w:tc>
          <w:tcPr>
            <w:tcW w:w="2351" w:type="dxa"/>
          </w:tcPr>
          <w:p w14:paraId="39098A00" w14:textId="1FA90C5A" w:rsidR="00B54E0C" w:rsidRPr="00264F25" w:rsidRDefault="00B54E0C" w:rsidP="00B54E0C">
            <w:pPr>
              <w:rPr>
                <w:rFonts w:cstheme="minorHAnsi"/>
                <w:sz w:val="22"/>
                <w:szCs w:val="22"/>
              </w:rPr>
            </w:pPr>
            <w:r w:rsidRPr="00264F25">
              <w:rPr>
                <w:rFonts w:cstheme="minorHAnsi"/>
                <w:color w:val="000000"/>
                <w:sz w:val="22"/>
                <w:szCs w:val="22"/>
              </w:rPr>
              <w:t xml:space="preserve">Evaluators must be able to ask clarifying questions to any applicant it believes may not be </w:t>
            </w:r>
            <w:proofErr w:type="gramStart"/>
            <w:r w:rsidRPr="00264F25">
              <w:rPr>
                <w:rFonts w:cstheme="minorHAnsi"/>
                <w:color w:val="000000"/>
                <w:sz w:val="22"/>
                <w:szCs w:val="22"/>
              </w:rPr>
              <w:t>submitting an application</w:t>
            </w:r>
            <w:proofErr w:type="gramEnd"/>
            <w:r w:rsidRPr="00264F25">
              <w:rPr>
                <w:rFonts w:cstheme="minorHAnsi"/>
                <w:color w:val="000000"/>
                <w:sz w:val="22"/>
                <w:szCs w:val="22"/>
              </w:rPr>
              <w:t xml:space="preserve"> with a bona fide intent. Evaluators shall use, but are not limited to, the “Factors” described below in their consideration of whether an application was submitted absent bona fide intent. These “Factors” will be taken into consideration and weighed against </w:t>
            </w:r>
            <w:proofErr w:type="gramStart"/>
            <w:r w:rsidRPr="00264F25">
              <w:rPr>
                <w:rFonts w:cstheme="minorHAnsi"/>
                <w:color w:val="000000"/>
                <w:sz w:val="22"/>
                <w:szCs w:val="22"/>
              </w:rPr>
              <w:t>all of</w:t>
            </w:r>
            <w:proofErr w:type="gramEnd"/>
            <w:r w:rsidRPr="00264F25">
              <w:rPr>
                <w:rFonts w:cstheme="minorHAnsi"/>
                <w:color w:val="000000"/>
                <w:sz w:val="22"/>
                <w:szCs w:val="22"/>
              </w:rPr>
              <w:t xml:space="preserve"> other facts and circumstances surrounding the </w:t>
            </w:r>
            <w:r w:rsidRPr="00264F25">
              <w:rPr>
                <w:rFonts w:cstheme="minorHAnsi"/>
                <w:color w:val="000000"/>
                <w:sz w:val="22"/>
                <w:szCs w:val="22"/>
              </w:rPr>
              <w:lastRenderedPageBreak/>
              <w:t xml:space="preserve">impacted Applicants and Applications. The existence of any one or </w:t>
            </w:r>
            <w:proofErr w:type="gramStart"/>
            <w:r w:rsidRPr="00264F25">
              <w:rPr>
                <w:rFonts w:cstheme="minorHAnsi"/>
                <w:color w:val="000000"/>
                <w:sz w:val="22"/>
                <w:szCs w:val="22"/>
              </w:rPr>
              <w:t>all of</w:t>
            </w:r>
            <w:proofErr w:type="gramEnd"/>
            <w:r w:rsidRPr="00264F25">
              <w:rPr>
                <w:rFonts w:cstheme="minorHAnsi"/>
                <w:color w:val="000000"/>
                <w:sz w:val="22"/>
                <w:szCs w:val="22"/>
              </w:rPr>
              <w:t xml:space="preserve"> the “Factors” may not themselves be conclusive of an application made lacking a bona fide use intent.</w:t>
            </w:r>
          </w:p>
        </w:tc>
        <w:tc>
          <w:tcPr>
            <w:tcW w:w="2718" w:type="dxa"/>
          </w:tcPr>
          <w:p w14:paraId="2B950626" w14:textId="33C0516A" w:rsidR="00B54E0C" w:rsidRPr="00264F25" w:rsidRDefault="00B54E0C" w:rsidP="00B54E0C">
            <w:pPr>
              <w:rPr>
                <w:rFonts w:cstheme="minorHAnsi"/>
                <w:sz w:val="22"/>
                <w:szCs w:val="22"/>
              </w:rPr>
            </w:pPr>
            <w:r w:rsidRPr="00264F25">
              <w:rPr>
                <w:rFonts w:cstheme="minorHAnsi"/>
                <w:sz w:val="22"/>
                <w:szCs w:val="22"/>
              </w:rPr>
              <w:lastRenderedPageBreak/>
              <w:t>Recommendation xx (Rationale 2), first bullet</w:t>
            </w:r>
          </w:p>
        </w:tc>
        <w:tc>
          <w:tcPr>
            <w:tcW w:w="4241" w:type="dxa"/>
          </w:tcPr>
          <w:p w14:paraId="414728DF" w14:textId="77777777" w:rsidR="00B54E0C" w:rsidRPr="00264F25" w:rsidRDefault="00B54E0C" w:rsidP="00B54E0C">
            <w:pPr>
              <w:rPr>
                <w:rFonts w:eastAsia="Times New Roman" w:cstheme="minorHAnsi"/>
                <w:color w:val="000000"/>
                <w:sz w:val="22"/>
                <w:szCs w:val="22"/>
              </w:rPr>
            </w:pPr>
            <w:r w:rsidRPr="00264F25">
              <w:rPr>
                <w:rFonts w:cstheme="minorHAnsi"/>
                <w:sz w:val="22"/>
                <w:szCs w:val="22"/>
              </w:rPr>
              <w:t xml:space="preserve">Referencing the “Factors”, each of these factors are post-evaluation or post-delegation. Requiring the evaluators to consider these </w:t>
            </w:r>
            <w:r w:rsidRPr="00264F25">
              <w:rPr>
                <w:rFonts w:eastAsia="Times New Roman" w:cstheme="minorHAnsi"/>
                <w:color w:val="000000"/>
                <w:sz w:val="22"/>
                <w:szCs w:val="22"/>
              </w:rPr>
              <w:t>factors to determine bona fide intent is pointless and irrelevant. These factors, as written, are suited for ICANN’s consideration post-evaluation/ delegation.</w:t>
            </w:r>
          </w:p>
          <w:p w14:paraId="77B498CF" w14:textId="77777777" w:rsidR="00B54E0C" w:rsidRPr="00264F25" w:rsidRDefault="00B54E0C" w:rsidP="00B54E0C">
            <w:pPr>
              <w:rPr>
                <w:rFonts w:eastAsia="Times New Roman" w:cstheme="minorHAnsi"/>
                <w:color w:val="000000"/>
                <w:sz w:val="22"/>
                <w:szCs w:val="22"/>
              </w:rPr>
            </w:pPr>
          </w:p>
          <w:p w14:paraId="3DFFE446" w14:textId="76BF5407" w:rsidR="00B54E0C" w:rsidRPr="00264F25" w:rsidRDefault="00B54E0C" w:rsidP="00B54E0C">
            <w:pPr>
              <w:rPr>
                <w:rFonts w:cstheme="minorHAnsi"/>
                <w:sz w:val="22"/>
                <w:szCs w:val="22"/>
              </w:rPr>
            </w:pPr>
            <w:r w:rsidRPr="00264F25">
              <w:rPr>
                <w:rFonts w:cstheme="minorHAnsi"/>
                <w:sz w:val="22"/>
                <w:szCs w:val="22"/>
              </w:rPr>
              <w:t xml:space="preserve">Need consistency in the document as to who should consider these factors. </w:t>
            </w:r>
            <w:r>
              <w:rPr>
                <w:rFonts w:cstheme="minorHAnsi"/>
                <w:sz w:val="22"/>
                <w:szCs w:val="22"/>
              </w:rPr>
              <w:t>At a minimum, ICANN should be involved in the process from the beginning, not just outside evaluators.</w:t>
            </w:r>
          </w:p>
        </w:tc>
        <w:tc>
          <w:tcPr>
            <w:tcW w:w="4261" w:type="dxa"/>
          </w:tcPr>
          <w:p w14:paraId="1CE5317D" w14:textId="3D685E9E" w:rsidR="00B54E0C" w:rsidRPr="00264F25" w:rsidRDefault="00B54E0C" w:rsidP="00B54E0C">
            <w:pPr>
              <w:rPr>
                <w:rFonts w:cstheme="minorHAnsi"/>
                <w:sz w:val="22"/>
                <w:szCs w:val="22"/>
              </w:rPr>
            </w:pPr>
            <w:r w:rsidRPr="00264F25">
              <w:rPr>
                <w:rFonts w:cstheme="minorHAnsi"/>
                <w:color w:val="000000"/>
                <w:sz w:val="22"/>
                <w:szCs w:val="22"/>
              </w:rPr>
              <w:t>Evaluators</w:t>
            </w:r>
            <w:r>
              <w:rPr>
                <w:rFonts w:cstheme="minorHAnsi"/>
                <w:color w:val="000000"/>
                <w:sz w:val="22"/>
                <w:szCs w:val="22"/>
              </w:rPr>
              <w:t xml:space="preserve"> </w:t>
            </w:r>
            <w:r w:rsidRPr="00B54E0C">
              <w:rPr>
                <w:rFonts w:cstheme="minorHAnsi"/>
                <w:color w:val="FF0000"/>
                <w:sz w:val="22"/>
                <w:szCs w:val="22"/>
              </w:rPr>
              <w:t>and ICANN</w:t>
            </w:r>
            <w:r w:rsidRPr="00264F25">
              <w:rPr>
                <w:rFonts w:cstheme="minorHAnsi"/>
                <w:color w:val="000000"/>
                <w:sz w:val="22"/>
                <w:szCs w:val="22"/>
              </w:rPr>
              <w:t xml:space="preserve"> must be able to ask clarifying questions to any applicant it believes may not be </w:t>
            </w:r>
            <w:proofErr w:type="gramStart"/>
            <w:r w:rsidRPr="00264F25">
              <w:rPr>
                <w:rFonts w:cstheme="minorHAnsi"/>
                <w:color w:val="000000"/>
                <w:sz w:val="22"/>
                <w:szCs w:val="22"/>
              </w:rPr>
              <w:t>submitting an application</w:t>
            </w:r>
            <w:proofErr w:type="gramEnd"/>
            <w:r w:rsidRPr="00264F25">
              <w:rPr>
                <w:rFonts w:cstheme="minorHAnsi"/>
                <w:color w:val="000000"/>
                <w:sz w:val="22"/>
                <w:szCs w:val="22"/>
              </w:rPr>
              <w:t xml:space="preserve"> with a bona fide intent. Evaluators</w:t>
            </w:r>
            <w:r>
              <w:rPr>
                <w:rFonts w:cstheme="minorHAnsi"/>
                <w:color w:val="000000"/>
                <w:sz w:val="22"/>
                <w:szCs w:val="22"/>
              </w:rPr>
              <w:t xml:space="preserve"> </w:t>
            </w:r>
            <w:r w:rsidRPr="00B54E0C">
              <w:rPr>
                <w:rFonts w:cstheme="minorHAnsi"/>
                <w:color w:val="FF0000"/>
                <w:sz w:val="22"/>
                <w:szCs w:val="22"/>
              </w:rPr>
              <w:t>and ICANN</w:t>
            </w:r>
            <w:r w:rsidRPr="00B54E0C">
              <w:rPr>
                <w:rFonts w:cstheme="minorHAnsi"/>
                <w:color w:val="FF0000"/>
                <w:sz w:val="22"/>
                <w:szCs w:val="22"/>
              </w:rPr>
              <w:t xml:space="preserve"> </w:t>
            </w:r>
            <w:r w:rsidRPr="00264F25">
              <w:rPr>
                <w:rFonts w:cstheme="minorHAnsi"/>
                <w:color w:val="000000"/>
                <w:sz w:val="22"/>
                <w:szCs w:val="22"/>
              </w:rPr>
              <w:t xml:space="preserve">shall use, but are not limited to, the “Factors” described below in their consideration of whether an application was submitted absent bona fide intent. These “Factors” will be taken into consideration and weighed against </w:t>
            </w:r>
            <w:proofErr w:type="gramStart"/>
            <w:r w:rsidRPr="00264F25">
              <w:rPr>
                <w:rFonts w:cstheme="minorHAnsi"/>
                <w:color w:val="000000"/>
                <w:sz w:val="22"/>
                <w:szCs w:val="22"/>
              </w:rPr>
              <w:t>all of</w:t>
            </w:r>
            <w:proofErr w:type="gramEnd"/>
            <w:r w:rsidRPr="00264F25">
              <w:rPr>
                <w:rFonts w:cstheme="minorHAnsi"/>
                <w:color w:val="000000"/>
                <w:sz w:val="22"/>
                <w:szCs w:val="22"/>
              </w:rPr>
              <w:t xml:space="preserve"> other facts and circumstances surrounding the impacted Applicants and Applications. The existence of any one or </w:t>
            </w:r>
            <w:proofErr w:type="gramStart"/>
            <w:r w:rsidRPr="00264F25">
              <w:rPr>
                <w:rFonts w:cstheme="minorHAnsi"/>
                <w:color w:val="000000"/>
                <w:sz w:val="22"/>
                <w:szCs w:val="22"/>
              </w:rPr>
              <w:t>all of</w:t>
            </w:r>
            <w:proofErr w:type="gramEnd"/>
            <w:r w:rsidRPr="00264F25">
              <w:rPr>
                <w:rFonts w:cstheme="minorHAnsi"/>
                <w:color w:val="000000"/>
                <w:sz w:val="22"/>
                <w:szCs w:val="22"/>
              </w:rPr>
              <w:t xml:space="preserve"> the “Factors” may not themselves be conclusive of an application made lacking a bona fide use intent.</w:t>
            </w:r>
          </w:p>
        </w:tc>
      </w:tr>
      <w:tr w:rsidR="00B54E0C" w:rsidRPr="00264F25" w14:paraId="5059611E" w14:textId="77777777" w:rsidTr="00B54E0C">
        <w:tc>
          <w:tcPr>
            <w:tcW w:w="1009" w:type="dxa"/>
          </w:tcPr>
          <w:p w14:paraId="01FE68CA" w14:textId="77777777" w:rsidR="00B54E0C" w:rsidRPr="00264F25" w:rsidRDefault="00B54E0C" w:rsidP="00B54E0C">
            <w:pPr>
              <w:pStyle w:val="ListParagraph"/>
              <w:numPr>
                <w:ilvl w:val="0"/>
                <w:numId w:val="1"/>
              </w:numPr>
              <w:rPr>
                <w:rFonts w:cstheme="minorHAnsi"/>
                <w:sz w:val="22"/>
                <w:szCs w:val="22"/>
              </w:rPr>
            </w:pPr>
          </w:p>
        </w:tc>
        <w:tc>
          <w:tcPr>
            <w:tcW w:w="2351" w:type="dxa"/>
          </w:tcPr>
          <w:p w14:paraId="1904CBFA" w14:textId="44308BCF" w:rsidR="00B54E0C" w:rsidRPr="00264F25" w:rsidRDefault="00B54E0C" w:rsidP="00B54E0C">
            <w:pPr>
              <w:rPr>
                <w:rFonts w:cstheme="minorHAnsi"/>
                <w:sz w:val="22"/>
                <w:szCs w:val="22"/>
              </w:rPr>
            </w:pPr>
            <w:r w:rsidRPr="00264F25">
              <w:rPr>
                <w:rFonts w:cstheme="minorHAnsi"/>
                <w:color w:val="000000"/>
                <w:sz w:val="22"/>
                <w:szCs w:val="22"/>
              </w:rPr>
              <w:t>Applicants may mark portions of any such responses as “confidential” if the responses include proprietary business information and such portions will not be shared or communicated by the Evaluator.</w:t>
            </w:r>
          </w:p>
        </w:tc>
        <w:tc>
          <w:tcPr>
            <w:tcW w:w="2718" w:type="dxa"/>
          </w:tcPr>
          <w:p w14:paraId="648CF34F" w14:textId="1570568C" w:rsidR="00B54E0C" w:rsidRPr="00264F25" w:rsidRDefault="00B54E0C" w:rsidP="00B54E0C">
            <w:pPr>
              <w:rPr>
                <w:rFonts w:cstheme="minorHAnsi"/>
                <w:sz w:val="22"/>
                <w:szCs w:val="22"/>
              </w:rPr>
            </w:pPr>
            <w:r w:rsidRPr="00264F25">
              <w:rPr>
                <w:rFonts w:cstheme="minorHAnsi"/>
                <w:sz w:val="22"/>
                <w:szCs w:val="22"/>
              </w:rPr>
              <w:t>Recommendation xx (Rationale 2), second bullet</w:t>
            </w:r>
          </w:p>
        </w:tc>
        <w:tc>
          <w:tcPr>
            <w:tcW w:w="4241" w:type="dxa"/>
          </w:tcPr>
          <w:p w14:paraId="6811FCC6" w14:textId="25C452D6" w:rsidR="00B54E0C" w:rsidRPr="00264F25" w:rsidRDefault="00B54E0C" w:rsidP="00B54E0C">
            <w:pPr>
              <w:rPr>
                <w:rFonts w:cstheme="minorHAnsi"/>
                <w:sz w:val="22"/>
                <w:szCs w:val="22"/>
              </w:rPr>
            </w:pPr>
            <w:proofErr w:type="gramStart"/>
            <w:r>
              <w:rPr>
                <w:rFonts w:cstheme="minorHAnsi"/>
                <w:sz w:val="22"/>
                <w:szCs w:val="22"/>
              </w:rPr>
              <w:t>Similar to</w:t>
            </w:r>
            <w:proofErr w:type="gramEnd"/>
            <w:r>
              <w:rPr>
                <w:rFonts w:cstheme="minorHAnsi"/>
                <w:sz w:val="22"/>
                <w:szCs w:val="22"/>
              </w:rPr>
              <w:t xml:space="preserve"> my previous point, evaluators are temporary hires.  </w:t>
            </w:r>
            <w:r w:rsidRPr="00264F25">
              <w:rPr>
                <w:rFonts w:cstheme="minorHAnsi"/>
                <w:sz w:val="22"/>
                <w:szCs w:val="22"/>
              </w:rPr>
              <w:t xml:space="preserve">Once the evaluators are done evaluating, what information does ICANN have </w:t>
            </w:r>
            <w:proofErr w:type="gramStart"/>
            <w:r w:rsidRPr="00264F25">
              <w:rPr>
                <w:rFonts w:cstheme="minorHAnsi"/>
                <w:sz w:val="22"/>
                <w:szCs w:val="22"/>
              </w:rPr>
              <w:t>in order to</w:t>
            </w:r>
            <w:proofErr w:type="gramEnd"/>
            <w:r w:rsidRPr="00264F25">
              <w:rPr>
                <w:rFonts w:cstheme="minorHAnsi"/>
                <w:sz w:val="22"/>
                <w:szCs w:val="22"/>
              </w:rPr>
              <w:t xml:space="preserve"> be able to enforce bona fide intent long-term? If the “Factors” are a suspicion that the applicant didn’t meet that intent, and the evaluators are gone, who is going to raise that concern if ICANN hasn’t seen those concerns.</w:t>
            </w:r>
          </w:p>
        </w:tc>
        <w:tc>
          <w:tcPr>
            <w:tcW w:w="4261" w:type="dxa"/>
          </w:tcPr>
          <w:p w14:paraId="3B458D85" w14:textId="77777777" w:rsidR="00B54E0C" w:rsidRPr="00264F25" w:rsidRDefault="00B54E0C" w:rsidP="00B54E0C">
            <w:pPr>
              <w:rPr>
                <w:rFonts w:cstheme="minorHAnsi"/>
                <w:sz w:val="22"/>
                <w:szCs w:val="22"/>
              </w:rPr>
            </w:pPr>
            <w:r w:rsidRPr="00264F25">
              <w:rPr>
                <w:rFonts w:cstheme="minorHAnsi"/>
                <w:sz w:val="22"/>
                <w:szCs w:val="22"/>
              </w:rPr>
              <w:t xml:space="preserve">Strikethrough – </w:t>
            </w:r>
          </w:p>
          <w:p w14:paraId="151B38A9" w14:textId="7652F9F6" w:rsidR="00B54E0C" w:rsidRPr="00264F25" w:rsidRDefault="00B54E0C" w:rsidP="00B54E0C">
            <w:pPr>
              <w:rPr>
                <w:rFonts w:cstheme="minorHAnsi"/>
                <w:sz w:val="22"/>
                <w:szCs w:val="22"/>
              </w:rPr>
            </w:pPr>
            <w:r w:rsidRPr="00264F25">
              <w:rPr>
                <w:rFonts w:cstheme="minorHAnsi"/>
                <w:color w:val="000000"/>
                <w:sz w:val="22"/>
                <w:szCs w:val="22"/>
              </w:rPr>
              <w:t xml:space="preserve">Applicants may mark portions of any such responses as “confidential” if the responses include proprietary business information </w:t>
            </w:r>
            <w:r w:rsidRPr="00264F25">
              <w:rPr>
                <w:rFonts w:cstheme="minorHAnsi"/>
                <w:strike/>
                <w:color w:val="FF0000"/>
                <w:sz w:val="22"/>
                <w:szCs w:val="22"/>
              </w:rPr>
              <w:t>and such portions will not be shared or communicated by the Evaluator.</w:t>
            </w:r>
          </w:p>
        </w:tc>
      </w:tr>
      <w:tr w:rsidR="00B54E0C" w:rsidRPr="00264F25" w14:paraId="28AFB8FA" w14:textId="77777777" w:rsidTr="00B54E0C">
        <w:tc>
          <w:tcPr>
            <w:tcW w:w="1009" w:type="dxa"/>
          </w:tcPr>
          <w:p w14:paraId="55F0ABCB" w14:textId="77777777" w:rsidR="00B54E0C" w:rsidRPr="00264F25" w:rsidRDefault="00B54E0C" w:rsidP="00B54E0C">
            <w:pPr>
              <w:pStyle w:val="ListParagraph"/>
              <w:numPr>
                <w:ilvl w:val="0"/>
                <w:numId w:val="1"/>
              </w:numPr>
              <w:rPr>
                <w:rFonts w:cstheme="minorHAnsi"/>
                <w:sz w:val="22"/>
                <w:szCs w:val="22"/>
              </w:rPr>
            </w:pPr>
          </w:p>
        </w:tc>
        <w:tc>
          <w:tcPr>
            <w:tcW w:w="2351" w:type="dxa"/>
          </w:tcPr>
          <w:p w14:paraId="0FEF9ECF" w14:textId="2AFA33FD" w:rsidR="00B54E0C" w:rsidRPr="00264F25" w:rsidRDefault="00B54E0C" w:rsidP="00B54E0C">
            <w:pPr>
              <w:rPr>
                <w:rFonts w:cstheme="minorHAnsi"/>
                <w:sz w:val="22"/>
                <w:szCs w:val="22"/>
              </w:rPr>
            </w:pPr>
            <w:r w:rsidRPr="00264F25">
              <w:rPr>
                <w:rFonts w:cstheme="minorHAnsi"/>
                <w:sz w:val="22"/>
                <w:szCs w:val="22"/>
              </w:rPr>
              <w:t xml:space="preserve">To the extent any contention sets are expanded, by having other applications added (e.g., String Confusion Objections, appeals to the String Similarity evaluation), all applicants (including both the existing members of the contention set as well as the new members) will be allowed, but are </w:t>
            </w:r>
            <w:r w:rsidRPr="00264F25">
              <w:rPr>
                <w:rFonts w:cstheme="minorHAnsi"/>
                <w:sz w:val="22"/>
                <w:szCs w:val="22"/>
              </w:rPr>
              <w:lastRenderedPageBreak/>
              <w:t>not required, to submit a new Last Resort Sealed Bid.</w:t>
            </w:r>
          </w:p>
        </w:tc>
        <w:tc>
          <w:tcPr>
            <w:tcW w:w="2718" w:type="dxa"/>
          </w:tcPr>
          <w:p w14:paraId="6CDAF456" w14:textId="0E8BF633" w:rsidR="00B54E0C" w:rsidRPr="00264F25" w:rsidRDefault="00B54E0C" w:rsidP="00B54E0C">
            <w:pPr>
              <w:rPr>
                <w:rFonts w:cstheme="minorHAnsi"/>
                <w:sz w:val="22"/>
                <w:szCs w:val="22"/>
              </w:rPr>
            </w:pPr>
            <w:r w:rsidRPr="00264F25">
              <w:rPr>
                <w:rFonts w:cstheme="minorHAnsi"/>
                <w:sz w:val="22"/>
                <w:szCs w:val="22"/>
              </w:rPr>
              <w:lastRenderedPageBreak/>
              <w:t>Recommendation xx (Rationale 3): Fourth bullet, first inset bullet</w:t>
            </w:r>
          </w:p>
        </w:tc>
        <w:tc>
          <w:tcPr>
            <w:tcW w:w="4241" w:type="dxa"/>
          </w:tcPr>
          <w:p w14:paraId="7CF97B6B" w14:textId="77777777" w:rsidR="00B54E0C" w:rsidRDefault="00B54E0C" w:rsidP="00B54E0C">
            <w:pPr>
              <w:rPr>
                <w:rFonts w:cstheme="minorHAnsi"/>
                <w:sz w:val="22"/>
                <w:szCs w:val="22"/>
              </w:rPr>
            </w:pPr>
            <w:r>
              <w:rPr>
                <w:rFonts w:cstheme="minorHAnsi"/>
                <w:sz w:val="22"/>
                <w:szCs w:val="22"/>
              </w:rPr>
              <w:t xml:space="preserve">As I have pointed out, the proposal as written falls short in addressing Board concerns with gaming.  </w:t>
            </w:r>
          </w:p>
          <w:p w14:paraId="57AE2DB7" w14:textId="77777777" w:rsidR="00B54E0C" w:rsidRDefault="00B54E0C" w:rsidP="00B54E0C">
            <w:pPr>
              <w:rPr>
                <w:rFonts w:cstheme="minorHAnsi"/>
                <w:sz w:val="22"/>
                <w:szCs w:val="22"/>
              </w:rPr>
            </w:pPr>
          </w:p>
          <w:p w14:paraId="76AC15AE" w14:textId="4510A54B" w:rsidR="00B54E0C" w:rsidRPr="00264F25" w:rsidRDefault="00B54E0C" w:rsidP="00B54E0C">
            <w:pPr>
              <w:rPr>
                <w:rFonts w:cstheme="minorHAnsi"/>
                <w:sz w:val="22"/>
                <w:szCs w:val="22"/>
              </w:rPr>
            </w:pPr>
            <w:r w:rsidRPr="00264F25">
              <w:rPr>
                <w:rFonts w:cstheme="minorHAnsi"/>
                <w:sz w:val="22"/>
                <w:szCs w:val="22"/>
              </w:rPr>
              <w:t xml:space="preserve">The submission of new bids </w:t>
            </w:r>
            <w:proofErr w:type="spellStart"/>
            <w:r>
              <w:rPr>
                <w:rFonts w:cstheme="minorHAnsi"/>
                <w:sz w:val="22"/>
                <w:szCs w:val="22"/>
              </w:rPr>
              <w:t>providesmore</w:t>
            </w:r>
            <w:proofErr w:type="spellEnd"/>
            <w:r w:rsidRPr="00264F25">
              <w:rPr>
                <w:rFonts w:cstheme="minorHAnsi"/>
                <w:sz w:val="22"/>
                <w:szCs w:val="22"/>
              </w:rPr>
              <w:t xml:space="preserve"> gaming incentives. While waiting for the string confusion objections to come through on this contention set, the applicant </w:t>
            </w:r>
            <w:r>
              <w:rPr>
                <w:rFonts w:cstheme="minorHAnsi"/>
                <w:sz w:val="22"/>
                <w:szCs w:val="22"/>
              </w:rPr>
              <w:t>could be</w:t>
            </w:r>
            <w:r w:rsidRPr="00264F25">
              <w:rPr>
                <w:rFonts w:cstheme="minorHAnsi"/>
                <w:sz w:val="22"/>
                <w:szCs w:val="22"/>
              </w:rPr>
              <w:t xml:space="preserve"> losing other contention sets in the meantime and building up a bigger bid for this set. </w:t>
            </w:r>
            <w:r>
              <w:rPr>
                <w:rFonts w:cstheme="minorHAnsi"/>
                <w:sz w:val="22"/>
                <w:szCs w:val="22"/>
              </w:rPr>
              <w:t xml:space="preserve">Instead of preventing this behavior, allowing new bid submissions </w:t>
            </w:r>
            <w:proofErr w:type="gramStart"/>
            <w:r>
              <w:rPr>
                <w:rFonts w:cstheme="minorHAnsi"/>
                <w:sz w:val="22"/>
                <w:szCs w:val="22"/>
              </w:rPr>
              <w:t>actually expands</w:t>
            </w:r>
            <w:proofErr w:type="gramEnd"/>
            <w:r>
              <w:rPr>
                <w:rFonts w:cstheme="minorHAnsi"/>
                <w:sz w:val="22"/>
                <w:szCs w:val="22"/>
              </w:rPr>
              <w:t xml:space="preserve"> the opportunity for this activity.</w:t>
            </w:r>
            <w:r w:rsidRPr="00264F25">
              <w:rPr>
                <w:rFonts w:cstheme="minorHAnsi"/>
                <w:sz w:val="22"/>
                <w:szCs w:val="22"/>
              </w:rPr>
              <w:t xml:space="preserve">  </w:t>
            </w:r>
          </w:p>
        </w:tc>
        <w:tc>
          <w:tcPr>
            <w:tcW w:w="4261" w:type="dxa"/>
          </w:tcPr>
          <w:p w14:paraId="3BF57665" w14:textId="4AE8C3D4" w:rsidR="00B54E0C" w:rsidRPr="00264F25" w:rsidRDefault="00B54E0C" w:rsidP="00B54E0C">
            <w:pPr>
              <w:rPr>
                <w:rFonts w:cstheme="minorHAnsi"/>
                <w:sz w:val="22"/>
                <w:szCs w:val="22"/>
              </w:rPr>
            </w:pPr>
            <w:r>
              <w:rPr>
                <w:rFonts w:cstheme="minorHAnsi"/>
                <w:sz w:val="22"/>
                <w:szCs w:val="22"/>
              </w:rPr>
              <w:t xml:space="preserve">Eliminate the opportunity for new bids and force </w:t>
            </w:r>
            <w:proofErr w:type="spellStart"/>
            <w:r>
              <w:rPr>
                <w:rFonts w:cstheme="minorHAnsi"/>
                <w:sz w:val="22"/>
                <w:szCs w:val="22"/>
              </w:rPr>
              <w:t>partie</w:t>
            </w:r>
            <w:proofErr w:type="spellEnd"/>
            <w:r>
              <w:rPr>
                <w:rFonts w:cstheme="minorHAnsi"/>
                <w:sz w:val="22"/>
                <w:szCs w:val="22"/>
              </w:rPr>
              <w:t xml:space="preserve"> to rely on previously submitted bids.</w:t>
            </w:r>
          </w:p>
          <w:p w14:paraId="42C8B40A" w14:textId="5190D2D8" w:rsidR="00B54E0C" w:rsidRPr="00264F25" w:rsidRDefault="00B54E0C" w:rsidP="00B54E0C">
            <w:pPr>
              <w:rPr>
                <w:rFonts w:cstheme="minorHAnsi"/>
                <w:sz w:val="22"/>
                <w:szCs w:val="22"/>
              </w:rPr>
            </w:pPr>
          </w:p>
        </w:tc>
      </w:tr>
      <w:tr w:rsidR="00B54E0C" w:rsidRPr="00264F25" w14:paraId="4CADDBB7" w14:textId="77777777" w:rsidTr="00B54E0C">
        <w:tc>
          <w:tcPr>
            <w:tcW w:w="1009" w:type="dxa"/>
          </w:tcPr>
          <w:p w14:paraId="25826C9A" w14:textId="77777777" w:rsidR="00B54E0C" w:rsidRPr="00264F25" w:rsidRDefault="00B54E0C" w:rsidP="00B54E0C">
            <w:pPr>
              <w:pStyle w:val="ListParagraph"/>
              <w:numPr>
                <w:ilvl w:val="0"/>
                <w:numId w:val="1"/>
              </w:numPr>
              <w:rPr>
                <w:rFonts w:cstheme="minorHAnsi"/>
                <w:sz w:val="22"/>
                <w:szCs w:val="22"/>
              </w:rPr>
            </w:pPr>
          </w:p>
        </w:tc>
        <w:tc>
          <w:tcPr>
            <w:tcW w:w="2351" w:type="dxa"/>
          </w:tcPr>
          <w:p w14:paraId="178D08F8" w14:textId="366E131B" w:rsidR="00B54E0C" w:rsidRPr="00264F25" w:rsidRDefault="00B54E0C" w:rsidP="00B54E0C">
            <w:pPr>
              <w:rPr>
                <w:rFonts w:cstheme="minorHAnsi"/>
                <w:sz w:val="22"/>
                <w:szCs w:val="22"/>
              </w:rPr>
            </w:pPr>
            <w:r w:rsidRPr="00264F25">
              <w:rPr>
                <w:rFonts w:eastAsia="Times New Roman" w:cstheme="minorHAnsi"/>
                <w:color w:val="000000"/>
                <w:sz w:val="22"/>
                <w:szCs w:val="22"/>
              </w:rPr>
              <w:t>By requiring all applicants to agree to the bona fide use clause, the Working Group believes that the Board’s primary concerns are mitigated and that private resolutions (including private auctions) as a mechanism to resolve string contention, can be permitted.</w:t>
            </w:r>
          </w:p>
        </w:tc>
        <w:tc>
          <w:tcPr>
            <w:tcW w:w="2718" w:type="dxa"/>
          </w:tcPr>
          <w:p w14:paraId="73118B82" w14:textId="09429B33" w:rsidR="00B54E0C" w:rsidRPr="00264F25" w:rsidRDefault="00B54E0C" w:rsidP="00B54E0C">
            <w:pPr>
              <w:rPr>
                <w:rFonts w:cstheme="minorHAnsi"/>
                <w:sz w:val="22"/>
                <w:szCs w:val="22"/>
              </w:rPr>
            </w:pPr>
            <w:r w:rsidRPr="00264F25">
              <w:rPr>
                <w:rFonts w:cstheme="minorHAnsi"/>
                <w:sz w:val="22"/>
                <w:szCs w:val="22"/>
              </w:rPr>
              <w:t>Rationale for Recommendations xx and xx (Rationale 2), Fifth Paragraph</w:t>
            </w:r>
          </w:p>
        </w:tc>
        <w:tc>
          <w:tcPr>
            <w:tcW w:w="4241" w:type="dxa"/>
          </w:tcPr>
          <w:p w14:paraId="189DCE57" w14:textId="0C68B32C" w:rsidR="00B54E0C" w:rsidRPr="00264F25" w:rsidRDefault="00B54E0C" w:rsidP="00B54E0C">
            <w:pPr>
              <w:rPr>
                <w:rFonts w:cstheme="minorHAnsi"/>
                <w:sz w:val="22"/>
                <w:szCs w:val="22"/>
              </w:rPr>
            </w:pPr>
            <w:r w:rsidRPr="00264F25">
              <w:rPr>
                <w:rFonts w:cstheme="minorHAnsi"/>
                <w:sz w:val="22"/>
                <w:szCs w:val="22"/>
              </w:rPr>
              <w:t xml:space="preserve">There wasn’t broad agreement in the WG that this effort fully mitigated concerns. </w:t>
            </w:r>
          </w:p>
        </w:tc>
        <w:tc>
          <w:tcPr>
            <w:tcW w:w="4261" w:type="dxa"/>
          </w:tcPr>
          <w:p w14:paraId="79019494" w14:textId="2E331198" w:rsidR="00B54E0C" w:rsidRPr="00264F25" w:rsidRDefault="00B54E0C" w:rsidP="00B54E0C">
            <w:pPr>
              <w:rPr>
                <w:rFonts w:cstheme="minorHAnsi"/>
                <w:sz w:val="22"/>
                <w:szCs w:val="22"/>
              </w:rPr>
            </w:pPr>
            <w:r w:rsidRPr="00264F25">
              <w:rPr>
                <w:rFonts w:cstheme="minorHAnsi"/>
                <w:sz w:val="22"/>
                <w:szCs w:val="22"/>
              </w:rPr>
              <w:t xml:space="preserve">By requiring all applicants to agree to the bona fide use clause, </w:t>
            </w:r>
            <w:r w:rsidRPr="00264F25">
              <w:rPr>
                <w:rFonts w:cstheme="minorHAnsi"/>
                <w:color w:val="FF0000"/>
                <w:sz w:val="22"/>
                <w:szCs w:val="22"/>
              </w:rPr>
              <w:t xml:space="preserve">some of </w:t>
            </w:r>
            <w:r w:rsidRPr="00264F25">
              <w:rPr>
                <w:rFonts w:cstheme="minorHAnsi"/>
                <w:sz w:val="22"/>
                <w:szCs w:val="22"/>
              </w:rPr>
              <w:t>the Working Group believes that the Board’s primary concerns are mitigated and that private resolutions (including private auctions) as a mechanism to resolve string contention, can be permitted.</w:t>
            </w:r>
          </w:p>
        </w:tc>
      </w:tr>
      <w:tr w:rsidR="00B54E0C" w:rsidRPr="00264F25" w14:paraId="75BA0E95" w14:textId="77777777" w:rsidTr="00B54E0C">
        <w:tc>
          <w:tcPr>
            <w:tcW w:w="1009" w:type="dxa"/>
          </w:tcPr>
          <w:p w14:paraId="6B4AF64C" w14:textId="77777777" w:rsidR="00B54E0C" w:rsidRPr="00264F25" w:rsidRDefault="00B54E0C" w:rsidP="00B54E0C">
            <w:pPr>
              <w:pStyle w:val="ListParagraph"/>
              <w:numPr>
                <w:ilvl w:val="0"/>
                <w:numId w:val="1"/>
              </w:numPr>
              <w:rPr>
                <w:rFonts w:cstheme="minorHAnsi"/>
                <w:sz w:val="22"/>
                <w:szCs w:val="22"/>
              </w:rPr>
            </w:pPr>
          </w:p>
        </w:tc>
        <w:tc>
          <w:tcPr>
            <w:tcW w:w="2351" w:type="dxa"/>
          </w:tcPr>
          <w:p w14:paraId="35D7AA6F" w14:textId="64BF7885" w:rsidR="00B54E0C" w:rsidRPr="00264F25" w:rsidRDefault="00B54E0C" w:rsidP="00B54E0C">
            <w:pPr>
              <w:rPr>
                <w:rFonts w:eastAsia="Times New Roman" w:cstheme="minorHAnsi"/>
                <w:color w:val="000000"/>
                <w:sz w:val="22"/>
                <w:szCs w:val="22"/>
              </w:rPr>
            </w:pPr>
            <w:r w:rsidRPr="00264F25">
              <w:rPr>
                <w:rFonts w:eastAsia="Times New Roman" w:cstheme="minorHAnsi"/>
                <w:color w:val="000000"/>
                <w:sz w:val="22"/>
                <w:szCs w:val="22"/>
              </w:rPr>
              <w:t>Finally, some in the Working Group remain concerned that the practice of leveraging financial gains in one private auction to resolve other contention sets has not been addressed adequately.</w:t>
            </w:r>
          </w:p>
        </w:tc>
        <w:tc>
          <w:tcPr>
            <w:tcW w:w="2718" w:type="dxa"/>
          </w:tcPr>
          <w:p w14:paraId="2DB242A9" w14:textId="54A3AD28" w:rsidR="00B54E0C" w:rsidRPr="00264F25" w:rsidRDefault="00B54E0C" w:rsidP="00B54E0C">
            <w:pPr>
              <w:rPr>
                <w:rFonts w:cstheme="minorHAnsi"/>
                <w:sz w:val="22"/>
                <w:szCs w:val="22"/>
              </w:rPr>
            </w:pPr>
            <w:r w:rsidRPr="00264F25">
              <w:rPr>
                <w:rFonts w:cstheme="minorHAnsi"/>
                <w:sz w:val="22"/>
                <w:szCs w:val="22"/>
              </w:rPr>
              <w:t>Rationale for Recommendations xx and xx (Rationale 2), Fifth Paragraph</w:t>
            </w:r>
          </w:p>
        </w:tc>
        <w:tc>
          <w:tcPr>
            <w:tcW w:w="4241" w:type="dxa"/>
          </w:tcPr>
          <w:p w14:paraId="2AB41B2C" w14:textId="64B9A627" w:rsidR="00B54E0C" w:rsidRPr="00264F25" w:rsidRDefault="00B54E0C" w:rsidP="00B54E0C">
            <w:pPr>
              <w:rPr>
                <w:rFonts w:cstheme="minorHAnsi"/>
                <w:sz w:val="22"/>
                <w:szCs w:val="22"/>
              </w:rPr>
            </w:pPr>
            <w:r w:rsidRPr="00264F25">
              <w:rPr>
                <w:rFonts w:cstheme="minorHAnsi"/>
                <w:sz w:val="22"/>
                <w:szCs w:val="22"/>
              </w:rPr>
              <w:t xml:space="preserve">I think </w:t>
            </w:r>
            <w:proofErr w:type="spellStart"/>
            <w:r w:rsidRPr="00264F25">
              <w:rPr>
                <w:rFonts w:cstheme="minorHAnsi"/>
                <w:sz w:val="22"/>
                <w:szCs w:val="22"/>
              </w:rPr>
              <w:t>its</w:t>
            </w:r>
            <w:proofErr w:type="spellEnd"/>
            <w:r w:rsidRPr="00264F25">
              <w:rPr>
                <w:rFonts w:cstheme="minorHAnsi"/>
                <w:sz w:val="22"/>
                <w:szCs w:val="22"/>
              </w:rPr>
              <w:t xml:space="preserve"> important to mention the</w:t>
            </w:r>
            <w:r>
              <w:rPr>
                <w:rFonts w:cstheme="minorHAnsi"/>
                <w:sz w:val="22"/>
                <w:szCs w:val="22"/>
              </w:rPr>
              <w:t xml:space="preserve"> group considered</w:t>
            </w:r>
            <w:r w:rsidRPr="00264F25">
              <w:rPr>
                <w:rFonts w:cstheme="minorHAnsi"/>
                <w:sz w:val="22"/>
                <w:szCs w:val="22"/>
              </w:rPr>
              <w:t xml:space="preserve"> sealed bid proposal as a viable solution to this practice</w:t>
            </w:r>
            <w:r>
              <w:rPr>
                <w:rFonts w:cstheme="minorHAnsi"/>
                <w:sz w:val="22"/>
                <w:szCs w:val="22"/>
              </w:rPr>
              <w:t xml:space="preserve"> but could not reach agreement.</w:t>
            </w:r>
            <w:r w:rsidRPr="00264F25">
              <w:rPr>
                <w:rFonts w:cstheme="minorHAnsi"/>
                <w:sz w:val="22"/>
                <w:szCs w:val="22"/>
              </w:rPr>
              <w:t xml:space="preserve"> </w:t>
            </w:r>
          </w:p>
        </w:tc>
        <w:tc>
          <w:tcPr>
            <w:tcW w:w="4261" w:type="dxa"/>
          </w:tcPr>
          <w:p w14:paraId="55644F9A" w14:textId="56A09A85" w:rsidR="00B54E0C" w:rsidRPr="00264F25" w:rsidRDefault="00B54E0C" w:rsidP="00B54E0C">
            <w:pPr>
              <w:rPr>
                <w:rFonts w:cstheme="minorHAnsi"/>
                <w:sz w:val="22"/>
                <w:szCs w:val="22"/>
              </w:rPr>
            </w:pPr>
            <w:r w:rsidRPr="00264F25">
              <w:rPr>
                <w:rFonts w:cstheme="minorHAnsi"/>
                <w:sz w:val="22"/>
                <w:szCs w:val="22"/>
              </w:rPr>
              <w:t xml:space="preserve">Add to end of paragraph the following language – </w:t>
            </w:r>
          </w:p>
          <w:p w14:paraId="5A832F4A" w14:textId="1B0705F2" w:rsidR="00B54E0C" w:rsidRPr="00264F25" w:rsidRDefault="00B54E0C" w:rsidP="00B54E0C">
            <w:pPr>
              <w:rPr>
                <w:rFonts w:cstheme="minorHAnsi"/>
                <w:sz w:val="22"/>
                <w:szCs w:val="22"/>
              </w:rPr>
            </w:pPr>
            <w:r w:rsidRPr="00264F25">
              <w:rPr>
                <w:rFonts w:cstheme="minorHAnsi"/>
                <w:sz w:val="22"/>
                <w:szCs w:val="22"/>
              </w:rPr>
              <w:t>A proposal that would have required sealed bids for private auctions</w:t>
            </w:r>
            <w:r w:rsidR="000F4950">
              <w:rPr>
                <w:rFonts w:cstheme="minorHAnsi"/>
                <w:sz w:val="22"/>
                <w:szCs w:val="22"/>
              </w:rPr>
              <w:t xml:space="preserve"> submitted at the same time</w:t>
            </w:r>
            <w:r w:rsidRPr="00264F25">
              <w:rPr>
                <w:rFonts w:cstheme="minorHAnsi"/>
                <w:sz w:val="22"/>
                <w:szCs w:val="22"/>
              </w:rPr>
              <w:t>, which would have prevented the rolling of funds from one auction to another, was discussed but agreement was not possible.</w:t>
            </w:r>
          </w:p>
        </w:tc>
      </w:tr>
      <w:tr w:rsidR="00B54E0C" w:rsidRPr="00264F25" w14:paraId="2D0A5BE5" w14:textId="77777777" w:rsidTr="00B54E0C">
        <w:tc>
          <w:tcPr>
            <w:tcW w:w="1009" w:type="dxa"/>
          </w:tcPr>
          <w:p w14:paraId="0661BDC1" w14:textId="77777777" w:rsidR="00B54E0C" w:rsidRPr="00264F25" w:rsidRDefault="00B54E0C" w:rsidP="00B54E0C">
            <w:pPr>
              <w:pStyle w:val="ListParagraph"/>
              <w:numPr>
                <w:ilvl w:val="0"/>
                <w:numId w:val="1"/>
              </w:numPr>
              <w:rPr>
                <w:rFonts w:cstheme="minorHAnsi"/>
                <w:sz w:val="22"/>
                <w:szCs w:val="22"/>
              </w:rPr>
            </w:pPr>
          </w:p>
        </w:tc>
        <w:tc>
          <w:tcPr>
            <w:tcW w:w="2351" w:type="dxa"/>
          </w:tcPr>
          <w:p w14:paraId="6EB95327" w14:textId="7CD5C6B1" w:rsidR="00B54E0C" w:rsidRPr="00264F25" w:rsidRDefault="00B54E0C" w:rsidP="00B54E0C">
            <w:pPr>
              <w:rPr>
                <w:rFonts w:eastAsia="Times New Roman" w:cstheme="minorHAnsi"/>
                <w:color w:val="000000"/>
                <w:sz w:val="22"/>
                <w:szCs w:val="22"/>
              </w:rPr>
            </w:pPr>
            <w:r w:rsidRPr="00264F25">
              <w:rPr>
                <w:rFonts w:cstheme="minorHAnsi"/>
                <w:color w:val="000000"/>
                <w:sz w:val="22"/>
                <w:szCs w:val="22"/>
              </w:rPr>
              <w:t xml:space="preserve">By requiring all applicants to agree to the bona fide use clause, the Working Group believes that the Board’s primary concerns are mitigated and that private </w:t>
            </w:r>
            <w:r w:rsidRPr="00264F25">
              <w:rPr>
                <w:rFonts w:cstheme="minorHAnsi"/>
                <w:color w:val="000000"/>
                <w:sz w:val="22"/>
                <w:szCs w:val="22"/>
              </w:rPr>
              <w:lastRenderedPageBreak/>
              <w:t xml:space="preserve">resolutions (including private auctions) as a mechanism to resolve string contention, </w:t>
            </w:r>
            <w:proofErr w:type="gramStart"/>
            <w:r w:rsidRPr="00264F25">
              <w:rPr>
                <w:rFonts w:cstheme="minorHAnsi"/>
                <w:color w:val="000000"/>
                <w:sz w:val="22"/>
                <w:szCs w:val="22"/>
              </w:rPr>
              <w:t>can  be</w:t>
            </w:r>
            <w:proofErr w:type="gramEnd"/>
            <w:r w:rsidRPr="00264F25">
              <w:rPr>
                <w:rFonts w:cstheme="minorHAnsi"/>
                <w:color w:val="000000"/>
                <w:sz w:val="22"/>
                <w:szCs w:val="22"/>
              </w:rPr>
              <w:t xml:space="preserve"> permitted. However, some in the Working Group still believe that private auctions (and similar private resolution mechanisms) may be a cause for </w:t>
            </w:r>
            <w:proofErr w:type="gramStart"/>
            <w:r w:rsidRPr="00264F25">
              <w:rPr>
                <w:rFonts w:cstheme="minorHAnsi"/>
                <w:color w:val="000000"/>
                <w:sz w:val="22"/>
                <w:szCs w:val="22"/>
              </w:rPr>
              <w:t>concern, and</w:t>
            </w:r>
            <w:proofErr w:type="gramEnd"/>
            <w:r w:rsidRPr="00264F25">
              <w:rPr>
                <w:rFonts w:cstheme="minorHAnsi"/>
                <w:color w:val="000000"/>
                <w:sz w:val="22"/>
                <w:szCs w:val="22"/>
              </w:rPr>
              <w:t xml:space="preserve"> believe that data must be collected to help determine in the future if a problem exists.</w:t>
            </w:r>
          </w:p>
        </w:tc>
        <w:tc>
          <w:tcPr>
            <w:tcW w:w="2718" w:type="dxa"/>
          </w:tcPr>
          <w:p w14:paraId="63DFE587" w14:textId="77777777" w:rsidR="00B54E0C" w:rsidRPr="00264F25" w:rsidRDefault="00B54E0C" w:rsidP="00B54E0C">
            <w:pPr>
              <w:rPr>
                <w:rFonts w:cstheme="minorHAnsi"/>
                <w:sz w:val="22"/>
                <w:szCs w:val="22"/>
              </w:rPr>
            </w:pPr>
            <w:r w:rsidRPr="00264F25">
              <w:rPr>
                <w:rFonts w:cstheme="minorHAnsi"/>
                <w:sz w:val="22"/>
                <w:szCs w:val="22"/>
              </w:rPr>
              <w:lastRenderedPageBreak/>
              <w:t xml:space="preserve">Rationale for Implementation Guidance xx (Rationale 4): </w:t>
            </w:r>
          </w:p>
          <w:p w14:paraId="56B7E84B" w14:textId="74090C42" w:rsidR="00B54E0C" w:rsidRPr="00264F25" w:rsidRDefault="00B54E0C" w:rsidP="00B54E0C">
            <w:pPr>
              <w:rPr>
                <w:rFonts w:cstheme="minorHAnsi"/>
                <w:sz w:val="22"/>
                <w:szCs w:val="22"/>
              </w:rPr>
            </w:pPr>
            <w:r w:rsidRPr="00264F25">
              <w:rPr>
                <w:rFonts w:cstheme="minorHAnsi"/>
                <w:sz w:val="22"/>
                <w:szCs w:val="22"/>
              </w:rPr>
              <w:t>First paragraph</w:t>
            </w:r>
          </w:p>
        </w:tc>
        <w:tc>
          <w:tcPr>
            <w:tcW w:w="4241" w:type="dxa"/>
          </w:tcPr>
          <w:p w14:paraId="68575917" w14:textId="3D5A9591" w:rsidR="00B54E0C" w:rsidRPr="00264F25" w:rsidRDefault="00B54E0C" w:rsidP="00B54E0C">
            <w:pPr>
              <w:rPr>
                <w:rFonts w:cstheme="minorHAnsi"/>
                <w:sz w:val="22"/>
                <w:szCs w:val="22"/>
              </w:rPr>
            </w:pPr>
            <w:r w:rsidRPr="00264F25">
              <w:rPr>
                <w:rFonts w:cstheme="minorHAnsi"/>
                <w:sz w:val="22"/>
                <w:szCs w:val="22"/>
              </w:rPr>
              <w:t>There wasn’t broad agreement in the WG that this effort fully mitigated concerns.</w:t>
            </w:r>
          </w:p>
        </w:tc>
        <w:tc>
          <w:tcPr>
            <w:tcW w:w="4261" w:type="dxa"/>
          </w:tcPr>
          <w:p w14:paraId="7A01AB02" w14:textId="651803D0" w:rsidR="00B54E0C" w:rsidRPr="00264F25" w:rsidRDefault="00B54E0C" w:rsidP="00B54E0C">
            <w:pPr>
              <w:rPr>
                <w:rFonts w:cstheme="minorHAnsi"/>
                <w:sz w:val="22"/>
                <w:szCs w:val="22"/>
              </w:rPr>
            </w:pPr>
            <w:r w:rsidRPr="00264F25">
              <w:rPr>
                <w:rFonts w:cstheme="minorHAnsi"/>
                <w:color w:val="000000"/>
                <w:sz w:val="22"/>
                <w:szCs w:val="22"/>
              </w:rPr>
              <w:t xml:space="preserve">By requiring all applicants to agree to the bona fide use clause, </w:t>
            </w:r>
            <w:r w:rsidRPr="00264F25">
              <w:rPr>
                <w:rFonts w:cstheme="minorHAnsi"/>
                <w:color w:val="FF0000"/>
                <w:sz w:val="22"/>
                <w:szCs w:val="22"/>
              </w:rPr>
              <w:t>some in</w:t>
            </w:r>
            <w:r w:rsidRPr="00264F25">
              <w:rPr>
                <w:rFonts w:cstheme="minorHAnsi"/>
                <w:b/>
                <w:bCs/>
                <w:i/>
                <w:iCs/>
                <w:color w:val="FF0000"/>
                <w:sz w:val="22"/>
                <w:szCs w:val="22"/>
              </w:rPr>
              <w:t xml:space="preserve"> </w:t>
            </w:r>
            <w:r w:rsidRPr="00264F25">
              <w:rPr>
                <w:rFonts w:cstheme="minorHAnsi"/>
                <w:color w:val="000000"/>
                <w:sz w:val="22"/>
                <w:szCs w:val="22"/>
              </w:rPr>
              <w:t xml:space="preserve">the Working Group believes that the Board’s primary concerns are mitigated and that private resolutions (including private auctions) as a mechanism to resolve string contention, can  be permitted. However, </w:t>
            </w:r>
            <w:r w:rsidRPr="00264F25">
              <w:rPr>
                <w:rFonts w:cstheme="minorHAnsi"/>
                <w:color w:val="FF0000"/>
                <w:sz w:val="22"/>
                <w:szCs w:val="22"/>
              </w:rPr>
              <w:t xml:space="preserve">others </w:t>
            </w:r>
            <w:r w:rsidRPr="00264F25">
              <w:rPr>
                <w:rFonts w:cstheme="minorHAnsi"/>
                <w:color w:val="000000"/>
                <w:sz w:val="22"/>
                <w:szCs w:val="22"/>
              </w:rPr>
              <w:t xml:space="preserve">in the Working Group still believe that private </w:t>
            </w:r>
            <w:r w:rsidRPr="00264F25">
              <w:rPr>
                <w:rFonts w:cstheme="minorHAnsi"/>
                <w:color w:val="000000"/>
                <w:sz w:val="22"/>
                <w:szCs w:val="22"/>
              </w:rPr>
              <w:lastRenderedPageBreak/>
              <w:t xml:space="preserve">auctions (and similar private resolution mechanisms) may be a cause for </w:t>
            </w:r>
            <w:proofErr w:type="gramStart"/>
            <w:r w:rsidRPr="00264F25">
              <w:rPr>
                <w:rFonts w:cstheme="minorHAnsi"/>
                <w:color w:val="000000"/>
                <w:sz w:val="22"/>
                <w:szCs w:val="22"/>
              </w:rPr>
              <w:t>concern, and</w:t>
            </w:r>
            <w:proofErr w:type="gramEnd"/>
            <w:r w:rsidRPr="00264F25">
              <w:rPr>
                <w:rFonts w:cstheme="minorHAnsi"/>
                <w:color w:val="000000"/>
                <w:sz w:val="22"/>
                <w:szCs w:val="22"/>
              </w:rPr>
              <w:t xml:space="preserve"> believe that data must be collected to help determine in the future if a problem exists.</w:t>
            </w:r>
          </w:p>
        </w:tc>
      </w:tr>
      <w:tr w:rsidR="00B54E0C" w:rsidRPr="00264F25" w14:paraId="6C284E32" w14:textId="77777777" w:rsidTr="00B54E0C">
        <w:tc>
          <w:tcPr>
            <w:tcW w:w="1009" w:type="dxa"/>
          </w:tcPr>
          <w:p w14:paraId="322A3194" w14:textId="77777777" w:rsidR="00B54E0C" w:rsidRPr="00264F25" w:rsidRDefault="00B54E0C" w:rsidP="00B54E0C">
            <w:pPr>
              <w:pStyle w:val="ListParagraph"/>
              <w:numPr>
                <w:ilvl w:val="0"/>
                <w:numId w:val="1"/>
              </w:numPr>
              <w:rPr>
                <w:rFonts w:cstheme="minorHAnsi"/>
                <w:sz w:val="22"/>
                <w:szCs w:val="22"/>
              </w:rPr>
            </w:pPr>
          </w:p>
        </w:tc>
        <w:tc>
          <w:tcPr>
            <w:tcW w:w="2351" w:type="dxa"/>
          </w:tcPr>
          <w:p w14:paraId="17BCCEEA" w14:textId="5DC47200" w:rsidR="00B54E0C" w:rsidRPr="00264F25" w:rsidRDefault="00B54E0C" w:rsidP="00B54E0C">
            <w:pPr>
              <w:rPr>
                <w:rFonts w:cstheme="minorHAnsi"/>
                <w:color w:val="000000"/>
                <w:sz w:val="22"/>
                <w:szCs w:val="22"/>
              </w:rPr>
            </w:pPr>
            <w:r w:rsidRPr="00264F25">
              <w:rPr>
                <w:rFonts w:cstheme="minorHAnsi"/>
                <w:color w:val="000000"/>
                <w:sz w:val="22"/>
                <w:szCs w:val="22"/>
              </w:rPr>
              <w:t>Adding a bullet</w:t>
            </w:r>
          </w:p>
        </w:tc>
        <w:tc>
          <w:tcPr>
            <w:tcW w:w="2718" w:type="dxa"/>
          </w:tcPr>
          <w:p w14:paraId="245C917E" w14:textId="77777777" w:rsidR="00B54E0C" w:rsidRPr="00264F25" w:rsidRDefault="00B54E0C" w:rsidP="00B54E0C">
            <w:pPr>
              <w:rPr>
                <w:rFonts w:cstheme="minorHAnsi"/>
                <w:sz w:val="22"/>
                <w:szCs w:val="22"/>
              </w:rPr>
            </w:pPr>
            <w:r w:rsidRPr="00264F25">
              <w:rPr>
                <w:rFonts w:cstheme="minorHAnsi"/>
                <w:sz w:val="22"/>
                <w:szCs w:val="22"/>
              </w:rPr>
              <w:t>d. Dependencies/relationships with other areas of this report or external efforts</w:t>
            </w:r>
          </w:p>
          <w:p w14:paraId="415A99CF" w14:textId="43187EA4" w:rsidR="00B54E0C" w:rsidRPr="00264F25" w:rsidRDefault="00B54E0C" w:rsidP="00B54E0C">
            <w:pPr>
              <w:rPr>
                <w:rFonts w:cstheme="minorHAnsi"/>
                <w:sz w:val="22"/>
                <w:szCs w:val="22"/>
              </w:rPr>
            </w:pPr>
            <w:r w:rsidRPr="00264F25">
              <w:rPr>
                <w:rFonts w:cstheme="minorHAnsi"/>
                <w:sz w:val="22"/>
                <w:szCs w:val="22"/>
              </w:rPr>
              <w:t>Second bullet</w:t>
            </w:r>
          </w:p>
        </w:tc>
        <w:tc>
          <w:tcPr>
            <w:tcW w:w="4241" w:type="dxa"/>
          </w:tcPr>
          <w:p w14:paraId="4BCB79E2" w14:textId="59FB20E5" w:rsidR="00B54E0C" w:rsidRPr="00264F25" w:rsidRDefault="00B54E0C" w:rsidP="00B54E0C">
            <w:pPr>
              <w:rPr>
                <w:rFonts w:cstheme="minorHAnsi"/>
                <w:sz w:val="22"/>
                <w:szCs w:val="22"/>
              </w:rPr>
            </w:pPr>
            <w:r w:rsidRPr="00264F25">
              <w:rPr>
                <w:rFonts w:cstheme="minorHAnsi"/>
                <w:sz w:val="22"/>
                <w:szCs w:val="22"/>
              </w:rPr>
              <w:t xml:space="preserve">Need reference here to </w:t>
            </w:r>
            <w:proofErr w:type="spellStart"/>
            <w:r w:rsidRPr="00264F25">
              <w:rPr>
                <w:rFonts w:cstheme="minorHAnsi"/>
                <w:sz w:val="22"/>
                <w:szCs w:val="22"/>
              </w:rPr>
              <w:t>Ts&amp;Cs</w:t>
            </w:r>
            <w:proofErr w:type="spellEnd"/>
            <w:r w:rsidRPr="00264F25">
              <w:rPr>
                <w:rFonts w:cstheme="minorHAnsi"/>
                <w:sz w:val="22"/>
                <w:szCs w:val="22"/>
              </w:rPr>
              <w:t xml:space="preserve"> (and the Topic) that will be updated as a result of the WG’s deliberations. </w:t>
            </w:r>
          </w:p>
        </w:tc>
        <w:tc>
          <w:tcPr>
            <w:tcW w:w="4261" w:type="dxa"/>
          </w:tcPr>
          <w:p w14:paraId="28583474" w14:textId="07F9A45A" w:rsidR="00B54E0C" w:rsidRPr="00264F25" w:rsidRDefault="00B54E0C" w:rsidP="00B54E0C">
            <w:pPr>
              <w:rPr>
                <w:rFonts w:cstheme="minorHAnsi"/>
                <w:color w:val="000000"/>
                <w:sz w:val="22"/>
                <w:szCs w:val="22"/>
              </w:rPr>
            </w:pPr>
            <w:r w:rsidRPr="00264F25">
              <w:rPr>
                <w:rFonts w:cstheme="minorHAnsi"/>
                <w:color w:val="000000"/>
                <w:sz w:val="22"/>
                <w:szCs w:val="22"/>
              </w:rPr>
              <w:t xml:space="preserve">Add – </w:t>
            </w:r>
          </w:p>
          <w:p w14:paraId="580FAB37" w14:textId="30E0FE45" w:rsidR="00B54E0C" w:rsidRPr="00264F25" w:rsidRDefault="00B54E0C" w:rsidP="00B54E0C">
            <w:pPr>
              <w:rPr>
                <w:rFonts w:cstheme="minorHAnsi"/>
                <w:color w:val="000000"/>
                <w:sz w:val="22"/>
                <w:szCs w:val="22"/>
              </w:rPr>
            </w:pPr>
            <w:r w:rsidRPr="00264F25">
              <w:rPr>
                <w:rFonts w:cstheme="minorHAnsi"/>
                <w:color w:val="000000"/>
                <w:sz w:val="22"/>
                <w:szCs w:val="22"/>
              </w:rPr>
              <w:t>Terms and Conditions governing application submission</w:t>
            </w:r>
          </w:p>
        </w:tc>
      </w:tr>
    </w:tbl>
    <w:p w14:paraId="293DC469" w14:textId="77777777" w:rsidR="000B7A30" w:rsidRPr="00264F25" w:rsidRDefault="000B7A30">
      <w:pPr>
        <w:rPr>
          <w:rFonts w:cstheme="minorHAnsi"/>
          <w:sz w:val="22"/>
          <w:szCs w:val="22"/>
        </w:rPr>
      </w:pPr>
    </w:p>
    <w:sectPr w:rsidR="000B7A30" w:rsidRPr="00264F25" w:rsidSect="009D04F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D9938" w14:textId="77777777" w:rsidR="00361492" w:rsidRDefault="00361492" w:rsidP="00DE6131">
      <w:r>
        <w:separator/>
      </w:r>
    </w:p>
  </w:endnote>
  <w:endnote w:type="continuationSeparator" w:id="0">
    <w:p w14:paraId="465CD99E" w14:textId="77777777" w:rsidR="00361492" w:rsidRDefault="00361492" w:rsidP="00DE6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743089" w14:textId="77777777" w:rsidR="00361492" w:rsidRDefault="00361492" w:rsidP="00DE6131">
      <w:r>
        <w:separator/>
      </w:r>
    </w:p>
  </w:footnote>
  <w:footnote w:type="continuationSeparator" w:id="0">
    <w:p w14:paraId="1987B182" w14:textId="77777777" w:rsidR="00361492" w:rsidRDefault="00361492" w:rsidP="00DE6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2C0E46"/>
    <w:multiLevelType w:val="hybridMultilevel"/>
    <w:tmpl w:val="97B8E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4F7"/>
    <w:rsid w:val="000B7A30"/>
    <w:rsid w:val="000D421E"/>
    <w:rsid w:val="000F2708"/>
    <w:rsid w:val="000F4950"/>
    <w:rsid w:val="00111ED7"/>
    <w:rsid w:val="00193502"/>
    <w:rsid w:val="00207AC9"/>
    <w:rsid w:val="00246C3B"/>
    <w:rsid w:val="00264F25"/>
    <w:rsid w:val="00336B8B"/>
    <w:rsid w:val="0035336D"/>
    <w:rsid w:val="00361201"/>
    <w:rsid w:val="00361492"/>
    <w:rsid w:val="00385D74"/>
    <w:rsid w:val="00387827"/>
    <w:rsid w:val="003C7DC5"/>
    <w:rsid w:val="004B3C4A"/>
    <w:rsid w:val="005008BE"/>
    <w:rsid w:val="005E720C"/>
    <w:rsid w:val="005F102F"/>
    <w:rsid w:val="005F6B4E"/>
    <w:rsid w:val="006D0418"/>
    <w:rsid w:val="006D759B"/>
    <w:rsid w:val="00770DEF"/>
    <w:rsid w:val="007B4CBE"/>
    <w:rsid w:val="007C16AB"/>
    <w:rsid w:val="007F1FED"/>
    <w:rsid w:val="008363A6"/>
    <w:rsid w:val="00970EBD"/>
    <w:rsid w:val="009D04F7"/>
    <w:rsid w:val="009F7957"/>
    <w:rsid w:val="00A6299F"/>
    <w:rsid w:val="00B13867"/>
    <w:rsid w:val="00B34569"/>
    <w:rsid w:val="00B54E0C"/>
    <w:rsid w:val="00BE5129"/>
    <w:rsid w:val="00C639AA"/>
    <w:rsid w:val="00CD0B02"/>
    <w:rsid w:val="00DE6131"/>
    <w:rsid w:val="00E236CE"/>
    <w:rsid w:val="00E53B3D"/>
    <w:rsid w:val="00E8232D"/>
    <w:rsid w:val="00EA6E5A"/>
    <w:rsid w:val="00EF0C58"/>
    <w:rsid w:val="00EF35AF"/>
    <w:rsid w:val="00F07ECE"/>
    <w:rsid w:val="00F10689"/>
    <w:rsid w:val="00F7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F79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0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418"/>
    <w:pPr>
      <w:ind w:left="720"/>
      <w:contextualSpacing/>
    </w:pPr>
  </w:style>
  <w:style w:type="paragraph" w:styleId="BalloonText">
    <w:name w:val="Balloon Text"/>
    <w:basedOn w:val="Normal"/>
    <w:link w:val="BalloonTextChar"/>
    <w:uiPriority w:val="99"/>
    <w:semiHidden/>
    <w:unhideWhenUsed/>
    <w:rsid w:val="005F6B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B4E"/>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7C16AB"/>
    <w:rPr>
      <w:sz w:val="16"/>
      <w:szCs w:val="16"/>
    </w:rPr>
  </w:style>
  <w:style w:type="paragraph" w:styleId="CommentText">
    <w:name w:val="annotation text"/>
    <w:basedOn w:val="Normal"/>
    <w:link w:val="CommentTextChar"/>
    <w:uiPriority w:val="99"/>
    <w:semiHidden/>
    <w:unhideWhenUsed/>
    <w:rsid w:val="007C16AB"/>
    <w:pPr>
      <w:spacing w:after="160"/>
    </w:pPr>
    <w:rPr>
      <w:rFonts w:eastAsiaTheme="minorHAnsi"/>
      <w:sz w:val="20"/>
      <w:szCs w:val="20"/>
    </w:rPr>
  </w:style>
  <w:style w:type="character" w:customStyle="1" w:styleId="CommentTextChar">
    <w:name w:val="Comment Text Char"/>
    <w:basedOn w:val="DefaultParagraphFont"/>
    <w:link w:val="CommentText"/>
    <w:uiPriority w:val="99"/>
    <w:semiHidden/>
    <w:rsid w:val="007C16AB"/>
    <w:rPr>
      <w:sz w:val="20"/>
      <w:szCs w:val="20"/>
    </w:rPr>
  </w:style>
  <w:style w:type="paragraph" w:styleId="Header">
    <w:name w:val="header"/>
    <w:basedOn w:val="Normal"/>
    <w:link w:val="HeaderChar"/>
    <w:uiPriority w:val="99"/>
    <w:unhideWhenUsed/>
    <w:rsid w:val="00DE6131"/>
    <w:pPr>
      <w:tabs>
        <w:tab w:val="center" w:pos="4680"/>
        <w:tab w:val="right" w:pos="9360"/>
      </w:tabs>
    </w:pPr>
  </w:style>
  <w:style w:type="character" w:customStyle="1" w:styleId="HeaderChar">
    <w:name w:val="Header Char"/>
    <w:basedOn w:val="DefaultParagraphFont"/>
    <w:link w:val="Header"/>
    <w:uiPriority w:val="99"/>
    <w:rsid w:val="00DE6131"/>
    <w:rPr>
      <w:rFonts w:eastAsiaTheme="minorEastAsia"/>
    </w:rPr>
  </w:style>
  <w:style w:type="paragraph" w:styleId="Footer">
    <w:name w:val="footer"/>
    <w:basedOn w:val="Normal"/>
    <w:link w:val="FooterChar"/>
    <w:uiPriority w:val="99"/>
    <w:unhideWhenUsed/>
    <w:rsid w:val="00DE6131"/>
    <w:pPr>
      <w:tabs>
        <w:tab w:val="center" w:pos="4680"/>
        <w:tab w:val="right" w:pos="9360"/>
      </w:tabs>
    </w:pPr>
  </w:style>
  <w:style w:type="character" w:customStyle="1" w:styleId="FooterChar">
    <w:name w:val="Footer Char"/>
    <w:basedOn w:val="DefaultParagraphFont"/>
    <w:link w:val="Footer"/>
    <w:uiPriority w:val="99"/>
    <w:rsid w:val="00DE613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1358</Words>
  <Characters>7741</Characters>
  <Application>Microsoft Office Word</Application>
  <DocSecurity>0</DocSecurity>
  <Lines>64</Lines>
  <Paragraphs>18</Paragraphs>
  <ScaleCrop>false</ScaleCrop>
  <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2020-08-12T17:16:00Z</dcterms:created>
  <dcterms:modified xsi:type="dcterms:W3CDTF">2020-08-12T18:44:00Z</dcterms:modified>
</cp:coreProperties>
</file>