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82463" w14:textId="5A5BF1A7" w:rsidR="009D04F7" w:rsidRDefault="009D04F7">
      <w:r>
        <w:t xml:space="preserve">Your </w:t>
      </w:r>
      <w:r w:rsidR="00C639AA">
        <w:t>name</w:t>
      </w:r>
      <w:r>
        <w:t xml:space="preserve">: </w:t>
      </w:r>
      <w:r w:rsidR="00EA18A0">
        <w:t xml:space="preserve"> Rubens Kuhl</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1039"/>
        <w:gridCol w:w="2451"/>
        <w:gridCol w:w="2185"/>
        <w:gridCol w:w="4485"/>
        <w:gridCol w:w="4420"/>
      </w:tblGrid>
      <w:tr w:rsidR="000D421E" w14:paraId="2DFB18A8" w14:textId="77777777" w:rsidTr="008B3C15">
        <w:trPr>
          <w:trHeight w:val="332"/>
        </w:trPr>
        <w:tc>
          <w:tcPr>
            <w:tcW w:w="1039" w:type="dxa"/>
            <w:shd w:val="clear" w:color="auto" w:fill="E7E6E6" w:themeFill="background2"/>
          </w:tcPr>
          <w:p w14:paraId="7FE0EC21" w14:textId="27379A6F" w:rsidR="000D421E" w:rsidRPr="009D04F7" w:rsidRDefault="000D421E">
            <w:pPr>
              <w:rPr>
                <w:b/>
                <w:bCs/>
              </w:rPr>
            </w:pPr>
            <w:r>
              <w:rPr>
                <w:b/>
                <w:bCs/>
              </w:rPr>
              <w:t>Issue</w:t>
            </w:r>
          </w:p>
        </w:tc>
        <w:tc>
          <w:tcPr>
            <w:tcW w:w="2451"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2185"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485"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420"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0D421E" w14:paraId="079FFA20" w14:textId="77777777" w:rsidTr="008B3C15">
        <w:tc>
          <w:tcPr>
            <w:tcW w:w="1039" w:type="dxa"/>
          </w:tcPr>
          <w:p w14:paraId="21AB5E62" w14:textId="77777777" w:rsidR="000D421E" w:rsidRDefault="000D421E" w:rsidP="006D0418">
            <w:pPr>
              <w:pStyle w:val="ListParagraph"/>
              <w:numPr>
                <w:ilvl w:val="0"/>
                <w:numId w:val="1"/>
              </w:numPr>
            </w:pPr>
          </w:p>
        </w:tc>
        <w:tc>
          <w:tcPr>
            <w:tcW w:w="2451" w:type="dxa"/>
          </w:tcPr>
          <w:p w14:paraId="503552B6" w14:textId="77777777" w:rsidR="00284FE0" w:rsidRDefault="00284FE0" w:rsidP="00284FE0">
            <w:r>
              <w:rPr>
                <w:rFonts w:ascii="Arial" w:hAnsi="Arial" w:cs="Arial"/>
                <w:color w:val="000000"/>
                <w:sz w:val="22"/>
                <w:szCs w:val="22"/>
              </w:rPr>
              <w:t>Assignments due to EBERO</w:t>
            </w:r>
          </w:p>
          <w:p w14:paraId="37DBF00B" w14:textId="738F0164" w:rsidR="008B3C15" w:rsidRDefault="008B3C15" w:rsidP="008B3C15">
            <w:r>
              <w:rPr>
                <w:rFonts w:ascii="Arial" w:hAnsi="Arial" w:cs="Arial"/>
                <w:color w:val="000000"/>
                <w:sz w:val="22"/>
                <w:szCs w:val="22"/>
              </w:rPr>
              <w:t>.</w:t>
            </w:r>
          </w:p>
          <w:p w14:paraId="14EDC35E" w14:textId="72CF9C48" w:rsidR="000D421E" w:rsidRDefault="000D421E"/>
        </w:tc>
        <w:tc>
          <w:tcPr>
            <w:tcW w:w="2185" w:type="dxa"/>
          </w:tcPr>
          <w:p w14:paraId="7BDDA60B" w14:textId="4835A66E" w:rsidR="008B3C15" w:rsidRPr="00284FE0" w:rsidRDefault="00284FE0" w:rsidP="008B3C15">
            <w:pPr>
              <w:rPr>
                <w:lang w:val="en-US"/>
              </w:rPr>
            </w:pPr>
            <w:r>
              <w:rPr>
                <w:lang w:val="en-US"/>
              </w:rPr>
              <w:t>2.5.4 Applicant Support</w:t>
            </w:r>
          </w:p>
          <w:p w14:paraId="6F343617" w14:textId="06BF69CB" w:rsidR="008B3C15" w:rsidRDefault="008B3C15"/>
        </w:tc>
        <w:tc>
          <w:tcPr>
            <w:tcW w:w="4485" w:type="dxa"/>
          </w:tcPr>
          <w:p w14:paraId="006CBAEE" w14:textId="5B2CFA24" w:rsidR="000D421E" w:rsidRPr="00284FE0" w:rsidRDefault="00284FE0">
            <w:pPr>
              <w:rPr>
                <w:lang w:val="en-US"/>
              </w:rPr>
            </w:pPr>
            <w:r>
              <w:rPr>
                <w:lang w:val="en-US"/>
              </w:rPr>
              <w:t>EBERO is a system, not a condition</w:t>
            </w:r>
          </w:p>
        </w:tc>
        <w:tc>
          <w:tcPr>
            <w:tcW w:w="4420" w:type="dxa"/>
          </w:tcPr>
          <w:p w14:paraId="664BDE67" w14:textId="694C8D85" w:rsidR="000D421E" w:rsidRPr="00413734" w:rsidRDefault="00284FE0">
            <w:pPr>
              <w:rPr>
                <w:lang w:val="en-US"/>
              </w:rPr>
            </w:pPr>
            <w:r>
              <w:rPr>
                <w:lang w:val="en-US"/>
              </w:rPr>
              <w:t>Assignments due to transition to EBERO</w:t>
            </w:r>
          </w:p>
        </w:tc>
      </w:tr>
      <w:tr w:rsidR="000D421E" w14:paraId="26201D1C" w14:textId="77777777" w:rsidTr="008B3C15">
        <w:tc>
          <w:tcPr>
            <w:tcW w:w="1039" w:type="dxa"/>
          </w:tcPr>
          <w:p w14:paraId="1E78E9F8" w14:textId="77777777" w:rsidR="000D421E" w:rsidRDefault="000D421E" w:rsidP="006D0418">
            <w:pPr>
              <w:pStyle w:val="ListParagraph"/>
              <w:numPr>
                <w:ilvl w:val="0"/>
                <w:numId w:val="1"/>
              </w:numPr>
            </w:pPr>
          </w:p>
        </w:tc>
        <w:tc>
          <w:tcPr>
            <w:tcW w:w="2451" w:type="dxa"/>
          </w:tcPr>
          <w:p w14:paraId="69EBC0C5" w14:textId="77777777" w:rsidR="00284FE0" w:rsidRDefault="00284FE0" w:rsidP="00284FE0">
            <w:r>
              <w:rPr>
                <w:rFonts w:ascii="Arial" w:hAnsi="Arial" w:cs="Arial"/>
                <w:color w:val="000000"/>
                <w:sz w:val="22"/>
                <w:szCs w:val="22"/>
                <w:u w:val="single"/>
              </w:rPr>
              <w:t>Affirmation xx</w:t>
            </w:r>
            <w:r>
              <w:rPr>
                <w:rFonts w:ascii="Arial" w:hAnsi="Arial" w:cs="Arial"/>
                <w:color w:val="000000"/>
                <w:sz w:val="22"/>
                <w:szCs w:val="22"/>
              </w:rPr>
              <w:t xml:space="preserve">: The Working Group affirms the framework established by the New gTLD Program Committee (NGPC) to apply additional Safeguards to certain new gTLD strings that were deemed applicable to highly sensitive or regulated industries, as established in response to the Governmental Advisory Committee (GAC) Beijing Communique. </w:t>
            </w:r>
          </w:p>
          <w:p w14:paraId="1F4B615D" w14:textId="4650A28E" w:rsidR="000D421E" w:rsidRDefault="000D421E" w:rsidP="00284FE0">
            <w:pPr>
              <w:pStyle w:val="NormalWeb"/>
              <w:spacing w:before="0" w:beforeAutospacing="0" w:after="0" w:afterAutospacing="0"/>
              <w:ind w:left="720"/>
              <w:textAlignment w:val="baseline"/>
            </w:pPr>
          </w:p>
        </w:tc>
        <w:tc>
          <w:tcPr>
            <w:tcW w:w="2185" w:type="dxa"/>
          </w:tcPr>
          <w:p w14:paraId="55B65E57" w14:textId="77777777" w:rsidR="00284FE0" w:rsidRPr="00284FE0" w:rsidRDefault="00284FE0" w:rsidP="00284FE0">
            <w:pPr>
              <w:rPr>
                <w:lang w:val="en-US"/>
              </w:rPr>
            </w:pPr>
            <w:r w:rsidRPr="00284FE0">
              <w:rPr>
                <w:lang w:val="en-US"/>
              </w:rPr>
              <w:t>2.3.2 Registry Voluntary Commitments (RVCs) / Public Interest Commitments (PICs)</w:t>
            </w:r>
          </w:p>
          <w:p w14:paraId="0654562B" w14:textId="77777777" w:rsidR="000D421E" w:rsidRDefault="000D421E" w:rsidP="00284FE0"/>
        </w:tc>
        <w:tc>
          <w:tcPr>
            <w:tcW w:w="4485" w:type="dxa"/>
          </w:tcPr>
          <w:p w14:paraId="29E2E80E" w14:textId="6DEE274D" w:rsidR="000D421E" w:rsidRPr="00284FE0" w:rsidRDefault="00284FE0">
            <w:pPr>
              <w:rPr>
                <w:lang w:val="en-US"/>
              </w:rPr>
            </w:pPr>
            <w:r>
              <w:rPr>
                <w:lang w:val="en-US"/>
              </w:rPr>
              <w:t>Spelling</w:t>
            </w:r>
          </w:p>
        </w:tc>
        <w:tc>
          <w:tcPr>
            <w:tcW w:w="4420" w:type="dxa"/>
          </w:tcPr>
          <w:p w14:paraId="00ED2E91" w14:textId="2DEFD04E" w:rsidR="000D421E" w:rsidRPr="00413734" w:rsidRDefault="00284FE0">
            <w:pPr>
              <w:rPr>
                <w:lang w:val="en-US"/>
              </w:rPr>
            </w:pPr>
            <w:r>
              <w:rPr>
                <w:rFonts w:ascii="Arial" w:hAnsi="Arial" w:cs="Arial"/>
                <w:color w:val="000000"/>
                <w:sz w:val="22"/>
                <w:szCs w:val="22"/>
              </w:rPr>
              <w:t>Communiqu</w:t>
            </w:r>
            <w:r>
              <w:rPr>
                <w:rFonts w:ascii="Arial" w:hAnsi="Arial" w:cs="Arial"/>
                <w:color w:val="000000"/>
                <w:sz w:val="22"/>
                <w:szCs w:val="22"/>
              </w:rPr>
              <w:t>é</w:t>
            </w:r>
          </w:p>
        </w:tc>
      </w:tr>
      <w:tr w:rsidR="008B3C15" w14:paraId="1FA85D02" w14:textId="77777777" w:rsidTr="008B3C15">
        <w:tc>
          <w:tcPr>
            <w:tcW w:w="1039" w:type="dxa"/>
          </w:tcPr>
          <w:p w14:paraId="6DAE0DEE" w14:textId="77777777" w:rsidR="008B3C15" w:rsidRDefault="008B3C15" w:rsidP="008B3C15">
            <w:pPr>
              <w:pStyle w:val="ListParagraph"/>
              <w:numPr>
                <w:ilvl w:val="0"/>
                <w:numId w:val="1"/>
              </w:numPr>
            </w:pPr>
          </w:p>
        </w:tc>
        <w:tc>
          <w:tcPr>
            <w:tcW w:w="2451" w:type="dxa"/>
          </w:tcPr>
          <w:p w14:paraId="7EA6E380" w14:textId="77777777" w:rsidR="00284FE0" w:rsidRDefault="00284FE0" w:rsidP="00284FE0">
            <w:r>
              <w:rPr>
                <w:rFonts w:ascii="Arial" w:hAnsi="Arial" w:cs="Arial"/>
                <w:color w:val="000000"/>
                <w:sz w:val="22"/>
                <w:szCs w:val="22"/>
                <w:u w:val="single"/>
              </w:rPr>
              <w:t>Rationale for Affirmation xx, Recommendation xx-xx, and Implementation Guidance xx-xx</w:t>
            </w:r>
            <w:r>
              <w:rPr>
                <w:rFonts w:ascii="Arial" w:hAnsi="Arial" w:cs="Arial"/>
                <w:color w:val="000000"/>
                <w:sz w:val="22"/>
                <w:szCs w:val="22"/>
              </w:rPr>
              <w:t xml:space="preserve">: </w:t>
            </w:r>
            <w:r>
              <w:rPr>
                <w:rFonts w:ascii="Arial" w:hAnsi="Arial" w:cs="Arial"/>
                <w:color w:val="000000"/>
                <w:sz w:val="22"/>
                <w:szCs w:val="22"/>
                <w:shd w:val="clear" w:color="auto" w:fill="FFFFFF"/>
              </w:rPr>
              <w:t xml:space="preserve">In developing </w:t>
            </w:r>
            <w:r>
              <w:rPr>
                <w:rFonts w:ascii="Arial" w:hAnsi="Arial" w:cs="Arial"/>
                <w:color w:val="000000"/>
                <w:sz w:val="22"/>
                <w:szCs w:val="22"/>
                <w:shd w:val="clear" w:color="auto" w:fill="FFFFFF"/>
              </w:rPr>
              <w:lastRenderedPageBreak/>
              <w:t xml:space="preserve">recommendations regarding strings </w:t>
            </w:r>
            <w:r>
              <w:rPr>
                <w:rFonts w:ascii="Arial" w:hAnsi="Arial" w:cs="Arial"/>
                <w:color w:val="000000"/>
                <w:sz w:val="22"/>
                <w:szCs w:val="22"/>
              </w:rPr>
              <w:t>applicable to highly sensitive or regulated industries, t</w:t>
            </w:r>
            <w:r>
              <w:rPr>
                <w:rFonts w:ascii="Arial" w:hAnsi="Arial" w:cs="Arial"/>
                <w:color w:val="000000"/>
                <w:sz w:val="22"/>
                <w:szCs w:val="22"/>
                <w:shd w:val="clear" w:color="auto" w:fill="FFFFFF"/>
              </w:rPr>
              <w:t>he Working Group reviewed GAC Category 1 Safeguard Advice included in the Beijing Communique (2013), the implementation framework adopted by the ICANN Board’s New gTLD Program Committee to address GAC Category 1 Safeguard Advice, as well as subsequent GAC Consensus Advice on the topic included in the Los Angeles Communique (</w:t>
            </w:r>
            <w:r>
              <w:rPr>
                <w:rFonts w:ascii="Arial" w:hAnsi="Arial" w:cs="Arial"/>
                <w:color w:val="000000"/>
                <w:sz w:val="22"/>
                <w:szCs w:val="22"/>
              </w:rPr>
              <w:t>2014) and Singapore Communique (2015).</w:t>
            </w:r>
          </w:p>
          <w:p w14:paraId="39098A00" w14:textId="1FB49468" w:rsidR="008B3C15" w:rsidRDefault="008B3C15" w:rsidP="00284FE0"/>
        </w:tc>
        <w:tc>
          <w:tcPr>
            <w:tcW w:w="2185" w:type="dxa"/>
          </w:tcPr>
          <w:p w14:paraId="3E7CF109" w14:textId="77777777" w:rsidR="00284FE0" w:rsidRPr="00284FE0" w:rsidRDefault="00284FE0" w:rsidP="00284FE0">
            <w:pPr>
              <w:rPr>
                <w:lang w:val="en-US"/>
              </w:rPr>
            </w:pPr>
            <w:r w:rsidRPr="00284FE0">
              <w:rPr>
                <w:lang w:val="en-US"/>
              </w:rPr>
              <w:lastRenderedPageBreak/>
              <w:t xml:space="preserve">2.3.2 Registry Voluntary Commitments (RVCs) / Public Interest </w:t>
            </w:r>
            <w:r w:rsidRPr="00284FE0">
              <w:rPr>
                <w:lang w:val="en-US"/>
              </w:rPr>
              <w:lastRenderedPageBreak/>
              <w:t>Commitments (PICs)</w:t>
            </w:r>
          </w:p>
          <w:p w14:paraId="2B950626" w14:textId="77777777" w:rsidR="008B3C15" w:rsidRDefault="008B3C15" w:rsidP="00284FE0"/>
        </w:tc>
        <w:tc>
          <w:tcPr>
            <w:tcW w:w="4485" w:type="dxa"/>
          </w:tcPr>
          <w:p w14:paraId="3DFFE446" w14:textId="25C97B41" w:rsidR="008B3C15" w:rsidRPr="008B3C15" w:rsidRDefault="00284FE0" w:rsidP="00284FE0">
            <w:pPr>
              <w:rPr>
                <w:lang w:val="en-US"/>
              </w:rPr>
            </w:pPr>
            <w:r>
              <w:rPr>
                <w:lang w:val="en-US"/>
              </w:rPr>
              <w:lastRenderedPageBreak/>
              <w:t>Spelling</w:t>
            </w:r>
          </w:p>
        </w:tc>
        <w:tc>
          <w:tcPr>
            <w:tcW w:w="4420" w:type="dxa"/>
          </w:tcPr>
          <w:p w14:paraId="1CE5317D" w14:textId="37EB23C5" w:rsidR="008B3C15" w:rsidRDefault="00284FE0" w:rsidP="008B3C15">
            <w:r>
              <w:rPr>
                <w:rFonts w:ascii="Arial" w:hAnsi="Arial" w:cs="Arial"/>
                <w:color w:val="000000"/>
                <w:sz w:val="22"/>
                <w:szCs w:val="22"/>
              </w:rPr>
              <w:t>Communiqué</w:t>
            </w:r>
          </w:p>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F2525"/>
    <w:multiLevelType w:val="multilevel"/>
    <w:tmpl w:val="5912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F7"/>
    <w:rsid w:val="000B7A30"/>
    <w:rsid w:val="000D421E"/>
    <w:rsid w:val="00246C3B"/>
    <w:rsid w:val="00284FE0"/>
    <w:rsid w:val="00336B8B"/>
    <w:rsid w:val="0035336D"/>
    <w:rsid w:val="00385D74"/>
    <w:rsid w:val="00413734"/>
    <w:rsid w:val="004B3C4A"/>
    <w:rsid w:val="005E720C"/>
    <w:rsid w:val="005F102F"/>
    <w:rsid w:val="006D0418"/>
    <w:rsid w:val="007F1FED"/>
    <w:rsid w:val="007F62FF"/>
    <w:rsid w:val="008363A6"/>
    <w:rsid w:val="008B3C15"/>
    <w:rsid w:val="00970EBD"/>
    <w:rsid w:val="009D04F7"/>
    <w:rsid w:val="009F7957"/>
    <w:rsid w:val="00B34569"/>
    <w:rsid w:val="00BE5129"/>
    <w:rsid w:val="00C37A46"/>
    <w:rsid w:val="00C55D47"/>
    <w:rsid w:val="00C639AA"/>
    <w:rsid w:val="00CD0B02"/>
    <w:rsid w:val="00E53B3D"/>
    <w:rsid w:val="00EA18A0"/>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FE0"/>
    <w:rPr>
      <w:rFonts w:ascii="Times New Roman" w:eastAsia="Times New Roman" w:hAnsi="Times New Roman" w:cs="Times New Roman"/>
      <w:lang w:val="en-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rPr>
      <w:rFonts w:asciiTheme="minorHAnsi" w:eastAsiaTheme="minorEastAsia" w:hAnsiTheme="minorHAnsi" w:cstheme="minorBidi"/>
      <w:lang w:val="en-US"/>
    </w:rPr>
  </w:style>
  <w:style w:type="paragraph" w:styleId="NormalWeb">
    <w:name w:val="Normal (Web)"/>
    <w:basedOn w:val="Normal"/>
    <w:uiPriority w:val="99"/>
    <w:semiHidden/>
    <w:unhideWhenUsed/>
    <w:rsid w:val="008B3C15"/>
    <w:pPr>
      <w:spacing w:before="100" w:beforeAutospacing="1" w:after="100" w:afterAutospacing="1"/>
    </w:pPr>
  </w:style>
  <w:style w:type="paragraph" w:styleId="BalloonText">
    <w:name w:val="Balloon Text"/>
    <w:basedOn w:val="Normal"/>
    <w:link w:val="BalloonTextChar"/>
    <w:uiPriority w:val="99"/>
    <w:semiHidden/>
    <w:unhideWhenUsed/>
    <w:rsid w:val="00413734"/>
    <w:rPr>
      <w:sz w:val="18"/>
      <w:szCs w:val="18"/>
    </w:rPr>
  </w:style>
  <w:style w:type="character" w:customStyle="1" w:styleId="BalloonTextChar">
    <w:name w:val="Balloon Text Char"/>
    <w:basedOn w:val="DefaultParagraphFont"/>
    <w:link w:val="BalloonText"/>
    <w:uiPriority w:val="99"/>
    <w:semiHidden/>
    <w:rsid w:val="00413734"/>
    <w:rPr>
      <w:rFonts w:ascii="Times New Roman" w:eastAsia="Times New Roman" w:hAnsi="Times New Roman" w:cs="Times New Roman"/>
      <w:sz w:val="18"/>
      <w:szCs w:val="18"/>
      <w:lang w:val="en-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440204">
      <w:bodyDiv w:val="1"/>
      <w:marLeft w:val="0"/>
      <w:marRight w:val="0"/>
      <w:marTop w:val="0"/>
      <w:marBottom w:val="0"/>
      <w:divBdr>
        <w:top w:val="none" w:sz="0" w:space="0" w:color="auto"/>
        <w:left w:val="none" w:sz="0" w:space="0" w:color="auto"/>
        <w:bottom w:val="none" w:sz="0" w:space="0" w:color="auto"/>
        <w:right w:val="none" w:sz="0" w:space="0" w:color="auto"/>
      </w:divBdr>
    </w:div>
    <w:div w:id="689259331">
      <w:bodyDiv w:val="1"/>
      <w:marLeft w:val="0"/>
      <w:marRight w:val="0"/>
      <w:marTop w:val="0"/>
      <w:marBottom w:val="0"/>
      <w:divBdr>
        <w:top w:val="none" w:sz="0" w:space="0" w:color="auto"/>
        <w:left w:val="none" w:sz="0" w:space="0" w:color="auto"/>
        <w:bottom w:val="none" w:sz="0" w:space="0" w:color="auto"/>
        <w:right w:val="none" w:sz="0" w:space="0" w:color="auto"/>
      </w:divBdr>
    </w:div>
    <w:div w:id="813908410">
      <w:bodyDiv w:val="1"/>
      <w:marLeft w:val="0"/>
      <w:marRight w:val="0"/>
      <w:marTop w:val="0"/>
      <w:marBottom w:val="0"/>
      <w:divBdr>
        <w:top w:val="none" w:sz="0" w:space="0" w:color="auto"/>
        <w:left w:val="none" w:sz="0" w:space="0" w:color="auto"/>
        <w:bottom w:val="none" w:sz="0" w:space="0" w:color="auto"/>
        <w:right w:val="none" w:sz="0" w:space="0" w:color="auto"/>
      </w:divBdr>
    </w:div>
    <w:div w:id="910502358">
      <w:bodyDiv w:val="1"/>
      <w:marLeft w:val="0"/>
      <w:marRight w:val="0"/>
      <w:marTop w:val="0"/>
      <w:marBottom w:val="0"/>
      <w:divBdr>
        <w:top w:val="none" w:sz="0" w:space="0" w:color="auto"/>
        <w:left w:val="none" w:sz="0" w:space="0" w:color="auto"/>
        <w:bottom w:val="none" w:sz="0" w:space="0" w:color="auto"/>
        <w:right w:val="none" w:sz="0" w:space="0" w:color="auto"/>
      </w:divBdr>
    </w:div>
    <w:div w:id="1000885212">
      <w:bodyDiv w:val="1"/>
      <w:marLeft w:val="0"/>
      <w:marRight w:val="0"/>
      <w:marTop w:val="0"/>
      <w:marBottom w:val="0"/>
      <w:divBdr>
        <w:top w:val="none" w:sz="0" w:space="0" w:color="auto"/>
        <w:left w:val="none" w:sz="0" w:space="0" w:color="auto"/>
        <w:bottom w:val="none" w:sz="0" w:space="0" w:color="auto"/>
        <w:right w:val="none" w:sz="0" w:space="0" w:color="auto"/>
      </w:divBdr>
    </w:div>
    <w:div w:id="1229074392">
      <w:bodyDiv w:val="1"/>
      <w:marLeft w:val="0"/>
      <w:marRight w:val="0"/>
      <w:marTop w:val="0"/>
      <w:marBottom w:val="0"/>
      <w:divBdr>
        <w:top w:val="none" w:sz="0" w:space="0" w:color="auto"/>
        <w:left w:val="none" w:sz="0" w:space="0" w:color="auto"/>
        <w:bottom w:val="none" w:sz="0" w:space="0" w:color="auto"/>
        <w:right w:val="none" w:sz="0" w:space="0" w:color="auto"/>
      </w:divBdr>
    </w:div>
    <w:div w:id="1500731433">
      <w:bodyDiv w:val="1"/>
      <w:marLeft w:val="0"/>
      <w:marRight w:val="0"/>
      <w:marTop w:val="0"/>
      <w:marBottom w:val="0"/>
      <w:divBdr>
        <w:top w:val="none" w:sz="0" w:space="0" w:color="auto"/>
        <w:left w:val="none" w:sz="0" w:space="0" w:color="auto"/>
        <w:bottom w:val="none" w:sz="0" w:space="0" w:color="auto"/>
        <w:right w:val="none" w:sz="0" w:space="0" w:color="auto"/>
      </w:divBdr>
    </w:div>
    <w:div w:id="1573155351">
      <w:bodyDiv w:val="1"/>
      <w:marLeft w:val="0"/>
      <w:marRight w:val="0"/>
      <w:marTop w:val="0"/>
      <w:marBottom w:val="0"/>
      <w:divBdr>
        <w:top w:val="none" w:sz="0" w:space="0" w:color="auto"/>
        <w:left w:val="none" w:sz="0" w:space="0" w:color="auto"/>
        <w:bottom w:val="none" w:sz="0" w:space="0" w:color="auto"/>
        <w:right w:val="none" w:sz="0" w:space="0" w:color="auto"/>
      </w:divBdr>
    </w:div>
    <w:div w:id="1627076814">
      <w:bodyDiv w:val="1"/>
      <w:marLeft w:val="0"/>
      <w:marRight w:val="0"/>
      <w:marTop w:val="0"/>
      <w:marBottom w:val="0"/>
      <w:divBdr>
        <w:top w:val="none" w:sz="0" w:space="0" w:color="auto"/>
        <w:left w:val="none" w:sz="0" w:space="0" w:color="auto"/>
        <w:bottom w:val="none" w:sz="0" w:space="0" w:color="auto"/>
        <w:right w:val="none" w:sz="0" w:space="0" w:color="auto"/>
      </w:divBdr>
    </w:div>
    <w:div w:id="19959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Rubens Kuhl</cp:lastModifiedBy>
  <cp:revision>3</cp:revision>
  <dcterms:created xsi:type="dcterms:W3CDTF">2020-07-10T18:21:00Z</dcterms:created>
  <dcterms:modified xsi:type="dcterms:W3CDTF">2020-07-10T18:46:00Z</dcterms:modified>
</cp:coreProperties>
</file>