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582463" w14:textId="420BDFB4" w:rsidR="009D04F7" w:rsidRDefault="009D04F7">
      <w:r>
        <w:t xml:space="preserve">Your </w:t>
      </w:r>
      <w:r w:rsidR="00C639AA">
        <w:t>name</w:t>
      </w:r>
      <w:r>
        <w:t xml:space="preserve">: </w:t>
      </w:r>
      <w:r w:rsidR="001A5EF8">
        <w:t xml:space="preserve">Kathy Kleiman </w:t>
      </w:r>
    </w:p>
    <w:p w14:paraId="7E7AAADE" w14:textId="77777777" w:rsidR="009D04F7" w:rsidRDefault="009D04F7"/>
    <w:tbl>
      <w:tblPr>
        <w:tblStyle w:val="TableGrid"/>
        <w:tblW w:w="14580" w:type="dxa"/>
        <w:tblInd w:w="-725" w:type="dxa"/>
        <w:tblLook w:val="04A0" w:firstRow="1" w:lastRow="0" w:firstColumn="1" w:lastColumn="0" w:noHBand="0" w:noVBand="1"/>
      </w:tblPr>
      <w:tblGrid>
        <w:gridCol w:w="1080"/>
        <w:gridCol w:w="2520"/>
        <w:gridCol w:w="1260"/>
        <w:gridCol w:w="4860"/>
        <w:gridCol w:w="4860"/>
      </w:tblGrid>
      <w:tr w:rsidR="000D421E" w14:paraId="2DFB18A8" w14:textId="77777777" w:rsidTr="000D421E">
        <w:trPr>
          <w:trHeight w:val="332"/>
        </w:trPr>
        <w:tc>
          <w:tcPr>
            <w:tcW w:w="1080" w:type="dxa"/>
            <w:shd w:val="clear" w:color="auto" w:fill="E7E6E6" w:themeFill="background2"/>
          </w:tcPr>
          <w:p w14:paraId="7FE0EC21" w14:textId="27379A6F" w:rsidR="000D421E" w:rsidRPr="009D04F7" w:rsidRDefault="000D421E">
            <w:pPr>
              <w:rPr>
                <w:b/>
                <w:bCs/>
              </w:rPr>
            </w:pPr>
            <w:r>
              <w:rPr>
                <w:b/>
                <w:bCs/>
              </w:rPr>
              <w:t>Issue</w:t>
            </w:r>
          </w:p>
        </w:tc>
        <w:tc>
          <w:tcPr>
            <w:tcW w:w="2520" w:type="dxa"/>
            <w:shd w:val="clear" w:color="auto" w:fill="E7E6E6" w:themeFill="background2"/>
          </w:tcPr>
          <w:p w14:paraId="1456978A" w14:textId="67D6483D" w:rsidR="000D421E" w:rsidRPr="009D04F7" w:rsidRDefault="000D421E">
            <w:pPr>
              <w:rPr>
                <w:b/>
                <w:bCs/>
              </w:rPr>
            </w:pPr>
            <w:r>
              <w:rPr>
                <w:b/>
                <w:bCs/>
              </w:rPr>
              <w:t>Applicable text (please quote directly)</w:t>
            </w:r>
          </w:p>
        </w:tc>
        <w:tc>
          <w:tcPr>
            <w:tcW w:w="1260" w:type="dxa"/>
            <w:shd w:val="clear" w:color="auto" w:fill="E7E6E6" w:themeFill="background2"/>
          </w:tcPr>
          <w:p w14:paraId="66BBA0F6" w14:textId="11EA8A7B" w:rsidR="000D421E" w:rsidRPr="009D04F7" w:rsidRDefault="00F07ECE">
            <w:pPr>
              <w:rPr>
                <w:b/>
                <w:bCs/>
              </w:rPr>
            </w:pPr>
            <w:r>
              <w:rPr>
                <w:b/>
                <w:bCs/>
              </w:rPr>
              <w:t>Number and n</w:t>
            </w:r>
            <w:r w:rsidR="00970EBD">
              <w:rPr>
                <w:b/>
                <w:bCs/>
              </w:rPr>
              <w:t>ame of applicable report section</w:t>
            </w:r>
          </w:p>
        </w:tc>
        <w:tc>
          <w:tcPr>
            <w:tcW w:w="4860" w:type="dxa"/>
            <w:shd w:val="clear" w:color="auto" w:fill="E7E6E6" w:themeFill="background2"/>
          </w:tcPr>
          <w:p w14:paraId="59003FD4" w14:textId="26BAC8F2" w:rsidR="000D421E" w:rsidRPr="009D04F7" w:rsidRDefault="000D421E">
            <w:pPr>
              <w:rPr>
                <w:b/>
                <w:bCs/>
              </w:rPr>
            </w:pPr>
            <w:r w:rsidRPr="009D04F7">
              <w:rPr>
                <w:b/>
                <w:bCs/>
              </w:rPr>
              <w:t>Cannot live with rationale</w:t>
            </w:r>
          </w:p>
        </w:tc>
        <w:tc>
          <w:tcPr>
            <w:tcW w:w="4860" w:type="dxa"/>
            <w:shd w:val="clear" w:color="auto" w:fill="E7E6E6" w:themeFill="background2"/>
          </w:tcPr>
          <w:p w14:paraId="799D98C8" w14:textId="6E9DC6F1" w:rsidR="000D421E" w:rsidRPr="009D04F7" w:rsidRDefault="000D421E">
            <w:pPr>
              <w:rPr>
                <w:b/>
                <w:bCs/>
              </w:rPr>
            </w:pPr>
            <w:r w:rsidRPr="009D04F7">
              <w:rPr>
                <w:b/>
                <w:bCs/>
              </w:rPr>
              <w:t>Proposed changes</w:t>
            </w:r>
            <w:r>
              <w:rPr>
                <w:b/>
                <w:bCs/>
              </w:rPr>
              <w:t xml:space="preserve"> (taking into account whether others would be able to live with </w:t>
            </w:r>
            <w:r w:rsidR="00336B8B">
              <w:rPr>
                <w:b/>
                <w:bCs/>
              </w:rPr>
              <w:t>them</w:t>
            </w:r>
            <w:r>
              <w:rPr>
                <w:b/>
                <w:bCs/>
              </w:rPr>
              <w:t>)</w:t>
            </w:r>
          </w:p>
        </w:tc>
      </w:tr>
      <w:tr w:rsidR="000D421E" w14:paraId="079FFA20" w14:textId="77777777" w:rsidTr="000D421E">
        <w:tc>
          <w:tcPr>
            <w:tcW w:w="1080" w:type="dxa"/>
          </w:tcPr>
          <w:p w14:paraId="21AB5E62" w14:textId="77777777" w:rsidR="000D421E" w:rsidRDefault="000D421E" w:rsidP="006D0418">
            <w:pPr>
              <w:pStyle w:val="ListParagraph"/>
              <w:numPr>
                <w:ilvl w:val="0"/>
                <w:numId w:val="1"/>
              </w:numPr>
            </w:pPr>
          </w:p>
        </w:tc>
        <w:tc>
          <w:tcPr>
            <w:tcW w:w="2520" w:type="dxa"/>
          </w:tcPr>
          <w:p w14:paraId="14EDC35E" w14:textId="22DEE5D0" w:rsidR="000D421E" w:rsidRDefault="007619C6">
            <w:r>
              <w:rPr>
                <w:rFonts w:ascii="Arial" w:hAnsi="Arial" w:cs="Arial"/>
                <w:color w:val="000000"/>
                <w:sz w:val="22"/>
                <w:szCs w:val="22"/>
              </w:rPr>
              <w:t>Namely, if communications and outreach efforts are effective prior to the point at which the window opens, prospective applicants will be prepared to apply and will therefore need less time to actually submit the application.</w:t>
            </w:r>
          </w:p>
        </w:tc>
        <w:tc>
          <w:tcPr>
            <w:tcW w:w="1260" w:type="dxa"/>
          </w:tcPr>
          <w:p w14:paraId="6F343617" w14:textId="5D20F2B3" w:rsidR="000D421E" w:rsidRDefault="007619C6">
            <w:r>
              <w:t xml:space="preserve"> Page 14, b, first paragraph</w:t>
            </w:r>
          </w:p>
        </w:tc>
        <w:tc>
          <w:tcPr>
            <w:tcW w:w="4860" w:type="dxa"/>
          </w:tcPr>
          <w:p w14:paraId="006CBAEE" w14:textId="2E4551C4" w:rsidR="000D421E" w:rsidRDefault="007619C6">
            <w:r>
              <w:t xml:space="preserve">It’s unclear in current text who should be </w:t>
            </w:r>
            <w:proofErr w:type="spellStart"/>
            <w:r>
              <w:t>reponsivle</w:t>
            </w:r>
            <w:proofErr w:type="spellEnd"/>
            <w:r>
              <w:t xml:space="preserve"> for the communications and outreach efforts.  Since </w:t>
            </w:r>
            <w:proofErr w:type="gramStart"/>
            <w:r>
              <w:t>it’s</w:t>
            </w:r>
            <w:proofErr w:type="gramEnd"/>
            <w:r>
              <w:t xml:space="preserve"> ICANN, we should make that quite clear. </w:t>
            </w:r>
            <w:r w:rsidR="009E5FD0">
              <w:t xml:space="preserve">It’s ICANN’s outreach into communities around the world, including the Global </w:t>
            </w:r>
            <w:proofErr w:type="gramStart"/>
            <w:r w:rsidR="009E5FD0">
              <w:t>South, that</w:t>
            </w:r>
            <w:proofErr w:type="gramEnd"/>
            <w:r w:rsidR="009E5FD0">
              <w:t xml:space="preserve"> will help to generate the diversity of applications we are seeking.</w:t>
            </w:r>
          </w:p>
        </w:tc>
        <w:tc>
          <w:tcPr>
            <w:tcW w:w="4860" w:type="dxa"/>
          </w:tcPr>
          <w:p w14:paraId="664BDE67" w14:textId="0C1CF0F8" w:rsidR="000D421E" w:rsidRDefault="007619C6">
            <w:r>
              <w:rPr>
                <w:rFonts w:ascii="Arial" w:hAnsi="Arial" w:cs="Arial"/>
                <w:color w:val="000000"/>
                <w:sz w:val="22"/>
                <w:szCs w:val="22"/>
              </w:rPr>
              <w:t xml:space="preserve">Namely, if </w:t>
            </w:r>
            <w:r>
              <w:rPr>
                <w:rFonts w:ascii="Arial" w:hAnsi="Arial" w:cs="Arial"/>
                <w:b/>
                <w:color w:val="000000"/>
                <w:sz w:val="22"/>
                <w:szCs w:val="22"/>
              </w:rPr>
              <w:t xml:space="preserve">ICANN’s </w:t>
            </w:r>
            <w:r>
              <w:rPr>
                <w:rFonts w:ascii="Arial" w:hAnsi="Arial" w:cs="Arial"/>
                <w:color w:val="000000"/>
                <w:sz w:val="22"/>
                <w:szCs w:val="22"/>
              </w:rPr>
              <w:t xml:space="preserve">communications and outreach efforts are effective prior to the point at which the window opens, prospective applicants will be prepared to apply and will therefore need less time to actually submit the </w:t>
            </w:r>
            <w:r w:rsidR="00585DBA">
              <w:rPr>
                <w:rFonts w:ascii="Arial" w:hAnsi="Arial" w:cs="Arial"/>
                <w:color w:val="000000"/>
                <w:sz w:val="22"/>
                <w:szCs w:val="22"/>
              </w:rPr>
              <w:t>[</w:t>
            </w:r>
            <w:r>
              <w:rPr>
                <w:rFonts w:ascii="Arial" w:hAnsi="Arial" w:cs="Arial"/>
                <w:color w:val="000000"/>
                <w:sz w:val="22"/>
                <w:szCs w:val="22"/>
              </w:rPr>
              <w:t>application.</w:t>
            </w:r>
          </w:p>
        </w:tc>
      </w:tr>
      <w:tr w:rsidR="000D421E" w14:paraId="26201D1C" w14:textId="77777777" w:rsidTr="000D421E">
        <w:tc>
          <w:tcPr>
            <w:tcW w:w="1080" w:type="dxa"/>
          </w:tcPr>
          <w:p w14:paraId="1E78E9F8" w14:textId="77777777" w:rsidR="000D421E" w:rsidRDefault="000D421E" w:rsidP="006D0418">
            <w:pPr>
              <w:pStyle w:val="ListParagraph"/>
              <w:numPr>
                <w:ilvl w:val="0"/>
                <w:numId w:val="1"/>
              </w:numPr>
            </w:pPr>
          </w:p>
        </w:tc>
        <w:tc>
          <w:tcPr>
            <w:tcW w:w="2520" w:type="dxa"/>
          </w:tcPr>
          <w:p w14:paraId="1F4B615D" w14:textId="26F8D770" w:rsidR="000D421E" w:rsidRDefault="00B30E27" w:rsidP="00B30E27">
            <w:pPr>
              <w:pStyle w:val="NormalWeb"/>
              <w:spacing w:before="0" w:beforeAutospacing="0" w:after="0" w:afterAutospacing="0"/>
            </w:pPr>
            <w:r>
              <w:rPr>
                <w:rFonts w:ascii="Arial" w:hAnsi="Arial" w:cs="Arial"/>
                <w:color w:val="000000"/>
                <w:sz w:val="22"/>
                <w:szCs w:val="22"/>
                <w:u w:val="single"/>
              </w:rPr>
              <w:t xml:space="preserve">Implementation </w:t>
            </w:r>
            <w:r w:rsidR="005A3CE3">
              <w:rPr>
                <w:rFonts w:ascii="Arial" w:hAnsi="Arial" w:cs="Arial"/>
                <w:color w:val="000000"/>
                <w:sz w:val="22"/>
                <w:szCs w:val="22"/>
                <w:u w:val="single"/>
              </w:rPr>
              <w:t>Guidance xx (rationale 1):</w:t>
            </w:r>
            <w:r w:rsidR="005A3CE3">
              <w:rPr>
                <w:rFonts w:ascii="Arial" w:hAnsi="Arial" w:cs="Arial"/>
                <w:color w:val="000000"/>
                <w:sz w:val="22"/>
                <w:szCs w:val="22"/>
              </w:rPr>
              <w:t xml:space="preserve"> Fees for the technical and operational evaluation for the core registry services should be charged to an applicant if they are using a registry service provider that is not pre-evaluated (“Technical Evaluation Fee”). The Technical Evaluation Fee should be the </w:t>
            </w:r>
            <w:r w:rsidR="005A3CE3">
              <w:rPr>
                <w:rFonts w:ascii="Arial" w:hAnsi="Arial" w:cs="Arial"/>
                <w:color w:val="000000"/>
                <w:sz w:val="22"/>
                <w:szCs w:val="22"/>
              </w:rPr>
              <w:lastRenderedPageBreak/>
              <w:t>same regardless of whether the evaluation occurs as part of the Pre-Evaluation Process or as part of the application process. For example, if the Technical Evaluation Fee portion of the overall Application Fee is $US25</w:t>
            </w:r>
            <w:proofErr w:type="gramStart"/>
            <w:r w:rsidR="005A3CE3">
              <w:rPr>
                <w:rFonts w:ascii="Arial" w:hAnsi="Arial" w:cs="Arial"/>
                <w:color w:val="000000"/>
                <w:sz w:val="22"/>
                <w:szCs w:val="22"/>
              </w:rPr>
              <w:t>,000</w:t>
            </w:r>
            <w:proofErr w:type="gramEnd"/>
            <w:r w:rsidR="005A3CE3">
              <w:rPr>
                <w:rFonts w:ascii="Arial" w:hAnsi="Arial" w:cs="Arial"/>
                <w:color w:val="000000"/>
                <w:sz w:val="22"/>
                <w:szCs w:val="22"/>
              </w:rPr>
              <w:t>, that portion of the Application Fee should only be charged to those applicants that do not select a pre-evaluated registry service provider. </w:t>
            </w:r>
          </w:p>
        </w:tc>
        <w:tc>
          <w:tcPr>
            <w:tcW w:w="1260" w:type="dxa"/>
          </w:tcPr>
          <w:p w14:paraId="0654562B" w14:textId="77777777" w:rsidR="000D421E" w:rsidRDefault="000D421E"/>
        </w:tc>
        <w:tc>
          <w:tcPr>
            <w:tcW w:w="4860" w:type="dxa"/>
          </w:tcPr>
          <w:p w14:paraId="29E2E80E" w14:textId="410C0CD0" w:rsidR="000D421E" w:rsidRDefault="000D421E"/>
        </w:tc>
        <w:tc>
          <w:tcPr>
            <w:tcW w:w="4860" w:type="dxa"/>
          </w:tcPr>
          <w:p w14:paraId="65E1378C" w14:textId="5F730285" w:rsidR="00585DBA" w:rsidRDefault="00585DBA" w:rsidP="00585DBA">
            <w:pPr>
              <w:pStyle w:val="NormalWeb"/>
              <w:spacing w:before="0" w:beforeAutospacing="0" w:after="0" w:afterAutospacing="0"/>
            </w:pPr>
            <w:r>
              <w:rPr>
                <w:rFonts w:ascii="Arial" w:hAnsi="Arial" w:cs="Arial"/>
                <w:color w:val="000000"/>
                <w:sz w:val="22"/>
                <w:szCs w:val="22"/>
              </w:rPr>
              <w:t>For example, if the Technical Evaluation Fee portion of the overall Application Fee is $US25</w:t>
            </w:r>
            <w:proofErr w:type="gramStart"/>
            <w:r>
              <w:rPr>
                <w:rFonts w:ascii="Arial" w:hAnsi="Arial" w:cs="Arial"/>
                <w:color w:val="000000"/>
                <w:sz w:val="22"/>
                <w:szCs w:val="22"/>
              </w:rPr>
              <w:t>,000</w:t>
            </w:r>
            <w:proofErr w:type="gramEnd"/>
            <w:r>
              <w:rPr>
                <w:rFonts w:ascii="Arial" w:hAnsi="Arial" w:cs="Arial"/>
                <w:color w:val="000000"/>
                <w:sz w:val="22"/>
                <w:szCs w:val="22"/>
              </w:rPr>
              <w:t>, that portion of the Application Fee should only be charged to those applicants that do not select a pre-evaluated registry service provider</w:t>
            </w:r>
            <w:r>
              <w:rPr>
                <w:rFonts w:ascii="Arial" w:hAnsi="Arial" w:cs="Arial"/>
                <w:color w:val="000000"/>
                <w:sz w:val="22"/>
                <w:szCs w:val="22"/>
              </w:rPr>
              <w:t xml:space="preserve"> </w:t>
            </w:r>
            <w:r>
              <w:rPr>
                <w:rFonts w:ascii="Arial" w:hAnsi="Arial" w:cs="Arial"/>
                <w:b/>
                <w:color w:val="000000"/>
                <w:sz w:val="22"/>
                <w:szCs w:val="22"/>
              </w:rPr>
              <w:t xml:space="preserve">(which has not been removed from the </w:t>
            </w:r>
            <w:r w:rsidR="00B30E27">
              <w:rPr>
                <w:rFonts w:ascii="Arial" w:hAnsi="Arial" w:cs="Arial"/>
                <w:b/>
                <w:color w:val="000000"/>
                <w:sz w:val="22"/>
                <w:szCs w:val="22"/>
              </w:rPr>
              <w:t xml:space="preserve">pre-evaluated registry acceptance list and </w:t>
            </w:r>
            <w:r>
              <w:rPr>
                <w:rFonts w:ascii="Arial" w:hAnsi="Arial" w:cs="Arial"/>
                <w:b/>
                <w:color w:val="000000"/>
                <w:sz w:val="22"/>
                <w:szCs w:val="22"/>
              </w:rPr>
              <w:t>does not have major incident reports pending against it).</w:t>
            </w:r>
            <w:bookmarkStart w:id="0" w:name="_GoBack"/>
            <w:bookmarkEnd w:id="0"/>
          </w:p>
          <w:p w14:paraId="00ED2E91" w14:textId="77777777" w:rsidR="000D421E" w:rsidRDefault="000D421E"/>
        </w:tc>
      </w:tr>
      <w:tr w:rsidR="000D421E" w14:paraId="1FA85D02" w14:textId="77777777" w:rsidTr="000D421E">
        <w:tc>
          <w:tcPr>
            <w:tcW w:w="1080" w:type="dxa"/>
          </w:tcPr>
          <w:p w14:paraId="6DAE0DEE" w14:textId="77777777" w:rsidR="000D421E" w:rsidRDefault="000D421E" w:rsidP="006D0418">
            <w:pPr>
              <w:pStyle w:val="ListParagraph"/>
              <w:numPr>
                <w:ilvl w:val="0"/>
                <w:numId w:val="1"/>
              </w:numPr>
            </w:pPr>
          </w:p>
        </w:tc>
        <w:tc>
          <w:tcPr>
            <w:tcW w:w="2520" w:type="dxa"/>
          </w:tcPr>
          <w:p w14:paraId="39098A00" w14:textId="34796B17" w:rsidR="000D421E" w:rsidRDefault="00CA1356">
            <w:r>
              <w:t>Allow autofill in applications for all questions but Questions 16, 18(a), 18(b), 19, 20, 21, 22, and 23 (but only if additional services are specified)</w:t>
            </w:r>
          </w:p>
        </w:tc>
        <w:tc>
          <w:tcPr>
            <w:tcW w:w="1260" w:type="dxa"/>
          </w:tcPr>
          <w:p w14:paraId="2B950626" w14:textId="43BF36BC" w:rsidR="000D421E" w:rsidRDefault="00CA1356">
            <w:r>
              <w:t>2.4.3. – p. 7 – 5</w:t>
            </w:r>
            <w:r>
              <w:rPr>
                <w:vertAlign w:val="superscript"/>
              </w:rPr>
              <w:t>th</w:t>
            </w:r>
            <w:r>
              <w:t xml:space="preserve"> bullet point</w:t>
            </w:r>
          </w:p>
        </w:tc>
        <w:tc>
          <w:tcPr>
            <w:tcW w:w="4860" w:type="dxa"/>
          </w:tcPr>
          <w:p w14:paraId="7B6944C1" w14:textId="28040675" w:rsidR="000D421E" w:rsidRDefault="00CA1356" w:rsidP="00CA1356">
            <w:r>
              <w:t xml:space="preserve">Applicants should not automatically autofill all pre-approved services at the time of application and wait until after application to specify additional services.  </w:t>
            </w:r>
            <w:r>
              <w:t xml:space="preserve">These fields, and their differentiation, is critical for public review.  </w:t>
            </w:r>
            <w:r>
              <w:t>Plus this was the agreement after extensive discussion.</w:t>
            </w:r>
          </w:p>
          <w:p w14:paraId="0B5E535E" w14:textId="77777777" w:rsidR="00CA1356" w:rsidRDefault="00CA1356" w:rsidP="00CA1356"/>
          <w:p w14:paraId="3DFFE446" w14:textId="50866858" w:rsidR="00CA1356" w:rsidRDefault="00CA1356" w:rsidP="00CA1356">
            <w:r>
              <w:t xml:space="preserve">Also the “but” is slightly ambiguous in this context. </w:t>
            </w:r>
          </w:p>
        </w:tc>
        <w:tc>
          <w:tcPr>
            <w:tcW w:w="4860" w:type="dxa"/>
          </w:tcPr>
          <w:p w14:paraId="4828825D" w14:textId="5FBC478C" w:rsidR="00CA1356" w:rsidRDefault="00CA1356">
            <w:pPr>
              <w:rPr>
                <w:b/>
              </w:rPr>
            </w:pPr>
            <w:r>
              <w:t xml:space="preserve">Allow autofill in applications for all questions </w:t>
            </w:r>
            <w:r>
              <w:rPr>
                <w:b/>
              </w:rPr>
              <w:t>except</w:t>
            </w:r>
            <w:r>
              <w:t xml:space="preserve"> Questions 16, 18(a), 18(b), 19, 20, 21, 22, and 23 </w:t>
            </w:r>
            <w:r>
              <w:rPr>
                <w:b/>
              </w:rPr>
              <w:t>which must each be individually filled out.</w:t>
            </w:r>
          </w:p>
          <w:p w14:paraId="7ACBAAD0" w14:textId="77777777" w:rsidR="00CA1356" w:rsidRDefault="00CA1356">
            <w:pPr>
              <w:rPr>
                <w:b/>
              </w:rPr>
            </w:pPr>
          </w:p>
          <w:p w14:paraId="1CE5317D" w14:textId="51DF9A86" w:rsidR="000D421E" w:rsidRDefault="00CA1356">
            <w:r>
              <w:rPr>
                <w:b/>
              </w:rPr>
              <w:t>Delete: “</w:t>
            </w:r>
            <w:r>
              <w:t>(but only if additional services are specified)</w:t>
            </w:r>
            <w:r>
              <w:t>”</w:t>
            </w:r>
          </w:p>
        </w:tc>
      </w:tr>
      <w:tr w:rsidR="000D421E" w14:paraId="5059611E" w14:textId="77777777" w:rsidTr="000D421E">
        <w:tc>
          <w:tcPr>
            <w:tcW w:w="1080" w:type="dxa"/>
          </w:tcPr>
          <w:p w14:paraId="01FE68CA" w14:textId="551DFEFA" w:rsidR="000D421E" w:rsidRDefault="000D421E" w:rsidP="006D0418">
            <w:pPr>
              <w:pStyle w:val="ListParagraph"/>
              <w:numPr>
                <w:ilvl w:val="0"/>
                <w:numId w:val="1"/>
              </w:numPr>
            </w:pPr>
          </w:p>
        </w:tc>
        <w:tc>
          <w:tcPr>
            <w:tcW w:w="2520" w:type="dxa"/>
          </w:tcPr>
          <w:p w14:paraId="1904CBFA" w14:textId="49594D7C" w:rsidR="000D421E" w:rsidRDefault="000D421E"/>
        </w:tc>
        <w:tc>
          <w:tcPr>
            <w:tcW w:w="1260" w:type="dxa"/>
          </w:tcPr>
          <w:p w14:paraId="648CF34F" w14:textId="77777777" w:rsidR="000D421E" w:rsidRDefault="000D421E"/>
        </w:tc>
        <w:tc>
          <w:tcPr>
            <w:tcW w:w="4860" w:type="dxa"/>
          </w:tcPr>
          <w:p w14:paraId="6811FCC6" w14:textId="0F199C46" w:rsidR="000D421E" w:rsidRDefault="000D421E"/>
        </w:tc>
        <w:tc>
          <w:tcPr>
            <w:tcW w:w="4860" w:type="dxa"/>
          </w:tcPr>
          <w:p w14:paraId="151B38A9" w14:textId="77777777" w:rsidR="000D421E" w:rsidRDefault="000D421E"/>
        </w:tc>
      </w:tr>
      <w:tr w:rsidR="000D421E" w14:paraId="28AFB8FA" w14:textId="77777777" w:rsidTr="000D421E">
        <w:tc>
          <w:tcPr>
            <w:tcW w:w="1080" w:type="dxa"/>
          </w:tcPr>
          <w:p w14:paraId="55F0ABCB" w14:textId="77777777" w:rsidR="000D421E" w:rsidRDefault="000D421E" w:rsidP="006D0418">
            <w:pPr>
              <w:pStyle w:val="ListParagraph"/>
              <w:numPr>
                <w:ilvl w:val="0"/>
                <w:numId w:val="1"/>
              </w:numPr>
            </w:pPr>
          </w:p>
        </w:tc>
        <w:tc>
          <w:tcPr>
            <w:tcW w:w="2520" w:type="dxa"/>
          </w:tcPr>
          <w:p w14:paraId="0FEF9ECF" w14:textId="1806BF96" w:rsidR="000D421E" w:rsidRDefault="000D421E"/>
        </w:tc>
        <w:tc>
          <w:tcPr>
            <w:tcW w:w="1260" w:type="dxa"/>
          </w:tcPr>
          <w:p w14:paraId="6CDAF456" w14:textId="77777777" w:rsidR="000D421E" w:rsidRDefault="000D421E"/>
        </w:tc>
        <w:tc>
          <w:tcPr>
            <w:tcW w:w="4860" w:type="dxa"/>
          </w:tcPr>
          <w:p w14:paraId="76AC15AE" w14:textId="0E5EFB4A" w:rsidR="000D421E" w:rsidRDefault="000D421E"/>
        </w:tc>
        <w:tc>
          <w:tcPr>
            <w:tcW w:w="4860" w:type="dxa"/>
          </w:tcPr>
          <w:p w14:paraId="42C8B40A" w14:textId="77777777" w:rsidR="000D421E" w:rsidRDefault="000D421E"/>
        </w:tc>
      </w:tr>
      <w:tr w:rsidR="000D421E" w14:paraId="4CADDBB7" w14:textId="77777777" w:rsidTr="000D421E">
        <w:tc>
          <w:tcPr>
            <w:tcW w:w="1080" w:type="dxa"/>
          </w:tcPr>
          <w:p w14:paraId="25826C9A" w14:textId="77777777" w:rsidR="000D421E" w:rsidRDefault="000D421E" w:rsidP="006D0418">
            <w:pPr>
              <w:pStyle w:val="ListParagraph"/>
              <w:numPr>
                <w:ilvl w:val="0"/>
                <w:numId w:val="1"/>
              </w:numPr>
            </w:pPr>
          </w:p>
        </w:tc>
        <w:tc>
          <w:tcPr>
            <w:tcW w:w="2520" w:type="dxa"/>
          </w:tcPr>
          <w:p w14:paraId="178D08F8" w14:textId="77777777" w:rsidR="000D421E" w:rsidRDefault="000D421E"/>
        </w:tc>
        <w:tc>
          <w:tcPr>
            <w:tcW w:w="1260" w:type="dxa"/>
          </w:tcPr>
          <w:p w14:paraId="73118B82" w14:textId="77777777" w:rsidR="000D421E" w:rsidRDefault="000D421E"/>
        </w:tc>
        <w:tc>
          <w:tcPr>
            <w:tcW w:w="4860" w:type="dxa"/>
          </w:tcPr>
          <w:p w14:paraId="189DCE57" w14:textId="26DC78C3" w:rsidR="000D421E" w:rsidRDefault="000D421E"/>
        </w:tc>
        <w:tc>
          <w:tcPr>
            <w:tcW w:w="4860" w:type="dxa"/>
          </w:tcPr>
          <w:p w14:paraId="79019494" w14:textId="77777777" w:rsidR="000D421E" w:rsidRDefault="000D421E"/>
        </w:tc>
      </w:tr>
    </w:tbl>
    <w:p w14:paraId="293DC469" w14:textId="77777777" w:rsidR="000B7A30" w:rsidRDefault="000B7A30"/>
    <w:sectPr w:rsidR="000B7A30" w:rsidSect="009D04F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2C0E46"/>
    <w:multiLevelType w:val="hybridMultilevel"/>
    <w:tmpl w:val="97B8E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4F7"/>
    <w:rsid w:val="000B7A30"/>
    <w:rsid w:val="000D421E"/>
    <w:rsid w:val="001A5EF8"/>
    <w:rsid w:val="00246C3B"/>
    <w:rsid w:val="00336B8B"/>
    <w:rsid w:val="0035336D"/>
    <w:rsid w:val="00385D74"/>
    <w:rsid w:val="004B3C4A"/>
    <w:rsid w:val="00585DBA"/>
    <w:rsid w:val="005A3CE3"/>
    <w:rsid w:val="005E720C"/>
    <w:rsid w:val="005F102F"/>
    <w:rsid w:val="006D0418"/>
    <w:rsid w:val="007619C6"/>
    <w:rsid w:val="007F1FED"/>
    <w:rsid w:val="008363A6"/>
    <w:rsid w:val="00970EBD"/>
    <w:rsid w:val="009D04F7"/>
    <w:rsid w:val="009E5FD0"/>
    <w:rsid w:val="009F7957"/>
    <w:rsid w:val="00B30E27"/>
    <w:rsid w:val="00B34569"/>
    <w:rsid w:val="00BE5129"/>
    <w:rsid w:val="00C639AA"/>
    <w:rsid w:val="00CA1356"/>
    <w:rsid w:val="00CD0B02"/>
    <w:rsid w:val="00E53B3D"/>
    <w:rsid w:val="00EF35AF"/>
    <w:rsid w:val="00F07ECE"/>
    <w:rsid w:val="00F10689"/>
    <w:rsid w:val="00F76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F790D"/>
  <w15:chartTrackingRefBased/>
  <w15:docId w15:val="{C73C14C4-F2EC-5F42-88A8-611DDE95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0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418"/>
    <w:pPr>
      <w:ind w:left="720"/>
      <w:contextualSpacing/>
    </w:pPr>
  </w:style>
  <w:style w:type="paragraph" w:styleId="NormalWeb">
    <w:name w:val="Normal (Web)"/>
    <w:basedOn w:val="Normal"/>
    <w:uiPriority w:val="99"/>
    <w:unhideWhenUsed/>
    <w:rsid w:val="005A3CE3"/>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048099">
      <w:bodyDiv w:val="1"/>
      <w:marLeft w:val="0"/>
      <w:marRight w:val="0"/>
      <w:marTop w:val="0"/>
      <w:marBottom w:val="0"/>
      <w:divBdr>
        <w:top w:val="none" w:sz="0" w:space="0" w:color="auto"/>
        <w:left w:val="none" w:sz="0" w:space="0" w:color="auto"/>
        <w:bottom w:val="none" w:sz="0" w:space="0" w:color="auto"/>
        <w:right w:val="none" w:sz="0" w:space="0" w:color="auto"/>
      </w:divBdr>
    </w:div>
    <w:div w:id="1378622449">
      <w:bodyDiv w:val="1"/>
      <w:marLeft w:val="0"/>
      <w:marRight w:val="0"/>
      <w:marTop w:val="0"/>
      <w:marBottom w:val="0"/>
      <w:divBdr>
        <w:top w:val="none" w:sz="0" w:space="0" w:color="auto"/>
        <w:left w:val="none" w:sz="0" w:space="0" w:color="auto"/>
        <w:bottom w:val="none" w:sz="0" w:space="0" w:color="auto"/>
        <w:right w:val="none" w:sz="0" w:space="0" w:color="auto"/>
      </w:divBdr>
    </w:div>
    <w:div w:id="148682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KK</cp:lastModifiedBy>
  <cp:revision>6</cp:revision>
  <dcterms:created xsi:type="dcterms:W3CDTF">2020-04-21T13:42:00Z</dcterms:created>
  <dcterms:modified xsi:type="dcterms:W3CDTF">2020-04-21T14:15:00Z</dcterms:modified>
</cp:coreProperties>
</file>