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5A5BF1A7" w:rsidR="009D04F7" w:rsidRDefault="009D04F7">
      <w:r>
        <w:t xml:space="preserve">Your </w:t>
      </w:r>
      <w:r w:rsidR="00C639AA">
        <w:t>name</w:t>
      </w:r>
      <w:r>
        <w:t xml:space="preserve">: </w:t>
      </w:r>
      <w:r w:rsidR="00EA18A0">
        <w:t xml:space="preserve"> Rubens Kuhl</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39"/>
        <w:gridCol w:w="2451"/>
        <w:gridCol w:w="2185"/>
        <w:gridCol w:w="4485"/>
        <w:gridCol w:w="4420"/>
      </w:tblGrid>
      <w:tr w:rsidR="000D421E" w14:paraId="2DFB18A8" w14:textId="77777777" w:rsidTr="008B3C15">
        <w:trPr>
          <w:trHeight w:val="332"/>
        </w:trPr>
        <w:tc>
          <w:tcPr>
            <w:tcW w:w="1039" w:type="dxa"/>
            <w:shd w:val="clear" w:color="auto" w:fill="E7E6E6" w:themeFill="background2"/>
          </w:tcPr>
          <w:p w14:paraId="7FE0EC21" w14:textId="27379A6F" w:rsidR="000D421E" w:rsidRPr="009D04F7" w:rsidRDefault="000D421E">
            <w:pPr>
              <w:rPr>
                <w:b/>
                <w:bCs/>
              </w:rPr>
            </w:pPr>
            <w:r>
              <w:rPr>
                <w:b/>
                <w:bCs/>
              </w:rPr>
              <w:t>Issue</w:t>
            </w:r>
          </w:p>
        </w:tc>
        <w:tc>
          <w:tcPr>
            <w:tcW w:w="2451"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2185"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485" w:type="dxa"/>
            <w:shd w:val="clear" w:color="auto" w:fill="E7E6E6" w:themeFill="background2"/>
          </w:tcPr>
          <w:p w14:paraId="59003FD4" w14:textId="20F202D7" w:rsidR="000D421E" w:rsidRPr="003B0FC0" w:rsidRDefault="003B0FC0">
            <w:pPr>
              <w:rPr>
                <w:b/>
                <w:bCs/>
                <w:lang w:val="en-US"/>
              </w:rPr>
            </w:pPr>
            <w:r>
              <w:rPr>
                <w:b/>
                <w:bCs/>
                <w:lang w:val="en-US"/>
              </w:rPr>
              <w:t>Final Check</w:t>
            </w:r>
          </w:p>
        </w:tc>
        <w:tc>
          <w:tcPr>
            <w:tcW w:w="442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8B3C15">
        <w:tc>
          <w:tcPr>
            <w:tcW w:w="1039" w:type="dxa"/>
          </w:tcPr>
          <w:p w14:paraId="21AB5E62" w14:textId="77777777" w:rsidR="000D421E" w:rsidRDefault="000D421E" w:rsidP="006D0418">
            <w:pPr>
              <w:pStyle w:val="ListParagraph"/>
              <w:numPr>
                <w:ilvl w:val="0"/>
                <w:numId w:val="1"/>
              </w:numPr>
            </w:pPr>
          </w:p>
        </w:tc>
        <w:tc>
          <w:tcPr>
            <w:tcW w:w="2451" w:type="dxa"/>
          </w:tcPr>
          <w:p w14:paraId="37DBF00B" w14:textId="28290474" w:rsidR="008B3C15" w:rsidRPr="003B0FC0" w:rsidRDefault="003B0FC0" w:rsidP="008B3C15">
            <w:pPr>
              <w:rPr>
                <w:lang w:val="en-US"/>
              </w:rPr>
            </w:pPr>
            <w:r>
              <w:rPr>
                <w:rFonts w:ascii="Arial" w:hAnsi="Arial" w:cs="Arial"/>
                <w:color w:val="000000"/>
                <w:sz w:val="22"/>
                <w:szCs w:val="22"/>
                <w:u w:val="single"/>
                <w:lang w:val="en-US"/>
              </w:rPr>
              <w:t>(none)</w:t>
            </w:r>
          </w:p>
          <w:p w14:paraId="14EDC35E" w14:textId="72CF9C48" w:rsidR="000D421E" w:rsidRDefault="000D421E"/>
        </w:tc>
        <w:tc>
          <w:tcPr>
            <w:tcW w:w="2185" w:type="dxa"/>
          </w:tcPr>
          <w:p w14:paraId="784A3F20" w14:textId="77777777" w:rsidR="000D421E" w:rsidRDefault="008B3C15">
            <w:r>
              <w:t>2.6.1</w:t>
            </w:r>
          </w:p>
          <w:p w14:paraId="7BDDA60B" w14:textId="389DD508" w:rsidR="008B3C15" w:rsidRDefault="003B0FC0" w:rsidP="008B3C15">
            <w:r>
              <w:rPr>
                <w:rFonts w:ascii="Arial" w:hAnsi="Arial" w:cs="Arial"/>
                <w:b/>
                <w:bCs/>
                <w:color w:val="000000"/>
                <w:sz w:val="22"/>
                <w:szCs w:val="22"/>
                <w:lang w:val="en-US"/>
              </w:rPr>
              <w:t>b</w:t>
            </w:r>
            <w:r w:rsidR="008B3C15">
              <w:rPr>
                <w:rFonts w:ascii="Arial" w:hAnsi="Arial" w:cs="Arial"/>
                <w:b/>
                <w:bCs/>
                <w:color w:val="000000"/>
                <w:sz w:val="22"/>
                <w:szCs w:val="22"/>
              </w:rPr>
              <w:t>. Recommendations and/or implementation guidelines</w:t>
            </w:r>
          </w:p>
          <w:p w14:paraId="6F343617" w14:textId="06BF69CB" w:rsidR="008B3C15" w:rsidRDefault="008B3C15"/>
        </w:tc>
        <w:tc>
          <w:tcPr>
            <w:tcW w:w="4485" w:type="dxa"/>
          </w:tcPr>
          <w:p w14:paraId="006CBAEE" w14:textId="46B1DF7C" w:rsidR="000D421E" w:rsidRPr="003B0FC0" w:rsidRDefault="003B0FC0">
            <w:pPr>
              <w:rPr>
                <w:lang w:val="en-US"/>
              </w:rPr>
            </w:pPr>
            <w:r>
              <w:rPr>
                <w:lang w:val="en-US"/>
              </w:rPr>
              <w:t xml:space="preserve">While the recommendation text is correct, the rationale misses comparing it to the 2012 AGB, although being exactly the 2012 Implementation. This more of a completeness addition and it’s not crucial to the report. </w:t>
            </w:r>
          </w:p>
        </w:tc>
        <w:tc>
          <w:tcPr>
            <w:tcW w:w="4420" w:type="dxa"/>
          </w:tcPr>
          <w:p w14:paraId="664BDE67" w14:textId="26348D73" w:rsidR="000D421E" w:rsidRPr="003B0FC0" w:rsidRDefault="003B0FC0">
            <w:pPr>
              <w:rPr>
                <w:lang w:val="en-US"/>
              </w:rPr>
            </w:pPr>
            <w:r>
              <w:rPr>
                <w:rFonts w:ascii="Arial" w:hAnsi="Arial" w:cs="Arial"/>
                <w:color w:val="000000"/>
                <w:sz w:val="22"/>
                <w:szCs w:val="22"/>
                <w:lang w:val="en-US"/>
              </w:rPr>
              <w:t>Adding this text:</w:t>
            </w:r>
            <w:r>
              <w:rPr>
                <w:rFonts w:ascii="Arial" w:hAnsi="Arial" w:cs="Arial"/>
                <w:color w:val="000000"/>
                <w:sz w:val="22"/>
                <w:szCs w:val="22"/>
                <w:lang w:val="en-US"/>
              </w:rPr>
              <w:br/>
            </w:r>
            <w:r>
              <w:rPr>
                <w:lang w:val="en-US"/>
              </w:rPr>
              <w:t>“While the 2012 AGB prescribed batches of 500 applications, ICANN Org noticed during that round that moving through the priority list without splitting the applications into batches was more efficient. The WG affirm</w:t>
            </w:r>
            <w:r w:rsidR="00680106">
              <w:rPr>
                <w:lang w:val="en-US"/>
              </w:rPr>
              <w:t>s</w:t>
            </w:r>
            <w:r>
              <w:rPr>
                <w:lang w:val="en-US"/>
              </w:rPr>
              <w:t xml:space="preserve"> that approach by not recommending batches.”</w:t>
            </w:r>
          </w:p>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F2525"/>
    <w:multiLevelType w:val="multilevel"/>
    <w:tmpl w:val="591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246C3B"/>
    <w:rsid w:val="00336B8B"/>
    <w:rsid w:val="0035336D"/>
    <w:rsid w:val="00385D74"/>
    <w:rsid w:val="003B0FC0"/>
    <w:rsid w:val="00413734"/>
    <w:rsid w:val="004B3C4A"/>
    <w:rsid w:val="005E720C"/>
    <w:rsid w:val="005F102F"/>
    <w:rsid w:val="00680106"/>
    <w:rsid w:val="006D0418"/>
    <w:rsid w:val="007F1FED"/>
    <w:rsid w:val="007F62FF"/>
    <w:rsid w:val="008363A6"/>
    <w:rsid w:val="008B3C15"/>
    <w:rsid w:val="00970EBD"/>
    <w:rsid w:val="009D04F7"/>
    <w:rsid w:val="009F7957"/>
    <w:rsid w:val="00B34569"/>
    <w:rsid w:val="00BE5129"/>
    <w:rsid w:val="00C639AA"/>
    <w:rsid w:val="00CD0B02"/>
    <w:rsid w:val="00E53B3D"/>
    <w:rsid w:val="00EA18A0"/>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15"/>
    <w:rPr>
      <w:rFonts w:ascii="Times New Roman" w:eastAsia="Times New Roman" w:hAnsi="Times New Roman" w:cs="Times New Roman"/>
      <w:lang w:val="en-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rPr>
      <w:rFonts w:asciiTheme="minorHAnsi" w:eastAsiaTheme="minorEastAsia" w:hAnsiTheme="minorHAnsi" w:cstheme="minorBidi"/>
      <w:lang w:val="en-US"/>
    </w:rPr>
  </w:style>
  <w:style w:type="paragraph" w:styleId="NormalWeb">
    <w:name w:val="Normal (Web)"/>
    <w:basedOn w:val="Normal"/>
    <w:uiPriority w:val="99"/>
    <w:semiHidden/>
    <w:unhideWhenUsed/>
    <w:rsid w:val="008B3C15"/>
    <w:pPr>
      <w:spacing w:before="100" w:beforeAutospacing="1" w:after="100" w:afterAutospacing="1"/>
    </w:pPr>
  </w:style>
  <w:style w:type="paragraph" w:styleId="BalloonText">
    <w:name w:val="Balloon Text"/>
    <w:basedOn w:val="Normal"/>
    <w:link w:val="BalloonTextChar"/>
    <w:uiPriority w:val="99"/>
    <w:semiHidden/>
    <w:unhideWhenUsed/>
    <w:rsid w:val="00413734"/>
    <w:rPr>
      <w:sz w:val="18"/>
      <w:szCs w:val="18"/>
    </w:rPr>
  </w:style>
  <w:style w:type="character" w:customStyle="1" w:styleId="BalloonTextChar">
    <w:name w:val="Balloon Text Char"/>
    <w:basedOn w:val="DefaultParagraphFont"/>
    <w:link w:val="BalloonText"/>
    <w:uiPriority w:val="99"/>
    <w:semiHidden/>
    <w:rsid w:val="00413734"/>
    <w:rPr>
      <w:rFonts w:ascii="Times New Roman" w:eastAsia="Times New Roman" w:hAnsi="Times New Roman" w:cs="Times New Roman"/>
      <w:sz w:val="18"/>
      <w:szCs w:val="18"/>
      <w:lang w:val="en-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259331">
      <w:bodyDiv w:val="1"/>
      <w:marLeft w:val="0"/>
      <w:marRight w:val="0"/>
      <w:marTop w:val="0"/>
      <w:marBottom w:val="0"/>
      <w:divBdr>
        <w:top w:val="none" w:sz="0" w:space="0" w:color="auto"/>
        <w:left w:val="none" w:sz="0" w:space="0" w:color="auto"/>
        <w:bottom w:val="none" w:sz="0" w:space="0" w:color="auto"/>
        <w:right w:val="none" w:sz="0" w:space="0" w:color="auto"/>
      </w:divBdr>
    </w:div>
    <w:div w:id="813908410">
      <w:bodyDiv w:val="1"/>
      <w:marLeft w:val="0"/>
      <w:marRight w:val="0"/>
      <w:marTop w:val="0"/>
      <w:marBottom w:val="0"/>
      <w:divBdr>
        <w:top w:val="none" w:sz="0" w:space="0" w:color="auto"/>
        <w:left w:val="none" w:sz="0" w:space="0" w:color="auto"/>
        <w:bottom w:val="none" w:sz="0" w:space="0" w:color="auto"/>
        <w:right w:val="none" w:sz="0" w:space="0" w:color="auto"/>
      </w:divBdr>
    </w:div>
    <w:div w:id="1000885212">
      <w:bodyDiv w:val="1"/>
      <w:marLeft w:val="0"/>
      <w:marRight w:val="0"/>
      <w:marTop w:val="0"/>
      <w:marBottom w:val="0"/>
      <w:divBdr>
        <w:top w:val="none" w:sz="0" w:space="0" w:color="auto"/>
        <w:left w:val="none" w:sz="0" w:space="0" w:color="auto"/>
        <w:bottom w:val="none" w:sz="0" w:space="0" w:color="auto"/>
        <w:right w:val="none" w:sz="0" w:space="0" w:color="auto"/>
      </w:divBdr>
    </w:div>
    <w:div w:id="1500731433">
      <w:bodyDiv w:val="1"/>
      <w:marLeft w:val="0"/>
      <w:marRight w:val="0"/>
      <w:marTop w:val="0"/>
      <w:marBottom w:val="0"/>
      <w:divBdr>
        <w:top w:val="none" w:sz="0" w:space="0" w:color="auto"/>
        <w:left w:val="none" w:sz="0" w:space="0" w:color="auto"/>
        <w:bottom w:val="none" w:sz="0" w:space="0" w:color="auto"/>
        <w:right w:val="none" w:sz="0" w:space="0" w:color="auto"/>
      </w:divBdr>
    </w:div>
    <w:div w:id="19959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Rubens Kuhl</cp:lastModifiedBy>
  <cp:revision>3</cp:revision>
  <dcterms:created xsi:type="dcterms:W3CDTF">2020-07-10T19:18:00Z</dcterms:created>
  <dcterms:modified xsi:type="dcterms:W3CDTF">2020-07-10T19:19:00Z</dcterms:modified>
</cp:coreProperties>
</file>