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The text below is an example implementation of how the PDP WT and/or WG could be implemented. It’s intended to provide clarity and was not discussed during WT4 deliberations. </w:t>
      </w:r>
    </w:p>
    <w:p w:rsidR="00000000" w:rsidDel="00000000" w:rsidP="00000000" w:rsidRDefault="00000000" w:rsidRPr="00000000" w14:paraId="00000001">
      <w:pPr>
        <w:contextualSpacing w:val="0"/>
        <w:rPr/>
      </w:pPr>
      <w:r w:rsidDel="00000000" w:rsidR="00000000" w:rsidRPr="00000000">
        <w:rPr>
          <w:rtl w:val="0"/>
        </w:rPr>
        <w:t xml:space="preserve">Because it’s an imagined AGB excerpt of the evaluation section, it doesn’t go into details of application result sequencing. </w:t>
      </w:r>
    </w:p>
    <w:p w:rsidR="00000000" w:rsidDel="00000000" w:rsidP="00000000" w:rsidRDefault="00000000" w:rsidRPr="00000000" w14:paraId="00000002">
      <w:pPr>
        <w:contextualSpacing w:val="0"/>
        <w:rPr/>
      </w:pPr>
      <w:r w:rsidDel="00000000" w:rsidR="00000000" w:rsidRPr="00000000">
        <w:rPr>
          <w:rtl w:val="0"/>
        </w:rPr>
      </w:r>
    </w:p>
    <w:p w:rsidR="00000000" w:rsidDel="00000000" w:rsidP="00000000" w:rsidRDefault="00000000" w:rsidRPr="00000000" w14:paraId="00000003">
      <w:pPr>
        <w:contextualSpacing w:val="0"/>
        <w:rPr/>
      </w:pPr>
      <w:r w:rsidDel="00000000" w:rsidR="00000000" w:rsidRPr="00000000">
        <w:rPr>
          <w:rtl w:val="0"/>
        </w:rPr>
        <w:t xml:space="preserve">Q23</w:t>
      </w:r>
    </w:p>
    <w:p w:rsidR="00000000" w:rsidDel="00000000" w:rsidP="00000000" w:rsidRDefault="00000000" w:rsidRPr="00000000" w14:paraId="00000004">
      <w:pPr>
        <w:numPr>
          <w:ilvl w:val="0"/>
          <w:numId w:val="1"/>
        </w:numPr>
        <w:ind w:left="720" w:hanging="360"/>
        <w:contextualSpacing w:val="1"/>
        <w:rPr>
          <w:u w:val="none"/>
        </w:rPr>
      </w:pPr>
      <w:r w:rsidDel="00000000" w:rsidR="00000000" w:rsidRPr="00000000">
        <w:rPr>
          <w:rtl w:val="0"/>
        </w:rPr>
        <w:t xml:space="preserve">Please inform whether the proposed registry will implement the base required registry services described at [link]; note that not implementing will cause an automatic fail of initial evaluation.</w:t>
      </w:r>
    </w:p>
    <w:p w:rsidR="00000000" w:rsidDel="00000000" w:rsidP="00000000" w:rsidRDefault="00000000" w:rsidRPr="00000000" w14:paraId="00000005">
      <w:pPr>
        <w:numPr>
          <w:ilvl w:val="1"/>
          <w:numId w:val="1"/>
        </w:numPr>
        <w:ind w:left="1440" w:hanging="360"/>
        <w:contextualSpacing w:val="1"/>
        <w:rPr>
          <w:u w:val="none"/>
        </w:rPr>
      </w:pPr>
      <w:r w:rsidDel="00000000" w:rsidR="00000000" w:rsidRPr="00000000">
        <w:rPr>
          <w:rFonts w:ascii="Arial Unicode MS" w:cs="Arial Unicode MS" w:eastAsia="Arial Unicode MS" w:hAnsi="Arial Unicode MS"/>
          <w:rtl w:val="0"/>
        </w:rPr>
        <w:t xml:space="preserve"> ⃢ YES, using EPP Host Objects for mapping of DNS Servers</w:t>
      </w:r>
    </w:p>
    <w:p w:rsidR="00000000" w:rsidDel="00000000" w:rsidP="00000000" w:rsidRDefault="00000000" w:rsidRPr="00000000" w14:paraId="00000006">
      <w:pPr>
        <w:numPr>
          <w:ilvl w:val="1"/>
          <w:numId w:val="1"/>
        </w:numPr>
        <w:ind w:left="1440" w:hanging="360"/>
        <w:contextualSpacing w:val="1"/>
        <w:rPr/>
      </w:pPr>
      <w:r w:rsidDel="00000000" w:rsidR="00000000" w:rsidRPr="00000000">
        <w:rPr>
          <w:rFonts w:ascii="Arial Unicode MS" w:cs="Arial Unicode MS" w:eastAsia="Arial Unicode MS" w:hAnsi="Arial Unicode MS"/>
          <w:rtl w:val="0"/>
        </w:rPr>
        <w:t xml:space="preserve"> ⃢ YES, using EPP Domain Host Attributes for mapping of DNS Servers</w:t>
      </w:r>
    </w:p>
    <w:p w:rsidR="00000000" w:rsidDel="00000000" w:rsidP="00000000" w:rsidRDefault="00000000" w:rsidRPr="00000000" w14:paraId="00000007">
      <w:pPr>
        <w:numPr>
          <w:ilvl w:val="1"/>
          <w:numId w:val="1"/>
        </w:numPr>
        <w:ind w:left="1440" w:hanging="360"/>
        <w:contextualSpacing w:val="1"/>
        <w:rPr/>
      </w:pPr>
      <w:r w:rsidDel="00000000" w:rsidR="00000000" w:rsidRPr="00000000">
        <w:rPr>
          <w:rFonts w:ascii="Arial Unicode MS" w:cs="Arial Unicode MS" w:eastAsia="Arial Unicode MS" w:hAnsi="Arial Unicode MS"/>
          <w:rtl w:val="0"/>
        </w:rPr>
        <w:t xml:space="preserve"> ⃢ NO</w:t>
      </w:r>
    </w:p>
    <w:p w:rsidR="00000000" w:rsidDel="00000000" w:rsidP="00000000" w:rsidRDefault="00000000" w:rsidRPr="00000000" w14:paraId="00000008">
      <w:pPr>
        <w:numPr>
          <w:ilvl w:val="0"/>
          <w:numId w:val="1"/>
        </w:numPr>
        <w:ind w:left="720" w:hanging="360"/>
        <w:contextualSpacing w:val="1"/>
        <w:rPr>
          <w:u w:val="none"/>
        </w:rPr>
      </w:pPr>
      <w:r w:rsidDel="00000000" w:rsidR="00000000" w:rsidRPr="00000000">
        <w:rPr>
          <w:rtl w:val="0"/>
        </w:rPr>
        <w:t xml:space="preserve">Please inform which, if any, of the pre-approved services with pre-defined agreement templates (link to </w:t>
      </w:r>
      <w:hyperlink r:id="rId6">
        <w:r w:rsidDel="00000000" w:rsidR="00000000" w:rsidRPr="00000000">
          <w:rPr>
            <w:color w:val="1155cc"/>
            <w:u w:val="single"/>
            <w:rtl w:val="0"/>
          </w:rPr>
          <w:t xml:space="preserve">https://www.icann.org/resources/pages/registry-agreement-amendment-templates-2018-01-29-en</w:t>
        </w:r>
      </w:hyperlink>
      <w:r w:rsidDel="00000000" w:rsidR="00000000" w:rsidRPr="00000000">
        <w:rPr>
          <w:rtl w:val="0"/>
        </w:rPr>
        <w:t xml:space="preserve"> or successor page) that will be provided by the proposed registry:</w:t>
      </w:r>
    </w:p>
    <w:p w:rsidR="00000000" w:rsidDel="00000000" w:rsidP="00000000" w:rsidRDefault="00000000" w:rsidRPr="00000000" w14:paraId="00000009">
      <w:pPr>
        <w:numPr>
          <w:ilvl w:val="1"/>
          <w:numId w:val="1"/>
        </w:numPr>
        <w:ind w:left="1440" w:hanging="360"/>
        <w:contextualSpacing w:val="1"/>
        <w:rPr/>
      </w:pPr>
      <w:r w:rsidDel="00000000" w:rsidR="00000000" w:rsidRPr="00000000">
        <w:rPr>
          <w:rFonts w:ascii="Arial Unicode MS" w:cs="Arial Unicode MS" w:eastAsia="Arial Unicode MS" w:hAnsi="Arial Unicode MS"/>
          <w:rtl w:val="0"/>
        </w:rPr>
        <w:t xml:space="preserve"> ⃢ BTAPPA (Bulk Transfer After Partial Portfolio Acquisition)</w:t>
      </w:r>
    </w:p>
    <w:p w:rsidR="00000000" w:rsidDel="00000000" w:rsidP="00000000" w:rsidRDefault="00000000" w:rsidRPr="00000000" w14:paraId="0000000A">
      <w:pPr>
        <w:numPr>
          <w:ilvl w:val="1"/>
          <w:numId w:val="1"/>
        </w:numPr>
        <w:ind w:left="1440" w:hanging="360"/>
        <w:contextualSpacing w:val="1"/>
        <w:rPr/>
      </w:pPr>
      <w:r w:rsidDel="00000000" w:rsidR="00000000" w:rsidRPr="00000000">
        <w:rPr>
          <w:rFonts w:ascii="Arial Unicode MS" w:cs="Arial Unicode MS" w:eastAsia="Arial Unicode MS" w:hAnsi="Arial Unicode MS"/>
          <w:rtl w:val="0"/>
        </w:rPr>
        <w:t xml:space="preserve"> ⃢ IDN Services</w:t>
      </w:r>
    </w:p>
    <w:p w:rsidR="00000000" w:rsidDel="00000000" w:rsidP="00000000" w:rsidRDefault="00000000" w:rsidRPr="00000000" w14:paraId="0000000B">
      <w:pPr>
        <w:numPr>
          <w:ilvl w:val="2"/>
          <w:numId w:val="1"/>
        </w:numPr>
        <w:ind w:left="2160" w:hanging="360"/>
        <w:contextualSpacing w:val="1"/>
        <w:rPr/>
      </w:pPr>
      <w:r w:rsidDel="00000000" w:rsidR="00000000" w:rsidRPr="00000000">
        <w:rPr>
          <w:rFonts w:ascii="Arial Unicode MS" w:cs="Arial Unicode MS" w:eastAsia="Arial Unicode MS" w:hAnsi="Arial Unicode MS"/>
          <w:rtl w:val="0"/>
        </w:rPr>
        <w:t xml:space="preserve">⃢ May Activate Variants</w:t>
      </w:r>
    </w:p>
    <w:p w:rsidR="00000000" w:rsidDel="00000000" w:rsidP="00000000" w:rsidRDefault="00000000" w:rsidRPr="00000000" w14:paraId="0000000C">
      <w:pPr>
        <w:numPr>
          <w:ilvl w:val="3"/>
          <w:numId w:val="1"/>
        </w:numPr>
        <w:ind w:left="2880" w:hanging="360"/>
        <w:contextualSpacing w:val="1"/>
        <w:rPr>
          <w:u w:val="none"/>
        </w:rPr>
      </w:pPr>
      <w:r w:rsidDel="00000000" w:rsidR="00000000" w:rsidRPr="00000000">
        <w:rPr>
          <w:rtl w:val="0"/>
        </w:rPr>
        <w:t xml:space="preserve">IDN LGR #1</w:t>
      </w:r>
    </w:p>
    <w:p w:rsidR="00000000" w:rsidDel="00000000" w:rsidP="00000000" w:rsidRDefault="00000000" w:rsidRPr="00000000" w14:paraId="0000000D">
      <w:pPr>
        <w:numPr>
          <w:ilvl w:val="3"/>
          <w:numId w:val="1"/>
        </w:numPr>
        <w:ind w:left="2880" w:hanging="360"/>
        <w:contextualSpacing w:val="1"/>
        <w:rPr>
          <w:u w:val="none"/>
        </w:rPr>
      </w:pPr>
      <w:r w:rsidDel="00000000" w:rsidR="00000000" w:rsidRPr="00000000">
        <w:rPr>
          <w:rtl w:val="0"/>
        </w:rPr>
        <w:t xml:space="preserve">IDN LGR #2</w:t>
      </w:r>
    </w:p>
    <w:p w:rsidR="00000000" w:rsidDel="00000000" w:rsidP="00000000" w:rsidRDefault="00000000" w:rsidRPr="00000000" w14:paraId="0000000E">
      <w:pPr>
        <w:numPr>
          <w:ilvl w:val="3"/>
          <w:numId w:val="1"/>
        </w:numPr>
        <w:ind w:left="2880" w:hanging="360"/>
        <w:contextualSpacing w:val="1"/>
        <w:rPr>
          <w:u w:val="none"/>
        </w:rPr>
      </w:pPr>
      <w:r w:rsidDel="00000000" w:rsidR="00000000" w:rsidRPr="00000000">
        <w:rPr>
          <w:rtl w:val="0"/>
        </w:rPr>
        <w:t xml:space="preserve">…</w:t>
      </w:r>
    </w:p>
    <w:p w:rsidR="00000000" w:rsidDel="00000000" w:rsidP="00000000" w:rsidRDefault="00000000" w:rsidRPr="00000000" w14:paraId="0000000F">
      <w:pPr>
        <w:numPr>
          <w:ilvl w:val="2"/>
          <w:numId w:val="1"/>
        </w:numPr>
        <w:ind w:left="2160" w:hanging="360"/>
        <w:contextualSpacing w:val="1"/>
        <w:rPr>
          <w:u w:val="none"/>
        </w:rPr>
      </w:pPr>
      <w:r w:rsidDel="00000000" w:rsidR="00000000" w:rsidRPr="00000000">
        <w:rPr>
          <w:rFonts w:ascii="Arial Unicode MS" w:cs="Arial Unicode MS" w:eastAsia="Arial Unicode MS" w:hAnsi="Arial Unicode MS"/>
          <w:rtl w:val="0"/>
        </w:rPr>
        <w:t xml:space="preserve"> ⃢  Will Block Variants</w:t>
      </w:r>
    </w:p>
    <w:p w:rsidR="00000000" w:rsidDel="00000000" w:rsidP="00000000" w:rsidRDefault="00000000" w:rsidRPr="00000000" w14:paraId="00000010">
      <w:pPr>
        <w:numPr>
          <w:ilvl w:val="3"/>
          <w:numId w:val="1"/>
        </w:numPr>
        <w:ind w:left="2880" w:hanging="360"/>
        <w:contextualSpacing w:val="1"/>
        <w:rPr/>
      </w:pPr>
      <w:r w:rsidDel="00000000" w:rsidR="00000000" w:rsidRPr="00000000">
        <w:rPr>
          <w:rtl w:val="0"/>
        </w:rPr>
        <w:t xml:space="preserve">IDN LGR #1</w:t>
      </w:r>
    </w:p>
    <w:p w:rsidR="00000000" w:rsidDel="00000000" w:rsidP="00000000" w:rsidRDefault="00000000" w:rsidRPr="00000000" w14:paraId="00000011">
      <w:pPr>
        <w:numPr>
          <w:ilvl w:val="3"/>
          <w:numId w:val="1"/>
        </w:numPr>
        <w:ind w:left="2880" w:hanging="360"/>
        <w:contextualSpacing w:val="1"/>
        <w:rPr/>
      </w:pPr>
      <w:r w:rsidDel="00000000" w:rsidR="00000000" w:rsidRPr="00000000">
        <w:rPr>
          <w:rtl w:val="0"/>
        </w:rPr>
        <w:t xml:space="preserve">IDN LGR #2</w:t>
      </w:r>
    </w:p>
    <w:p w:rsidR="00000000" w:rsidDel="00000000" w:rsidP="00000000" w:rsidRDefault="00000000" w:rsidRPr="00000000" w14:paraId="00000012">
      <w:pPr>
        <w:numPr>
          <w:ilvl w:val="3"/>
          <w:numId w:val="1"/>
        </w:numPr>
        <w:ind w:left="2880" w:hanging="360"/>
        <w:contextualSpacing w:val="1"/>
        <w:rPr/>
      </w:pPr>
      <w:r w:rsidDel="00000000" w:rsidR="00000000" w:rsidRPr="00000000">
        <w:rPr>
          <w:rtl w:val="0"/>
        </w:rPr>
        <w:t xml:space="preserve">…</w:t>
      </w:r>
    </w:p>
    <w:p w:rsidR="00000000" w:rsidDel="00000000" w:rsidP="00000000" w:rsidRDefault="00000000" w:rsidRPr="00000000" w14:paraId="00000013">
      <w:pPr>
        <w:numPr>
          <w:ilvl w:val="1"/>
          <w:numId w:val="1"/>
        </w:numPr>
        <w:ind w:left="1440" w:hanging="360"/>
        <w:contextualSpacing w:val="1"/>
        <w:rPr/>
      </w:pPr>
      <w:r w:rsidDel="00000000" w:rsidR="00000000" w:rsidRPr="00000000">
        <w:rPr>
          <w:rFonts w:ascii="Arial Unicode MS" w:cs="Arial Unicode MS" w:eastAsia="Arial Unicode MS" w:hAnsi="Arial Unicode MS"/>
          <w:rtl w:val="0"/>
        </w:rPr>
        <w:t xml:space="preserve">⃢ Registration Validation Per Applicable Law</w:t>
      </w:r>
    </w:p>
    <w:p w:rsidR="00000000" w:rsidDel="00000000" w:rsidP="00000000" w:rsidRDefault="00000000" w:rsidRPr="00000000" w14:paraId="00000014">
      <w:pPr>
        <w:numPr>
          <w:ilvl w:val="2"/>
          <w:numId w:val="1"/>
        </w:numPr>
        <w:ind w:left="2160" w:hanging="360"/>
        <w:contextualSpacing w:val="1"/>
        <w:rPr/>
      </w:pPr>
      <w:r w:rsidDel="00000000" w:rsidR="00000000" w:rsidRPr="00000000">
        <w:rPr>
          <w:rFonts w:ascii="Arial Unicode MS" w:cs="Arial Unicode MS" w:eastAsia="Arial Unicode MS" w:hAnsi="Arial Unicode MS"/>
          <w:rtl w:val="0"/>
        </w:rPr>
        <w:t xml:space="preserve">⃢ Without Supplementary Registration Proxy</w:t>
      </w:r>
    </w:p>
    <w:p w:rsidR="00000000" w:rsidDel="00000000" w:rsidP="00000000" w:rsidRDefault="00000000" w:rsidRPr="00000000" w14:paraId="00000015">
      <w:pPr>
        <w:numPr>
          <w:ilvl w:val="2"/>
          <w:numId w:val="1"/>
        </w:numPr>
        <w:ind w:left="2160" w:hanging="360"/>
        <w:contextualSpacing w:val="1"/>
        <w:rPr/>
      </w:pPr>
      <w:r w:rsidDel="00000000" w:rsidR="00000000" w:rsidRPr="00000000">
        <w:rPr>
          <w:rFonts w:ascii="Arial Unicode MS" w:cs="Arial Unicode MS" w:eastAsia="Arial Unicode MS" w:hAnsi="Arial Unicode MS"/>
          <w:rtl w:val="0"/>
        </w:rPr>
        <w:t xml:space="preserve">⃢ With Secondary Access to SRS/EPP and/or RDDS</w:t>
      </w:r>
    </w:p>
    <w:p w:rsidR="00000000" w:rsidDel="00000000" w:rsidP="00000000" w:rsidRDefault="00000000" w:rsidRPr="00000000" w14:paraId="00000016">
      <w:pPr>
        <w:numPr>
          <w:ilvl w:val="1"/>
          <w:numId w:val="1"/>
        </w:numPr>
        <w:ind w:left="1440" w:hanging="360"/>
        <w:contextualSpacing w:val="1"/>
        <w:rPr/>
      </w:pPr>
      <w:r w:rsidDel="00000000" w:rsidR="00000000" w:rsidRPr="00000000">
        <w:rPr>
          <w:rFonts w:ascii="Arial Unicode MS" w:cs="Arial Unicode MS" w:eastAsia="Arial Unicode MS" w:hAnsi="Arial Unicode MS"/>
          <w:rtl w:val="0"/>
        </w:rPr>
        <w:t xml:space="preserve">⃢ Registry Lock</w:t>
      </w:r>
    </w:p>
    <w:p w:rsidR="00000000" w:rsidDel="00000000" w:rsidP="00000000" w:rsidRDefault="00000000" w:rsidRPr="00000000" w14:paraId="00000017">
      <w:pPr>
        <w:numPr>
          <w:ilvl w:val="1"/>
          <w:numId w:val="1"/>
        </w:numPr>
        <w:ind w:left="1440" w:hanging="360"/>
        <w:contextualSpacing w:val="1"/>
        <w:rPr>
          <w:u w:val="none"/>
        </w:rPr>
      </w:pPr>
      <w:r w:rsidDel="00000000" w:rsidR="00000000" w:rsidRPr="00000000">
        <w:rPr>
          <w:rtl w:val="0"/>
        </w:rPr>
        <w:t xml:space="preserve">(... other services listed at commonly requested services list at AGB publishing time)</w:t>
      </w:r>
    </w:p>
    <w:p w:rsidR="00000000" w:rsidDel="00000000" w:rsidP="00000000" w:rsidRDefault="00000000" w:rsidRPr="00000000" w14:paraId="00000018">
      <w:pPr>
        <w:numPr>
          <w:ilvl w:val="0"/>
          <w:numId w:val="1"/>
        </w:numPr>
        <w:ind w:left="720" w:hanging="360"/>
        <w:contextualSpacing w:val="1"/>
        <w:rPr>
          <w:u w:val="none"/>
        </w:rPr>
      </w:pPr>
      <w:r w:rsidDel="00000000" w:rsidR="00000000" w:rsidRPr="00000000">
        <w:rPr>
          <w:rtl w:val="0"/>
        </w:rPr>
        <w:t xml:space="preserve">Please describe, if any, other services that will be provided by the proposed registry. For each service, inform whether its assessment is being requested at application evaluation, before contract signing or after contract signing</w:t>
      </w:r>
    </w:p>
    <w:p w:rsidR="00000000" w:rsidDel="00000000" w:rsidP="00000000" w:rsidRDefault="00000000" w:rsidRPr="00000000" w14:paraId="00000019">
      <w:pPr>
        <w:numPr>
          <w:ilvl w:val="1"/>
          <w:numId w:val="1"/>
        </w:numPr>
        <w:ind w:left="1440" w:hanging="360"/>
        <w:contextualSpacing w:val="1"/>
        <w:rPr>
          <w:u w:val="none"/>
        </w:rPr>
      </w:pPr>
      <w:r w:rsidDel="00000000" w:rsidR="00000000" w:rsidRPr="00000000">
        <w:rPr>
          <w:rFonts w:ascii="Arial Unicode MS" w:cs="Arial Unicode MS" w:eastAsia="Arial Unicode MS" w:hAnsi="Arial Unicode MS"/>
          <w:rtl w:val="0"/>
        </w:rPr>
        <w:t xml:space="preserve">Service #1 evaluation: ⃢ Application ⃢ Contracting ⃢ After Signing</w:t>
      </w:r>
    </w:p>
    <w:p w:rsidR="00000000" w:rsidDel="00000000" w:rsidP="00000000" w:rsidRDefault="00000000" w:rsidRPr="00000000" w14:paraId="0000001A">
      <w:pPr>
        <w:numPr>
          <w:ilvl w:val="2"/>
          <w:numId w:val="1"/>
        </w:numPr>
        <w:ind w:left="2160" w:hanging="360"/>
        <w:contextualSpacing w:val="1"/>
        <w:rPr>
          <w:u w:val="none"/>
        </w:rPr>
      </w:pPr>
      <w:r w:rsidDel="00000000" w:rsidR="00000000" w:rsidRPr="00000000">
        <w:rPr>
          <w:rtl w:val="0"/>
        </w:rPr>
        <w:t xml:space="preserve">Service #1 description:</w:t>
      </w:r>
    </w:p>
    <w:p w:rsidR="00000000" w:rsidDel="00000000" w:rsidP="00000000" w:rsidRDefault="00000000" w:rsidRPr="00000000" w14:paraId="0000001B">
      <w:pPr>
        <w:numPr>
          <w:ilvl w:val="1"/>
          <w:numId w:val="1"/>
        </w:numPr>
        <w:ind w:left="1440" w:hanging="360"/>
        <w:contextualSpacing w:val="1"/>
        <w:rPr/>
      </w:pPr>
      <w:r w:rsidDel="00000000" w:rsidR="00000000" w:rsidRPr="00000000">
        <w:rPr>
          <w:rFonts w:ascii="Arial Unicode MS" w:cs="Arial Unicode MS" w:eastAsia="Arial Unicode MS" w:hAnsi="Arial Unicode MS"/>
          <w:rtl w:val="0"/>
        </w:rPr>
        <w:t xml:space="preserve">Service #2 evaluation: ⃢ Application ⃢ Contracting ⃢ After Signing</w:t>
      </w:r>
    </w:p>
    <w:p w:rsidR="00000000" w:rsidDel="00000000" w:rsidP="00000000" w:rsidRDefault="00000000" w:rsidRPr="00000000" w14:paraId="0000001C">
      <w:pPr>
        <w:numPr>
          <w:ilvl w:val="2"/>
          <w:numId w:val="1"/>
        </w:numPr>
        <w:ind w:left="2160" w:hanging="360"/>
        <w:contextualSpacing w:val="1"/>
        <w:rPr/>
      </w:pPr>
      <w:r w:rsidDel="00000000" w:rsidR="00000000" w:rsidRPr="00000000">
        <w:rPr>
          <w:rtl w:val="0"/>
        </w:rPr>
        <w:t xml:space="preserve">Service #2 description:</w:t>
      </w:r>
    </w:p>
    <w:p w:rsidR="00000000" w:rsidDel="00000000" w:rsidP="00000000" w:rsidRDefault="00000000" w:rsidRPr="00000000" w14:paraId="0000001D">
      <w:pPr>
        <w:numPr>
          <w:ilvl w:val="1"/>
          <w:numId w:val="1"/>
        </w:numPr>
        <w:ind w:left="1440" w:hanging="360"/>
        <w:contextualSpacing w:val="1"/>
        <w:rPr>
          <w:u w:val="none"/>
        </w:rPr>
      </w:pPr>
      <w:r w:rsidDel="00000000" w:rsidR="00000000" w:rsidRPr="00000000">
        <w:rPr>
          <w:rtl w:val="0"/>
        </w:rPr>
        <w:t xml:space="preserve">…</w:t>
      </w:r>
    </w:p>
    <w:p w:rsidR="00000000" w:rsidDel="00000000" w:rsidP="00000000" w:rsidRDefault="00000000" w:rsidRPr="00000000" w14:paraId="0000001E">
      <w:pPr>
        <w:contextualSpacing w:val="0"/>
        <w:rPr/>
      </w:pPr>
      <w:r w:rsidDel="00000000" w:rsidR="00000000" w:rsidRPr="00000000">
        <w:rPr>
          <w:rtl w:val="0"/>
        </w:rPr>
      </w:r>
    </w:p>
    <w:p w:rsidR="00000000" w:rsidDel="00000000" w:rsidP="00000000" w:rsidRDefault="00000000" w:rsidRPr="00000000" w14:paraId="0000001F">
      <w:pPr>
        <w:contextualSpacing w:val="0"/>
        <w:rPr/>
      </w:pPr>
      <w:r w:rsidDel="00000000" w:rsidR="00000000" w:rsidRPr="00000000">
        <w:rPr>
          <w:rtl w:val="0"/>
        </w:rPr>
        <w:t xml:space="preserve">Scoring: 0 or 1</w:t>
      </w:r>
    </w:p>
    <w:p w:rsidR="00000000" w:rsidDel="00000000" w:rsidP="00000000" w:rsidRDefault="00000000" w:rsidRPr="00000000" w14:paraId="00000020">
      <w:pPr>
        <w:contextualSpacing w:val="0"/>
        <w:rPr/>
      </w:pPr>
      <w:r w:rsidDel="00000000" w:rsidR="00000000" w:rsidRPr="00000000">
        <w:rPr>
          <w:rtl w:val="0"/>
        </w:rPr>
        <w:t xml:space="preserve">Evaluation criteria:</w:t>
      </w:r>
    </w:p>
    <w:p w:rsidR="00000000" w:rsidDel="00000000" w:rsidP="00000000" w:rsidRDefault="00000000" w:rsidRPr="00000000" w14:paraId="00000021">
      <w:pPr>
        <w:contextualSpacing w:val="0"/>
        <w:rPr/>
      </w:pPr>
      <w:r w:rsidDel="00000000" w:rsidR="00000000" w:rsidRPr="00000000">
        <w:rPr>
          <w:rtl w:val="0"/>
        </w:rPr>
        <w:t xml:space="preserve">If answers NO to Q23a =&gt; 0(ZERO) (could be reassessed at Extended Evaluation if other services provide requisites in a different way)</w:t>
      </w:r>
    </w:p>
    <w:p w:rsidR="00000000" w:rsidDel="00000000" w:rsidP="00000000" w:rsidRDefault="00000000" w:rsidRPr="00000000" w14:paraId="00000022">
      <w:pPr>
        <w:contextualSpacing w:val="0"/>
        <w:rPr/>
      </w:pPr>
      <w:r w:rsidDel="00000000" w:rsidR="00000000" w:rsidRPr="00000000">
        <w:rPr>
          <w:rtl w:val="0"/>
        </w:rPr>
        <w:t xml:space="preserve">If answers YES to Q23a, regardless of pre-approved services in Q23b, and has either not proposed additional services in Q23c, or the Q23c services has no request to be included in application evaluation =&gt; 1 (ONE) (automatic)</w:t>
      </w:r>
    </w:p>
    <w:p w:rsidR="00000000" w:rsidDel="00000000" w:rsidP="00000000" w:rsidRDefault="00000000" w:rsidRPr="00000000" w14:paraId="00000023">
      <w:pPr>
        <w:contextualSpacing w:val="0"/>
        <w:rPr/>
      </w:pPr>
      <w:r w:rsidDel="00000000" w:rsidR="00000000" w:rsidRPr="00000000">
        <w:rPr>
          <w:rtl w:val="0"/>
        </w:rPr>
        <w:t xml:space="preserve">If answers YES to Q23a, regardless of pre-approved services in Q23b, has proposed one or more services in Q23c that requested evaluation at application time =&gt; Depends on outcome of Q23c services evaluation. </w:t>
      </w:r>
    </w:p>
    <w:p w:rsidR="00000000" w:rsidDel="00000000" w:rsidP="00000000" w:rsidRDefault="00000000" w:rsidRPr="00000000" w14:paraId="00000024">
      <w:pPr>
        <w:contextualSpacing w:val="0"/>
        <w:rPr/>
      </w:pPr>
      <w:r w:rsidDel="00000000" w:rsidR="00000000" w:rsidRPr="00000000">
        <w:rPr>
          <w:rtl w:val="0"/>
        </w:rPr>
      </w:r>
    </w:p>
    <w:p w:rsidR="00000000" w:rsidDel="00000000" w:rsidP="00000000" w:rsidRDefault="00000000" w:rsidRPr="00000000" w14:paraId="00000025">
      <w:pPr>
        <w:contextualSpacing w:val="0"/>
        <w:rPr/>
      </w:pPr>
      <w:r w:rsidDel="00000000" w:rsidR="00000000" w:rsidRPr="00000000">
        <w:rPr>
          <w:rtl w:val="0"/>
        </w:rPr>
      </w:r>
    </w:p>
    <w:p w:rsidR="00000000" w:rsidDel="00000000" w:rsidP="00000000" w:rsidRDefault="00000000" w:rsidRPr="00000000" w14:paraId="00000026">
      <w:pPr>
        <w:contextualSpacing w:val="0"/>
        <w:rPr/>
      </w:pPr>
      <w:r w:rsidDel="00000000" w:rsidR="00000000" w:rsidRPr="00000000">
        <w:rPr>
          <w:rtl w:val="0"/>
        </w:rPr>
      </w:r>
    </w:p>
    <w:p w:rsidR="00000000" w:rsidDel="00000000" w:rsidP="00000000" w:rsidRDefault="00000000" w:rsidRPr="00000000" w14:paraId="00000027">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icann.org/resources/pages/registry-agreement-amendment-templates-2018-01-29-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