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DAA56" w14:textId="7B04592E" w:rsidR="003A75D2" w:rsidRPr="00666D37" w:rsidRDefault="003A75D2">
      <w:pPr>
        <w:rPr>
          <w:rFonts w:cstheme="minorHAnsi"/>
          <w:sz w:val="22"/>
          <w:szCs w:val="22"/>
        </w:rPr>
      </w:pPr>
      <w:r w:rsidRPr="00666D37">
        <w:rPr>
          <w:rFonts w:eastAsia="Times New Roman" w:cstheme="minorHAnsi"/>
          <w:color w:val="000000"/>
          <w:sz w:val="22"/>
          <w:szCs w:val="22"/>
        </w:rPr>
        <w:t>Auctions: Mechanisms of Last Resort &amp; Private Resolution of Contention Sets</w:t>
      </w:r>
    </w:p>
    <w:p w14:paraId="3CCAEFA8" w14:textId="77777777" w:rsidR="003A75D2" w:rsidRPr="00666D37" w:rsidRDefault="003A75D2">
      <w:pPr>
        <w:rPr>
          <w:rFonts w:cstheme="minorHAnsi"/>
          <w:sz w:val="22"/>
          <w:szCs w:val="22"/>
        </w:rPr>
      </w:pPr>
    </w:p>
    <w:p w14:paraId="78582463" w14:textId="54CC4DA1" w:rsidR="009D04F7" w:rsidRPr="00666D37" w:rsidRDefault="009D04F7">
      <w:pPr>
        <w:rPr>
          <w:rFonts w:cstheme="minorHAnsi"/>
          <w:sz w:val="22"/>
          <w:szCs w:val="22"/>
        </w:rPr>
      </w:pPr>
      <w:r w:rsidRPr="00666D37">
        <w:rPr>
          <w:rFonts w:cstheme="minorHAnsi"/>
          <w:sz w:val="22"/>
          <w:szCs w:val="22"/>
        </w:rPr>
        <w:t xml:space="preserve">Your </w:t>
      </w:r>
      <w:r w:rsidR="00C639AA" w:rsidRPr="00666D37">
        <w:rPr>
          <w:rFonts w:cstheme="minorHAnsi"/>
          <w:sz w:val="22"/>
          <w:szCs w:val="22"/>
        </w:rPr>
        <w:t>name</w:t>
      </w:r>
      <w:r w:rsidRPr="00666D37">
        <w:rPr>
          <w:rFonts w:cstheme="minorHAnsi"/>
          <w:sz w:val="22"/>
          <w:szCs w:val="22"/>
        </w:rPr>
        <w:t xml:space="preserve">: </w:t>
      </w:r>
      <w:r w:rsidR="003A75D2" w:rsidRPr="00666D37">
        <w:rPr>
          <w:rFonts w:cstheme="minorHAnsi"/>
          <w:b/>
          <w:bCs/>
          <w:sz w:val="22"/>
          <w:szCs w:val="22"/>
        </w:rPr>
        <w:t>Elaine Pruis</w:t>
      </w:r>
    </w:p>
    <w:p w14:paraId="7E7AAADE" w14:textId="77777777" w:rsidR="009D04F7" w:rsidRPr="00666D37" w:rsidRDefault="009D04F7">
      <w:pPr>
        <w:rPr>
          <w:rFonts w:cstheme="minorHAnsi"/>
          <w:sz w:val="22"/>
          <w:szCs w:val="22"/>
        </w:rPr>
      </w:pPr>
    </w:p>
    <w:tbl>
      <w:tblPr>
        <w:tblStyle w:val="TableGrid"/>
        <w:tblW w:w="14580" w:type="dxa"/>
        <w:tblInd w:w="-725" w:type="dxa"/>
        <w:tblLook w:val="04A0" w:firstRow="1" w:lastRow="0" w:firstColumn="1" w:lastColumn="0" w:noHBand="0" w:noVBand="1"/>
      </w:tblPr>
      <w:tblGrid>
        <w:gridCol w:w="1044"/>
        <w:gridCol w:w="2430"/>
        <w:gridCol w:w="2046"/>
        <w:gridCol w:w="4530"/>
        <w:gridCol w:w="4530"/>
      </w:tblGrid>
      <w:tr w:rsidR="000D421E" w:rsidRPr="00666D37" w14:paraId="2DFB18A8" w14:textId="77777777" w:rsidTr="00233546">
        <w:trPr>
          <w:trHeight w:val="332"/>
        </w:trPr>
        <w:tc>
          <w:tcPr>
            <w:tcW w:w="1044" w:type="dxa"/>
            <w:shd w:val="clear" w:color="auto" w:fill="E7E6E6" w:themeFill="background2"/>
          </w:tcPr>
          <w:p w14:paraId="7FE0EC21" w14:textId="27379A6F" w:rsidR="000D421E" w:rsidRPr="00666D37" w:rsidRDefault="000D421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66D37">
              <w:rPr>
                <w:rFonts w:cstheme="minorHAnsi"/>
                <w:b/>
                <w:bCs/>
                <w:sz w:val="22"/>
                <w:szCs w:val="22"/>
              </w:rPr>
              <w:t>Issue</w:t>
            </w:r>
          </w:p>
        </w:tc>
        <w:tc>
          <w:tcPr>
            <w:tcW w:w="2430" w:type="dxa"/>
            <w:shd w:val="clear" w:color="auto" w:fill="E7E6E6" w:themeFill="background2"/>
          </w:tcPr>
          <w:p w14:paraId="1456978A" w14:textId="67D6483D" w:rsidR="000D421E" w:rsidRPr="00666D37" w:rsidRDefault="000D421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66D37">
              <w:rPr>
                <w:rFonts w:cstheme="minorHAnsi"/>
                <w:b/>
                <w:bCs/>
                <w:sz w:val="22"/>
                <w:szCs w:val="22"/>
              </w:rPr>
              <w:t>Applicable text (please quote directly)</w:t>
            </w:r>
          </w:p>
        </w:tc>
        <w:tc>
          <w:tcPr>
            <w:tcW w:w="2046" w:type="dxa"/>
            <w:shd w:val="clear" w:color="auto" w:fill="E7E6E6" w:themeFill="background2"/>
          </w:tcPr>
          <w:p w14:paraId="66BBA0F6" w14:textId="11EA8A7B" w:rsidR="000D421E" w:rsidRPr="00666D37" w:rsidRDefault="00F07EC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66D37">
              <w:rPr>
                <w:rFonts w:cstheme="minorHAnsi"/>
                <w:b/>
                <w:bCs/>
                <w:sz w:val="22"/>
                <w:szCs w:val="22"/>
              </w:rPr>
              <w:t>Number and n</w:t>
            </w:r>
            <w:r w:rsidR="00970EBD" w:rsidRPr="00666D37">
              <w:rPr>
                <w:rFonts w:cstheme="minorHAnsi"/>
                <w:b/>
                <w:bCs/>
                <w:sz w:val="22"/>
                <w:szCs w:val="22"/>
              </w:rPr>
              <w:t>ame of applicable report section</w:t>
            </w:r>
          </w:p>
        </w:tc>
        <w:tc>
          <w:tcPr>
            <w:tcW w:w="4530" w:type="dxa"/>
            <w:shd w:val="clear" w:color="auto" w:fill="E7E6E6" w:themeFill="background2"/>
          </w:tcPr>
          <w:p w14:paraId="59003FD4" w14:textId="26BAC8F2" w:rsidR="000D421E" w:rsidRPr="00666D37" w:rsidRDefault="000D421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66D37">
              <w:rPr>
                <w:rFonts w:cstheme="minorHAnsi"/>
                <w:b/>
                <w:bCs/>
                <w:sz w:val="22"/>
                <w:szCs w:val="22"/>
              </w:rPr>
              <w:t>Cannot live with rationale</w:t>
            </w:r>
          </w:p>
        </w:tc>
        <w:tc>
          <w:tcPr>
            <w:tcW w:w="4530" w:type="dxa"/>
            <w:shd w:val="clear" w:color="auto" w:fill="E7E6E6" w:themeFill="background2"/>
          </w:tcPr>
          <w:p w14:paraId="799D98C8" w14:textId="6E9DC6F1" w:rsidR="000D421E" w:rsidRPr="00666D37" w:rsidRDefault="000D421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666D37">
              <w:rPr>
                <w:rFonts w:cstheme="minorHAnsi"/>
                <w:b/>
                <w:bCs/>
                <w:sz w:val="22"/>
                <w:szCs w:val="22"/>
              </w:rPr>
              <w:t>Proposed changes (</w:t>
            </w:r>
            <w:proofErr w:type="gramStart"/>
            <w:r w:rsidRPr="00666D37">
              <w:rPr>
                <w:rFonts w:cstheme="minorHAnsi"/>
                <w:b/>
                <w:bCs/>
                <w:sz w:val="22"/>
                <w:szCs w:val="22"/>
              </w:rPr>
              <w:t>taking into account</w:t>
            </w:r>
            <w:proofErr w:type="gramEnd"/>
            <w:r w:rsidRPr="00666D37">
              <w:rPr>
                <w:rFonts w:cstheme="minorHAnsi"/>
                <w:b/>
                <w:bCs/>
                <w:sz w:val="22"/>
                <w:szCs w:val="22"/>
              </w:rPr>
              <w:t xml:space="preserve"> whether others would be able to live with </w:t>
            </w:r>
            <w:r w:rsidR="00336B8B" w:rsidRPr="00666D37">
              <w:rPr>
                <w:rFonts w:cstheme="minorHAnsi"/>
                <w:b/>
                <w:bCs/>
                <w:sz w:val="22"/>
                <w:szCs w:val="22"/>
              </w:rPr>
              <w:t>them</w:t>
            </w:r>
            <w:r w:rsidRPr="00666D37">
              <w:rPr>
                <w:rFonts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0D421E" w:rsidRPr="00666D37" w14:paraId="079FFA20" w14:textId="77777777" w:rsidTr="00233546">
        <w:tc>
          <w:tcPr>
            <w:tcW w:w="1044" w:type="dxa"/>
          </w:tcPr>
          <w:p w14:paraId="21AB5E62" w14:textId="77777777" w:rsidR="000D421E" w:rsidRPr="00666D37" w:rsidRDefault="000D421E" w:rsidP="006D041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30" w:type="dxa"/>
          </w:tcPr>
          <w:p w14:paraId="14EDC35E" w14:textId="15C01363" w:rsidR="000D421E" w:rsidRPr="00666D37" w:rsidRDefault="00D437F6">
            <w:pPr>
              <w:rPr>
                <w:rFonts w:cstheme="minorHAnsi"/>
                <w:sz w:val="22"/>
                <w:szCs w:val="22"/>
              </w:rPr>
            </w:pPr>
            <w:r w:rsidRPr="00666D37">
              <w:rPr>
                <w:rFonts w:cstheme="minorHAnsi"/>
                <w:color w:val="000000"/>
                <w:sz w:val="22"/>
                <w:szCs w:val="22"/>
              </w:rPr>
              <w:t>If an Applicant applies for five or more strings that are within contention sets and participates in private auctions for more than fifty percent (50%) of those strings for which the losing bidder(s) receive the proceeds from the successful bidder, and the applicant loses each of the private auctions, this may be a factor considered by ICANN in determining non-good faith intent for each of those applications.</w:t>
            </w:r>
          </w:p>
        </w:tc>
        <w:tc>
          <w:tcPr>
            <w:tcW w:w="2046" w:type="dxa"/>
          </w:tcPr>
          <w:p w14:paraId="6F343617" w14:textId="72604D7F" w:rsidR="000D421E" w:rsidRPr="00666D37" w:rsidRDefault="00D437F6">
            <w:pPr>
              <w:rPr>
                <w:rFonts w:cstheme="minorHAnsi"/>
                <w:sz w:val="22"/>
                <w:szCs w:val="22"/>
              </w:rPr>
            </w:pPr>
            <w:r w:rsidRPr="00666D37">
              <w:rPr>
                <w:rFonts w:cstheme="minorHAnsi"/>
                <w:sz w:val="22"/>
                <w:szCs w:val="22"/>
              </w:rPr>
              <w:t xml:space="preserve">Recommendation xx (Rationale 2), </w:t>
            </w:r>
            <w:r w:rsidRPr="00666D37">
              <w:rPr>
                <w:rFonts w:cstheme="minorHAnsi"/>
                <w:color w:val="000000"/>
                <w:sz w:val="22"/>
                <w:szCs w:val="22"/>
              </w:rPr>
              <w:t>The non-exhaustive list of “Factors”, first bullet</w:t>
            </w:r>
          </w:p>
        </w:tc>
        <w:tc>
          <w:tcPr>
            <w:tcW w:w="4530" w:type="dxa"/>
          </w:tcPr>
          <w:p w14:paraId="006CBAEE" w14:textId="168DFEAB" w:rsidR="000D421E" w:rsidRPr="00666D37" w:rsidRDefault="00D437F6">
            <w:pPr>
              <w:rPr>
                <w:rFonts w:cstheme="minorHAnsi"/>
                <w:sz w:val="22"/>
                <w:szCs w:val="22"/>
              </w:rPr>
            </w:pPr>
            <w:r w:rsidRPr="00666D37">
              <w:rPr>
                <w:rFonts w:cstheme="minorHAnsi"/>
                <w:sz w:val="22"/>
                <w:szCs w:val="22"/>
              </w:rPr>
              <w:t xml:space="preserve">Half of five is 2.5. </w:t>
            </w:r>
            <w:r w:rsidR="00300A01">
              <w:rPr>
                <w:rFonts w:cstheme="minorHAnsi"/>
                <w:sz w:val="22"/>
                <w:szCs w:val="22"/>
              </w:rPr>
              <w:t>Use a number that is divisible by 2 and results in a whole number.</w:t>
            </w:r>
            <w:r w:rsidRPr="00666D37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530" w:type="dxa"/>
          </w:tcPr>
          <w:p w14:paraId="664BDE67" w14:textId="77C883A6" w:rsidR="000D421E" w:rsidRPr="00666D37" w:rsidRDefault="00D437F6">
            <w:pPr>
              <w:rPr>
                <w:rFonts w:cstheme="minorHAnsi"/>
                <w:sz w:val="22"/>
                <w:szCs w:val="22"/>
              </w:rPr>
            </w:pPr>
            <w:r w:rsidRPr="00666D37">
              <w:rPr>
                <w:rFonts w:cstheme="minorHAnsi"/>
                <w:color w:val="000000"/>
                <w:sz w:val="22"/>
                <w:szCs w:val="22"/>
              </w:rPr>
              <w:t xml:space="preserve">If an Applicant applies for </w:t>
            </w:r>
            <w:r w:rsidRPr="00666D37">
              <w:rPr>
                <w:rFonts w:cstheme="minorHAnsi"/>
                <w:b/>
                <w:bCs/>
                <w:i/>
                <w:iCs/>
                <w:color w:val="000000"/>
                <w:sz w:val="22"/>
                <w:szCs w:val="22"/>
              </w:rPr>
              <w:t>four</w:t>
            </w:r>
            <w:r w:rsidRPr="00666D37">
              <w:rPr>
                <w:rFonts w:cstheme="minorHAnsi"/>
                <w:color w:val="000000"/>
                <w:sz w:val="22"/>
                <w:szCs w:val="22"/>
              </w:rPr>
              <w:t xml:space="preserve"> or more strings that are within contention sets and participates in private auctions for more than fifty percent (50%) of those strings for which the losing bidder(s) receive the proceeds from the successful bidder, and the applicant loses each of the private auctions, this may be a factor considered by ICANN in determining non-good faith intent for each of those applications.</w:t>
            </w:r>
          </w:p>
        </w:tc>
      </w:tr>
      <w:tr w:rsidR="000D421E" w:rsidRPr="00666D37" w14:paraId="26201D1C" w14:textId="77777777" w:rsidTr="00233546">
        <w:tc>
          <w:tcPr>
            <w:tcW w:w="1044" w:type="dxa"/>
          </w:tcPr>
          <w:p w14:paraId="1E78E9F8" w14:textId="77777777" w:rsidR="000D421E" w:rsidRPr="00666D37" w:rsidRDefault="000D421E" w:rsidP="006D041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30" w:type="dxa"/>
          </w:tcPr>
          <w:p w14:paraId="1F4B615D" w14:textId="24354F2A" w:rsidR="000D421E" w:rsidRPr="00666D37" w:rsidRDefault="000767E5">
            <w:pPr>
              <w:rPr>
                <w:rFonts w:cstheme="minorHAnsi"/>
                <w:sz w:val="22"/>
                <w:szCs w:val="22"/>
              </w:rPr>
            </w:pPr>
            <w:r w:rsidRPr="00666D37">
              <w:rPr>
                <w:rFonts w:cstheme="minorHAnsi"/>
                <w:color w:val="000000"/>
                <w:sz w:val="22"/>
                <w:szCs w:val="22"/>
              </w:rPr>
              <w:t xml:space="preserve">If an applicant is awarded a top-level domain and sells the TLD (separate and apart from a sale of all or substantially all of its non-TLD related assets) within (1) year, this may </w:t>
            </w:r>
            <w:r w:rsidRPr="00666D37">
              <w:rPr>
                <w:rFonts w:cstheme="minorHAnsi"/>
                <w:color w:val="000000"/>
                <w:sz w:val="22"/>
                <w:szCs w:val="22"/>
              </w:rPr>
              <w:lastRenderedPageBreak/>
              <w:t>be a factor considered by ICANN in determining non-good faith intent for that applicant.</w:t>
            </w:r>
          </w:p>
        </w:tc>
        <w:tc>
          <w:tcPr>
            <w:tcW w:w="2046" w:type="dxa"/>
          </w:tcPr>
          <w:p w14:paraId="0654562B" w14:textId="31C7E98C" w:rsidR="000D421E" w:rsidRPr="00666D37" w:rsidRDefault="000767E5">
            <w:pPr>
              <w:rPr>
                <w:rFonts w:cstheme="minorHAnsi"/>
                <w:sz w:val="22"/>
                <w:szCs w:val="22"/>
              </w:rPr>
            </w:pPr>
            <w:r w:rsidRPr="00666D37">
              <w:rPr>
                <w:rFonts w:cstheme="minorHAnsi"/>
                <w:sz w:val="22"/>
                <w:szCs w:val="22"/>
              </w:rPr>
              <w:lastRenderedPageBreak/>
              <w:t xml:space="preserve">Recommendation xx (Rationale 2), </w:t>
            </w:r>
            <w:r w:rsidRPr="00666D37">
              <w:rPr>
                <w:rFonts w:cstheme="minorHAnsi"/>
                <w:color w:val="000000"/>
                <w:sz w:val="22"/>
                <w:szCs w:val="22"/>
              </w:rPr>
              <w:t>The non-exhaustive list of “Factors”, third bullet</w:t>
            </w:r>
          </w:p>
        </w:tc>
        <w:tc>
          <w:tcPr>
            <w:tcW w:w="4530" w:type="dxa"/>
          </w:tcPr>
          <w:p w14:paraId="29E2E80E" w14:textId="5699DF80" w:rsidR="000D421E" w:rsidRPr="00666D37" w:rsidRDefault="000767E5">
            <w:pPr>
              <w:rPr>
                <w:rFonts w:cstheme="minorHAnsi"/>
                <w:sz w:val="22"/>
                <w:szCs w:val="22"/>
              </w:rPr>
            </w:pPr>
            <w:r w:rsidRPr="00666D37">
              <w:rPr>
                <w:rFonts w:cstheme="minorHAnsi"/>
                <w:sz w:val="22"/>
                <w:szCs w:val="22"/>
              </w:rPr>
              <w:t>“Assigns” more broadly captures movement of TLDs</w:t>
            </w:r>
            <w:r w:rsidR="0091573A" w:rsidRPr="00666D37">
              <w:rPr>
                <w:rFonts w:cstheme="minorHAnsi"/>
                <w:sz w:val="22"/>
                <w:szCs w:val="22"/>
              </w:rPr>
              <w:t xml:space="preserve"> and speaks to ICANN’s “Change of Assignment” process.</w:t>
            </w:r>
          </w:p>
        </w:tc>
        <w:tc>
          <w:tcPr>
            <w:tcW w:w="4530" w:type="dxa"/>
          </w:tcPr>
          <w:p w14:paraId="00ED2E91" w14:textId="26F0E152" w:rsidR="000D421E" w:rsidRPr="00666D37" w:rsidRDefault="000767E5">
            <w:pPr>
              <w:rPr>
                <w:rFonts w:cstheme="minorHAnsi"/>
                <w:sz w:val="22"/>
                <w:szCs w:val="22"/>
              </w:rPr>
            </w:pPr>
            <w:r w:rsidRPr="00666D37">
              <w:rPr>
                <w:rFonts w:cstheme="minorHAnsi"/>
                <w:color w:val="000000"/>
                <w:sz w:val="22"/>
                <w:szCs w:val="22"/>
              </w:rPr>
              <w:t xml:space="preserve">If an applicant is awarded a top-level domain and </w:t>
            </w:r>
            <w:r w:rsidRPr="00666D37">
              <w:rPr>
                <w:rFonts w:cstheme="minorHAnsi"/>
                <w:b/>
                <w:bCs/>
                <w:i/>
                <w:iCs/>
                <w:color w:val="000000"/>
                <w:sz w:val="22"/>
                <w:szCs w:val="22"/>
              </w:rPr>
              <w:t>assigns</w:t>
            </w:r>
            <w:r w:rsidRPr="00666D37">
              <w:rPr>
                <w:rFonts w:cstheme="minorHAnsi"/>
                <w:color w:val="000000"/>
                <w:sz w:val="22"/>
                <w:szCs w:val="22"/>
              </w:rPr>
              <w:t xml:space="preserve"> the TLD (separate and apart from a sale of all or substantially all of its non-TLD related assets) within (1) year, this may be a factor considered by ICANN in determining non-good faith intent for that applicant.</w:t>
            </w:r>
          </w:p>
        </w:tc>
      </w:tr>
      <w:tr w:rsidR="000D421E" w:rsidRPr="00666D37" w14:paraId="1FA85D02" w14:textId="77777777" w:rsidTr="00233546">
        <w:tc>
          <w:tcPr>
            <w:tcW w:w="1044" w:type="dxa"/>
          </w:tcPr>
          <w:p w14:paraId="6DAE0DEE" w14:textId="77777777" w:rsidR="000D421E" w:rsidRPr="00666D37" w:rsidRDefault="000D421E" w:rsidP="006D041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30" w:type="dxa"/>
          </w:tcPr>
          <w:p w14:paraId="39098A00" w14:textId="766E6B83" w:rsidR="000D421E" w:rsidRPr="00666D37" w:rsidRDefault="00357F12">
            <w:pPr>
              <w:rPr>
                <w:rFonts w:cstheme="minorHAnsi"/>
                <w:sz w:val="22"/>
                <w:szCs w:val="22"/>
              </w:rPr>
            </w:pPr>
            <w:r w:rsidRPr="00666D37">
              <w:rPr>
                <w:rFonts w:cstheme="minorHAnsi"/>
                <w:sz w:val="22"/>
                <w:szCs w:val="22"/>
              </w:rPr>
              <w:t>Adding bullet point</w:t>
            </w:r>
          </w:p>
        </w:tc>
        <w:tc>
          <w:tcPr>
            <w:tcW w:w="2046" w:type="dxa"/>
          </w:tcPr>
          <w:p w14:paraId="2B950626" w14:textId="70CA9B67" w:rsidR="000D421E" w:rsidRPr="00666D37" w:rsidRDefault="00357F12">
            <w:pPr>
              <w:rPr>
                <w:rFonts w:cstheme="minorHAnsi"/>
                <w:sz w:val="22"/>
                <w:szCs w:val="22"/>
              </w:rPr>
            </w:pPr>
            <w:r w:rsidRPr="00666D37">
              <w:rPr>
                <w:rFonts w:cstheme="minorHAnsi"/>
                <w:sz w:val="22"/>
                <w:szCs w:val="22"/>
              </w:rPr>
              <w:t xml:space="preserve">Recommendation xx (Rationale 2), </w:t>
            </w:r>
            <w:r w:rsidRPr="00666D37">
              <w:rPr>
                <w:rFonts w:cstheme="minorHAnsi"/>
                <w:color w:val="000000"/>
                <w:sz w:val="22"/>
                <w:szCs w:val="22"/>
              </w:rPr>
              <w:t>The non-exhaustive list of “Factors”</w:t>
            </w:r>
          </w:p>
        </w:tc>
        <w:tc>
          <w:tcPr>
            <w:tcW w:w="4530" w:type="dxa"/>
          </w:tcPr>
          <w:p w14:paraId="3DFFE446" w14:textId="78D0B68E" w:rsidR="000D421E" w:rsidRPr="00666D37" w:rsidRDefault="009A4C7E">
            <w:pPr>
              <w:rPr>
                <w:rFonts w:cstheme="minorHAnsi"/>
                <w:sz w:val="22"/>
                <w:szCs w:val="22"/>
              </w:rPr>
            </w:pPr>
            <w:r w:rsidRPr="00666D37">
              <w:rPr>
                <w:rFonts w:cstheme="minorHAnsi"/>
                <w:sz w:val="22"/>
                <w:szCs w:val="22"/>
              </w:rPr>
              <w:t>If ICANN isn’t privy to the material terms of settlements, some resolutions could purposely lose without any money changing hands or business combinations being made. Captures possible “paid</w:t>
            </w:r>
            <w:r w:rsidR="00300A01">
              <w:rPr>
                <w:rFonts w:cstheme="minorHAnsi"/>
                <w:sz w:val="22"/>
                <w:szCs w:val="22"/>
              </w:rPr>
              <w:t xml:space="preserve"> (not necessarily in cash)</w:t>
            </w:r>
            <w:r w:rsidRPr="00666D37">
              <w:rPr>
                <w:rFonts w:cstheme="minorHAnsi"/>
                <w:sz w:val="22"/>
                <w:szCs w:val="22"/>
              </w:rPr>
              <w:t xml:space="preserve"> to go away” settlements.</w:t>
            </w:r>
          </w:p>
        </w:tc>
        <w:tc>
          <w:tcPr>
            <w:tcW w:w="4530" w:type="dxa"/>
          </w:tcPr>
          <w:p w14:paraId="1CE5317D" w14:textId="4AAFB5B1" w:rsidR="000D421E" w:rsidRPr="00DD4176" w:rsidRDefault="00357F12" w:rsidP="00DD417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i/>
                <w:sz w:val="22"/>
                <w:szCs w:val="22"/>
              </w:rPr>
            </w:pPr>
            <w:r w:rsidRPr="00DD4176">
              <w:rPr>
                <w:rFonts w:cstheme="minorHAnsi"/>
                <w:b/>
                <w:i/>
                <w:sz w:val="22"/>
                <w:szCs w:val="22"/>
              </w:rPr>
              <w:t>If an applicant with multiple applications resolves contention sets by means other than private auctions and does not win any TLDs</w:t>
            </w:r>
            <w:r w:rsidR="009A4C7E" w:rsidRPr="00DD4176">
              <w:rPr>
                <w:rFonts w:cstheme="minorHAnsi"/>
                <w:b/>
                <w:i/>
                <w:sz w:val="22"/>
                <w:szCs w:val="22"/>
              </w:rPr>
              <w:t>.</w:t>
            </w:r>
          </w:p>
        </w:tc>
      </w:tr>
      <w:tr w:rsidR="000D421E" w:rsidRPr="00666D37" w14:paraId="28AFB8FA" w14:textId="77777777" w:rsidTr="00233546">
        <w:tc>
          <w:tcPr>
            <w:tcW w:w="1044" w:type="dxa"/>
          </w:tcPr>
          <w:p w14:paraId="55F0ABCB" w14:textId="77777777" w:rsidR="000D421E" w:rsidRPr="00666D37" w:rsidRDefault="000D421E" w:rsidP="006D041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30" w:type="dxa"/>
          </w:tcPr>
          <w:p w14:paraId="0FEF9ECF" w14:textId="5F98ED8B" w:rsidR="000D421E" w:rsidRPr="00666D37" w:rsidRDefault="00895229">
            <w:pPr>
              <w:rPr>
                <w:rFonts w:cstheme="minorHAnsi"/>
                <w:sz w:val="22"/>
                <w:szCs w:val="22"/>
              </w:rPr>
            </w:pPr>
            <w:r w:rsidRPr="00666D37">
              <w:rPr>
                <w:rFonts w:cstheme="minorHAnsi"/>
                <w:sz w:val="22"/>
                <w:szCs w:val="22"/>
              </w:rPr>
              <w:t xml:space="preserve">By requiring all applicants to agree to the bona fide use clause, the Working Group believes that the Board’s primary concerns are mitigated and that private resolutions (including private auctions) as a mechanism to resolve string contention, can be permitted. </w:t>
            </w:r>
          </w:p>
        </w:tc>
        <w:tc>
          <w:tcPr>
            <w:tcW w:w="2046" w:type="dxa"/>
          </w:tcPr>
          <w:p w14:paraId="6CDAF456" w14:textId="1C2953D2" w:rsidR="000D421E" w:rsidRPr="00666D37" w:rsidRDefault="00895229">
            <w:pPr>
              <w:rPr>
                <w:rFonts w:cstheme="minorHAnsi"/>
                <w:sz w:val="22"/>
                <w:szCs w:val="22"/>
              </w:rPr>
            </w:pPr>
            <w:r w:rsidRPr="00666D37">
              <w:rPr>
                <w:rFonts w:cstheme="minorHAnsi"/>
                <w:sz w:val="22"/>
                <w:szCs w:val="22"/>
              </w:rPr>
              <w:t>Rationale for Recommendations xx and xx (Rationale 2)</w:t>
            </w:r>
          </w:p>
        </w:tc>
        <w:tc>
          <w:tcPr>
            <w:tcW w:w="4530" w:type="dxa"/>
          </w:tcPr>
          <w:p w14:paraId="76AC15AE" w14:textId="4AAAB5AC" w:rsidR="000D421E" w:rsidRPr="00666D37" w:rsidRDefault="00895229">
            <w:pPr>
              <w:rPr>
                <w:rFonts w:cstheme="minorHAnsi"/>
                <w:sz w:val="22"/>
                <w:szCs w:val="22"/>
              </w:rPr>
            </w:pPr>
            <w:r w:rsidRPr="00666D37">
              <w:rPr>
                <w:rFonts w:cstheme="minorHAnsi"/>
                <w:sz w:val="22"/>
                <w:szCs w:val="22"/>
              </w:rPr>
              <w:t>Include “some” in the designation of WG member positions.</w:t>
            </w:r>
          </w:p>
        </w:tc>
        <w:tc>
          <w:tcPr>
            <w:tcW w:w="4530" w:type="dxa"/>
          </w:tcPr>
          <w:p w14:paraId="42C8B40A" w14:textId="26BE5AEC" w:rsidR="000D421E" w:rsidRPr="00666D37" w:rsidRDefault="00895229">
            <w:pPr>
              <w:rPr>
                <w:rFonts w:cstheme="minorHAnsi"/>
                <w:sz w:val="22"/>
                <w:szCs w:val="22"/>
              </w:rPr>
            </w:pPr>
            <w:r w:rsidRPr="00666D37">
              <w:rPr>
                <w:rFonts w:cstheme="minorHAnsi"/>
                <w:sz w:val="22"/>
                <w:szCs w:val="22"/>
              </w:rPr>
              <w:t xml:space="preserve">By requiring all applicants to agree to the bona fide use clause, </w:t>
            </w:r>
            <w:r w:rsidRPr="00666D37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some of</w:t>
            </w:r>
            <w:r w:rsidRPr="00666D37">
              <w:rPr>
                <w:rFonts w:cstheme="minorHAnsi"/>
                <w:sz w:val="22"/>
                <w:szCs w:val="22"/>
              </w:rPr>
              <w:t xml:space="preserve"> the Working Group believes that the Board’s primary concerns are mitigated and that private resolutions (including private auctions) as a mechanism to resolve string contention, can be permitted. </w:t>
            </w:r>
          </w:p>
        </w:tc>
      </w:tr>
      <w:tr w:rsidR="00895229" w:rsidRPr="00666D37" w14:paraId="3507395D" w14:textId="77777777" w:rsidTr="00233546">
        <w:tc>
          <w:tcPr>
            <w:tcW w:w="1044" w:type="dxa"/>
          </w:tcPr>
          <w:p w14:paraId="2171245E" w14:textId="77777777" w:rsidR="00895229" w:rsidRPr="00666D37" w:rsidRDefault="00895229" w:rsidP="006D041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30" w:type="dxa"/>
          </w:tcPr>
          <w:p w14:paraId="0C8CE99E" w14:textId="046C775E" w:rsidR="00895229" w:rsidRPr="00666D37" w:rsidRDefault="00895229">
            <w:pPr>
              <w:rPr>
                <w:rFonts w:cstheme="minorHAnsi"/>
                <w:sz w:val="22"/>
                <w:szCs w:val="22"/>
              </w:rPr>
            </w:pPr>
            <w:r w:rsidRPr="00666D37">
              <w:rPr>
                <w:rFonts w:cstheme="minorHAnsi"/>
                <w:sz w:val="22"/>
                <w:szCs w:val="22"/>
              </w:rPr>
              <w:t xml:space="preserve">The Working Group believes that second-price, sealed bid auctions are preferable to the ascending bid auctions used in the 2012 round, because second price auctions reduce the risk of “bidding wars” that can </w:t>
            </w:r>
            <w:r w:rsidRPr="00666D37">
              <w:rPr>
                <w:rFonts w:cstheme="minorHAnsi"/>
                <w:sz w:val="22"/>
                <w:szCs w:val="22"/>
              </w:rPr>
              <w:lastRenderedPageBreak/>
              <w:t>occur in ascending bid auctions.</w:t>
            </w:r>
          </w:p>
        </w:tc>
        <w:tc>
          <w:tcPr>
            <w:tcW w:w="2046" w:type="dxa"/>
          </w:tcPr>
          <w:p w14:paraId="14EB001C" w14:textId="1ABA2227" w:rsidR="00895229" w:rsidRPr="00666D37" w:rsidRDefault="00895229">
            <w:pPr>
              <w:rPr>
                <w:rFonts w:cstheme="minorHAnsi"/>
                <w:sz w:val="22"/>
                <w:szCs w:val="22"/>
              </w:rPr>
            </w:pPr>
            <w:r w:rsidRPr="00666D37">
              <w:rPr>
                <w:rFonts w:cstheme="minorHAnsi"/>
                <w:sz w:val="22"/>
                <w:szCs w:val="22"/>
              </w:rPr>
              <w:lastRenderedPageBreak/>
              <w:t>Rationale for Implementation Guidance xx (Rationale 3)</w:t>
            </w:r>
          </w:p>
        </w:tc>
        <w:tc>
          <w:tcPr>
            <w:tcW w:w="4530" w:type="dxa"/>
          </w:tcPr>
          <w:p w14:paraId="4031F489" w14:textId="77777777" w:rsidR="00DD4176" w:rsidRDefault="00DD4176">
            <w:pPr>
              <w:rPr>
                <w:rFonts w:cstheme="minorHAnsi"/>
                <w:sz w:val="22"/>
                <w:szCs w:val="22"/>
              </w:rPr>
            </w:pPr>
            <w:r w:rsidRPr="00A126AB">
              <w:rPr>
                <w:rFonts w:cstheme="minorHAnsi"/>
                <w:i/>
                <w:sz w:val="22"/>
                <w:szCs w:val="22"/>
              </w:rPr>
              <w:t>IF</w:t>
            </w:r>
            <w:r>
              <w:rPr>
                <w:rFonts w:cstheme="minorHAnsi"/>
                <w:sz w:val="22"/>
                <w:szCs w:val="22"/>
              </w:rPr>
              <w:t xml:space="preserve"> Susan Payne’s language arguing the counterpoints against second-price, sealed bid auctions is accepted/included, </w:t>
            </w:r>
          </w:p>
          <w:p w14:paraId="166FDE02" w14:textId="08DDCDEF" w:rsidR="00895229" w:rsidRPr="00666D37" w:rsidRDefault="00DD4176">
            <w:pPr>
              <w:rPr>
                <w:rFonts w:cstheme="minorHAnsi"/>
                <w:sz w:val="22"/>
                <w:szCs w:val="22"/>
              </w:rPr>
            </w:pPr>
            <w:bookmarkStart w:id="0" w:name="_GoBack"/>
            <w:r w:rsidRPr="00A126AB">
              <w:rPr>
                <w:rFonts w:cstheme="minorHAnsi"/>
                <w:i/>
                <w:sz w:val="22"/>
                <w:szCs w:val="22"/>
              </w:rPr>
              <w:t>THEN</w:t>
            </w:r>
            <w:bookmarkEnd w:id="0"/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895229" w:rsidRPr="00666D37">
              <w:rPr>
                <w:rFonts w:cstheme="minorHAnsi"/>
                <w:sz w:val="22"/>
                <w:szCs w:val="22"/>
              </w:rPr>
              <w:t>the benefits of second-price, sealed bid auctions should be expounded upon in this section.</w:t>
            </w:r>
          </w:p>
        </w:tc>
        <w:tc>
          <w:tcPr>
            <w:tcW w:w="4530" w:type="dxa"/>
          </w:tcPr>
          <w:p w14:paraId="1C678EEE" w14:textId="12C895D6" w:rsidR="00DD4176" w:rsidRPr="00DD4176" w:rsidRDefault="00895229" w:rsidP="00DD4176">
            <w:pPr>
              <w:rPr>
                <w:rFonts w:ascii="Calibri" w:eastAsia="Times New Roman" w:hAnsi="Calibri" w:cs="Calibri"/>
                <w:b/>
                <w:i/>
                <w:color w:val="000000"/>
                <w:sz w:val="22"/>
                <w:szCs w:val="22"/>
              </w:rPr>
            </w:pPr>
            <w:r w:rsidRPr="00666D37">
              <w:rPr>
                <w:rFonts w:cstheme="minorHAnsi"/>
                <w:sz w:val="22"/>
                <w:szCs w:val="22"/>
              </w:rPr>
              <w:t xml:space="preserve">The Working Group believes that second-price, sealed bid auctions are preferable to the ascending bid auctions used in the 2012 round, because </w:t>
            </w:r>
            <w:r w:rsidR="00DD4176" w:rsidRPr="00DD4176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>this method e</w:t>
            </w:r>
            <w:r w:rsidR="00DD4176" w:rsidRPr="00DD4176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liminat</w:t>
            </w:r>
            <w:r w:rsidR="00DD4176" w:rsidRPr="00DD4176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es</w:t>
            </w:r>
            <w:r w:rsidR="00DD4176" w:rsidRPr="00DD4176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 xml:space="preserve"> collusion and bid rigging</w:t>
            </w:r>
            <w:r w:rsidR="00DD4176" w:rsidRPr="00DD4176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 xml:space="preserve">; it is the preferred method used </w:t>
            </w:r>
            <w:r w:rsidR="00DD4176" w:rsidRPr="00DD4176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by governments to allocate critical resources</w:t>
            </w:r>
            <w:r w:rsidR="00DD4176" w:rsidRPr="00DD4176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;</w:t>
            </w:r>
          </w:p>
          <w:p w14:paraId="5CA4B02B" w14:textId="387B13C2" w:rsidR="00895229" w:rsidRPr="00666D37" w:rsidRDefault="00DD4176" w:rsidP="00DD4176">
            <w:pPr>
              <w:rPr>
                <w:rFonts w:cstheme="minorHAnsi"/>
                <w:sz w:val="22"/>
                <w:szCs w:val="22"/>
              </w:rPr>
            </w:pPr>
            <w:r w:rsidRPr="00DD4176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b</w:t>
            </w:r>
            <w:r w:rsidRPr="00DD4176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idders</w:t>
            </w:r>
            <w:r w:rsidRPr="00DD4176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 xml:space="preserve"> are forced</w:t>
            </w:r>
            <w:r w:rsidRPr="00DD4176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 xml:space="preserve"> to value the TLD in absolute terms</w:t>
            </w:r>
            <w:r w:rsidRPr="00DD4176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; and</w:t>
            </w:r>
            <w:r w:rsidR="0039540F" w:rsidRPr="00666D37">
              <w:rPr>
                <w:rFonts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895229" w:rsidRPr="00666D37">
              <w:rPr>
                <w:rFonts w:cstheme="minorHAnsi"/>
                <w:sz w:val="22"/>
                <w:szCs w:val="22"/>
              </w:rPr>
              <w:t>second price auctions reduce the risk of “bidding wars” that can occur in ascending bid auctions.</w:t>
            </w:r>
          </w:p>
        </w:tc>
      </w:tr>
    </w:tbl>
    <w:p w14:paraId="293DC469" w14:textId="77777777" w:rsidR="000B7A30" w:rsidRPr="00666D37" w:rsidRDefault="000B7A30">
      <w:pPr>
        <w:rPr>
          <w:rFonts w:cstheme="minorHAnsi"/>
          <w:sz w:val="22"/>
          <w:szCs w:val="22"/>
        </w:rPr>
      </w:pPr>
    </w:p>
    <w:sectPr w:rsidR="000B7A30" w:rsidRPr="00666D37" w:rsidSect="009D04F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C0E46"/>
    <w:multiLevelType w:val="hybridMultilevel"/>
    <w:tmpl w:val="97B8E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8222E"/>
    <w:multiLevelType w:val="hybridMultilevel"/>
    <w:tmpl w:val="CA3E2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4F7"/>
    <w:rsid w:val="000767E5"/>
    <w:rsid w:val="000B7A30"/>
    <w:rsid w:val="000D421E"/>
    <w:rsid w:val="00233546"/>
    <w:rsid w:val="00246C3B"/>
    <w:rsid w:val="00300A01"/>
    <w:rsid w:val="00336B8B"/>
    <w:rsid w:val="0035336D"/>
    <w:rsid w:val="00357F12"/>
    <w:rsid w:val="00385D74"/>
    <w:rsid w:val="0039540F"/>
    <w:rsid w:val="003A75D2"/>
    <w:rsid w:val="004176A6"/>
    <w:rsid w:val="004B3C4A"/>
    <w:rsid w:val="005E720C"/>
    <w:rsid w:val="005F102F"/>
    <w:rsid w:val="006633D0"/>
    <w:rsid w:val="00666D37"/>
    <w:rsid w:val="006D0418"/>
    <w:rsid w:val="00710FA5"/>
    <w:rsid w:val="00770DEF"/>
    <w:rsid w:val="007F1FED"/>
    <w:rsid w:val="008363A6"/>
    <w:rsid w:val="00895229"/>
    <w:rsid w:val="008A3B83"/>
    <w:rsid w:val="0091573A"/>
    <w:rsid w:val="00970EBD"/>
    <w:rsid w:val="009A4C7E"/>
    <w:rsid w:val="009D04F7"/>
    <w:rsid w:val="009F7957"/>
    <w:rsid w:val="00A126AB"/>
    <w:rsid w:val="00AE1DB1"/>
    <w:rsid w:val="00B34569"/>
    <w:rsid w:val="00BE5129"/>
    <w:rsid w:val="00C639AA"/>
    <w:rsid w:val="00CD0B02"/>
    <w:rsid w:val="00D437F6"/>
    <w:rsid w:val="00DD4176"/>
    <w:rsid w:val="00E53B3D"/>
    <w:rsid w:val="00EF35AF"/>
    <w:rsid w:val="00F07ECE"/>
    <w:rsid w:val="00F10689"/>
    <w:rsid w:val="00F7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F790D"/>
  <w15:chartTrackingRefBased/>
  <w15:docId w15:val="{C73C14C4-F2EC-5F42-88A8-611DDE95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0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04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5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5D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3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Konings</dc:creator>
  <cp:keywords/>
  <dc:description/>
  <cp:lastModifiedBy>Pruis, Elaine</cp:lastModifiedBy>
  <cp:revision>4</cp:revision>
  <dcterms:created xsi:type="dcterms:W3CDTF">2020-08-12T18:19:00Z</dcterms:created>
  <dcterms:modified xsi:type="dcterms:W3CDTF">2020-08-12T18:49:00Z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1929544696</vt:i4>
  </property>
  <property fmtid="{D5CDD505-2E9C-101B-9397-08002B2CF9AE}" pid="3" name="_NewReviewCycle">
    <vt:lpwstr/>
  </property>
  <property fmtid="{D5CDD505-2E9C-101B-9397-08002B2CF9AE}" pid="4" name="_EmailSubject">
    <vt:lpwstr>SubPro Auctions Comments</vt:lpwstr>
  </property>
  <property fmtid="{D5CDD505-2E9C-101B-9397-08002B2CF9AE}" pid="5" name="_AuthorEmail">
    <vt:lpwstr>jhooper@verisign.com</vt:lpwstr>
  </property>
  <property fmtid="{D5CDD505-2E9C-101B-9397-08002B2CF9AE}" pid="6" name="_AuthorEmailDisplayName">
    <vt:lpwstr>Hooper, Jessica</vt:lpwstr>
  </property>
</Properties>
</file>