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5A5BF1A7" w:rsidR="009D04F7" w:rsidRDefault="009D04F7">
      <w:r>
        <w:t xml:space="preserve">Your </w:t>
      </w:r>
      <w:r w:rsidR="00C639AA">
        <w:t>name</w:t>
      </w:r>
      <w:r>
        <w:t xml:space="preserve">: </w:t>
      </w:r>
      <w:r w:rsidR="00EA18A0">
        <w:t xml:space="preserve"> Rubens Kuhl</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39"/>
        <w:gridCol w:w="2451"/>
        <w:gridCol w:w="2185"/>
        <w:gridCol w:w="4485"/>
        <w:gridCol w:w="4420"/>
      </w:tblGrid>
      <w:tr w:rsidR="000D421E" w14:paraId="2DFB18A8" w14:textId="77777777" w:rsidTr="008B3C15">
        <w:trPr>
          <w:trHeight w:val="332"/>
        </w:trPr>
        <w:tc>
          <w:tcPr>
            <w:tcW w:w="1039" w:type="dxa"/>
            <w:shd w:val="clear" w:color="auto" w:fill="E7E6E6" w:themeFill="background2"/>
          </w:tcPr>
          <w:p w14:paraId="7FE0EC21" w14:textId="27379A6F" w:rsidR="000D421E" w:rsidRPr="009D04F7" w:rsidRDefault="000D421E">
            <w:pPr>
              <w:rPr>
                <w:b/>
                <w:bCs/>
              </w:rPr>
            </w:pPr>
            <w:r>
              <w:rPr>
                <w:b/>
                <w:bCs/>
              </w:rPr>
              <w:t>Issue</w:t>
            </w:r>
          </w:p>
        </w:tc>
        <w:tc>
          <w:tcPr>
            <w:tcW w:w="2451"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2185"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485"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42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8B3C15">
        <w:tc>
          <w:tcPr>
            <w:tcW w:w="1039" w:type="dxa"/>
          </w:tcPr>
          <w:p w14:paraId="21AB5E62" w14:textId="77777777" w:rsidR="000D421E" w:rsidRDefault="000D421E" w:rsidP="006D0418">
            <w:pPr>
              <w:pStyle w:val="ListParagraph"/>
              <w:numPr>
                <w:ilvl w:val="0"/>
                <w:numId w:val="1"/>
              </w:numPr>
            </w:pPr>
          </w:p>
        </w:tc>
        <w:tc>
          <w:tcPr>
            <w:tcW w:w="2451" w:type="dxa"/>
          </w:tcPr>
          <w:p w14:paraId="37DBF00B" w14:textId="77777777" w:rsidR="008B3C15" w:rsidRDefault="008B3C15" w:rsidP="008B3C15">
            <w:r>
              <w:rPr>
                <w:rFonts w:ascii="Arial" w:hAnsi="Arial" w:cs="Arial"/>
                <w:color w:val="000000"/>
                <w:sz w:val="22"/>
                <w:szCs w:val="22"/>
                <w:u w:val="single"/>
              </w:rPr>
              <w:t>Affirmation with modification xx</w:t>
            </w:r>
            <w:r>
              <w:rPr>
                <w:rFonts w:ascii="Arial" w:hAnsi="Arial" w:cs="Arial"/>
                <w:color w:val="000000"/>
                <w:sz w:val="22"/>
                <w:szCs w:val="22"/>
              </w:rPr>
              <w:t>: If the volume of applications received exceeds 500, applications will be processed in batches of 500. In the 2012 round, the Section 1.1.2.5 of the Applicant Guidebook provided that the first batch would consist of 500 applications, but each subsequent batch was to be only 400 applications. For ease, the Working Group has modified this to an even 500 applications per batch.</w:t>
            </w:r>
          </w:p>
          <w:p w14:paraId="14EDC35E" w14:textId="72CF9C48" w:rsidR="000D421E" w:rsidRDefault="000D421E"/>
        </w:tc>
        <w:tc>
          <w:tcPr>
            <w:tcW w:w="2185" w:type="dxa"/>
          </w:tcPr>
          <w:p w14:paraId="784A3F20" w14:textId="77777777" w:rsidR="000D421E" w:rsidRDefault="008B3C15">
            <w:r>
              <w:t>2.6.1</w:t>
            </w:r>
          </w:p>
          <w:p w14:paraId="7BDDA60B" w14:textId="77777777" w:rsidR="008B3C15" w:rsidRDefault="008B3C15" w:rsidP="008B3C15">
            <w:r>
              <w:rPr>
                <w:rFonts w:ascii="Arial" w:hAnsi="Arial" w:cs="Arial"/>
                <w:b/>
                <w:bCs/>
                <w:color w:val="000000"/>
                <w:sz w:val="22"/>
                <w:szCs w:val="22"/>
              </w:rPr>
              <w:t>a. Recommendations and/or implementation guidelines</w:t>
            </w:r>
          </w:p>
          <w:p w14:paraId="6F343617" w14:textId="06BF69CB" w:rsidR="008B3C15" w:rsidRDefault="008B3C15"/>
        </w:tc>
        <w:tc>
          <w:tcPr>
            <w:tcW w:w="4485" w:type="dxa"/>
          </w:tcPr>
          <w:p w14:paraId="006CBAEE" w14:textId="7307B36E" w:rsidR="000D421E" w:rsidRDefault="008B3C15">
            <w:r>
              <w:t>The actual 2012 implementation used no batching whatsoever</w:t>
            </w:r>
            <w:r w:rsidR="00413734">
              <w:rPr>
                <w:lang w:val="en-US"/>
              </w:rPr>
              <w:t>, and I don’t saw a consensus to change that to implement batching. It</w:t>
            </w:r>
            <w:r>
              <w:t xml:space="preserve"> also contradicts evaluation efficiencies.</w:t>
            </w:r>
          </w:p>
        </w:tc>
        <w:tc>
          <w:tcPr>
            <w:tcW w:w="4420" w:type="dxa"/>
          </w:tcPr>
          <w:p w14:paraId="664BDE67" w14:textId="19136DBF" w:rsidR="000D421E" w:rsidRPr="00413734" w:rsidRDefault="00413734">
            <w:pPr>
              <w:rPr>
                <w:lang w:val="en-US"/>
              </w:rPr>
            </w:pPr>
            <w:r>
              <w:rPr>
                <w:rFonts w:ascii="Arial" w:hAnsi="Arial" w:cs="Arial"/>
                <w:color w:val="000000"/>
                <w:sz w:val="22"/>
                <w:szCs w:val="22"/>
              </w:rPr>
              <w:t xml:space="preserve">. In the 2012 round, the Section 1.1.2.5 of the Applicant Guidebook provided that the first batch would consist of 500 applications, but each subsequent batch was to be only 400 applications. </w:t>
            </w:r>
            <w:r>
              <w:rPr>
                <w:rFonts w:ascii="Arial" w:hAnsi="Arial" w:cs="Arial"/>
                <w:color w:val="000000"/>
                <w:sz w:val="22"/>
                <w:szCs w:val="22"/>
                <w:lang w:val="en-US"/>
              </w:rPr>
              <w:t xml:space="preserve">Nevertheless, the actual 2012 implementation had no batching at all. The </w:t>
            </w:r>
            <w:proofErr w:type="spellStart"/>
            <w:r>
              <w:rPr>
                <w:rFonts w:ascii="Arial" w:hAnsi="Arial" w:cs="Arial"/>
                <w:color w:val="000000"/>
                <w:sz w:val="22"/>
                <w:szCs w:val="22"/>
                <w:lang w:val="en-US"/>
              </w:rPr>
              <w:t>workgrup</w:t>
            </w:r>
            <w:proofErr w:type="spellEnd"/>
            <w:r>
              <w:rPr>
                <w:rFonts w:ascii="Arial" w:hAnsi="Arial" w:cs="Arial"/>
                <w:color w:val="000000"/>
                <w:sz w:val="22"/>
                <w:szCs w:val="22"/>
                <w:lang w:val="en-US"/>
              </w:rPr>
              <w:t xml:space="preserve"> affirms the 2012 implementation, so it also prescribes changing the Applicant Guidebook to reflect it. </w:t>
            </w:r>
          </w:p>
        </w:tc>
      </w:tr>
      <w:tr w:rsidR="000D421E" w14:paraId="26201D1C" w14:textId="77777777" w:rsidTr="008B3C15">
        <w:tc>
          <w:tcPr>
            <w:tcW w:w="1039" w:type="dxa"/>
          </w:tcPr>
          <w:p w14:paraId="1E78E9F8" w14:textId="77777777" w:rsidR="000D421E" w:rsidRDefault="000D421E" w:rsidP="006D0418">
            <w:pPr>
              <w:pStyle w:val="ListParagraph"/>
              <w:numPr>
                <w:ilvl w:val="0"/>
                <w:numId w:val="1"/>
              </w:numPr>
            </w:pPr>
          </w:p>
        </w:tc>
        <w:tc>
          <w:tcPr>
            <w:tcW w:w="2451" w:type="dxa"/>
          </w:tcPr>
          <w:p w14:paraId="7F542AEB" w14:textId="77777777" w:rsidR="008B3C15" w:rsidRDefault="008B3C15" w:rsidP="008B3C15">
            <w:pPr>
              <w:pStyle w:val="NormalWeb"/>
              <w:spacing w:before="0" w:beforeAutospacing="0" w:after="0" w:afterAutospacing="0"/>
            </w:pPr>
            <w:r>
              <w:rPr>
                <w:rFonts w:ascii="Arial" w:hAnsi="Arial" w:cs="Arial"/>
                <w:color w:val="000000"/>
                <w:sz w:val="22"/>
                <w:szCs w:val="22"/>
                <w:u w:val="single"/>
              </w:rPr>
              <w:t>Recommendation xx</w:t>
            </w:r>
            <w:r>
              <w:rPr>
                <w:rFonts w:ascii="Arial" w:hAnsi="Arial" w:cs="Arial"/>
                <w:color w:val="000000"/>
                <w:sz w:val="22"/>
                <w:szCs w:val="22"/>
              </w:rPr>
              <w:t xml:space="preserve">: For subsequent rounds, the Working Group recommends that the following formula must be used with respect to giving priority to Internationalized </w:t>
            </w:r>
            <w:r>
              <w:rPr>
                <w:rFonts w:ascii="Arial" w:hAnsi="Arial" w:cs="Arial"/>
                <w:color w:val="000000"/>
                <w:sz w:val="22"/>
                <w:szCs w:val="22"/>
              </w:rPr>
              <w:lastRenderedPageBreak/>
              <w:t>Domain Name applications:</w:t>
            </w:r>
          </w:p>
          <w:p w14:paraId="5AFF64AB" w14:textId="77777777" w:rsidR="008B3C15" w:rsidRDefault="008B3C15" w:rsidP="008B3C1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u w:val="single"/>
              </w:rPr>
              <w:t>First batch of 500</w:t>
            </w:r>
          </w:p>
          <w:p w14:paraId="1F4B615D" w14:textId="4650A28E" w:rsidR="000D421E" w:rsidRDefault="000D421E"/>
        </w:tc>
        <w:tc>
          <w:tcPr>
            <w:tcW w:w="2185" w:type="dxa"/>
          </w:tcPr>
          <w:p w14:paraId="34230AE7" w14:textId="77777777" w:rsidR="008B3C15" w:rsidRDefault="008B3C15" w:rsidP="008B3C15">
            <w:r>
              <w:lastRenderedPageBreak/>
              <w:t>2.6.1</w:t>
            </w:r>
          </w:p>
          <w:p w14:paraId="3F65FCC3" w14:textId="77777777" w:rsidR="008B3C15" w:rsidRDefault="008B3C15" w:rsidP="008B3C15">
            <w:r>
              <w:rPr>
                <w:rFonts w:ascii="Arial" w:hAnsi="Arial" w:cs="Arial"/>
                <w:b/>
                <w:bCs/>
                <w:color w:val="000000"/>
                <w:sz w:val="22"/>
                <w:szCs w:val="22"/>
              </w:rPr>
              <w:t>a. Recommendations and/or implementation guidelines</w:t>
            </w:r>
          </w:p>
          <w:p w14:paraId="0654562B" w14:textId="77777777" w:rsidR="000D421E" w:rsidRDefault="000D421E"/>
        </w:tc>
        <w:tc>
          <w:tcPr>
            <w:tcW w:w="4485" w:type="dxa"/>
          </w:tcPr>
          <w:p w14:paraId="29E2E80E" w14:textId="57FD047F" w:rsidR="000D421E" w:rsidRDefault="008B3C15">
            <w:r>
              <w:t xml:space="preserve">If batches are removed, the language needs to be adopted. The listed method can be kept so the IDN priorities can be fitted in the overall randomization. Removing batches requires no change to this except language. </w:t>
            </w:r>
          </w:p>
        </w:tc>
        <w:tc>
          <w:tcPr>
            <w:tcW w:w="4420" w:type="dxa"/>
          </w:tcPr>
          <w:p w14:paraId="00ED2E91" w14:textId="0B1477B6" w:rsidR="000D421E" w:rsidRPr="00413734" w:rsidRDefault="00413734">
            <w:pPr>
              <w:rPr>
                <w:lang w:val="en-US"/>
              </w:rPr>
            </w:pPr>
            <w:r>
              <w:rPr>
                <w:lang w:val="en-US"/>
              </w:rPr>
              <w:t xml:space="preserve">Change all instances of the word “batch” with the word “group”, ending up with the same effect in providing IDN applications some priority. </w:t>
            </w:r>
          </w:p>
        </w:tc>
      </w:tr>
      <w:tr w:rsidR="008B3C15" w14:paraId="1FA85D02" w14:textId="77777777" w:rsidTr="008B3C15">
        <w:tc>
          <w:tcPr>
            <w:tcW w:w="1039" w:type="dxa"/>
          </w:tcPr>
          <w:p w14:paraId="6DAE0DEE" w14:textId="77777777" w:rsidR="008B3C15" w:rsidRDefault="008B3C15" w:rsidP="008B3C15">
            <w:pPr>
              <w:pStyle w:val="ListParagraph"/>
              <w:numPr>
                <w:ilvl w:val="0"/>
                <w:numId w:val="1"/>
              </w:numPr>
            </w:pPr>
          </w:p>
        </w:tc>
        <w:tc>
          <w:tcPr>
            <w:tcW w:w="2451" w:type="dxa"/>
          </w:tcPr>
          <w:p w14:paraId="218899F1" w14:textId="77777777" w:rsidR="008B3C15" w:rsidRDefault="008B3C15" w:rsidP="008B3C15">
            <w:r>
              <w:rPr>
                <w:rFonts w:ascii="Arial" w:hAnsi="Arial" w:cs="Arial"/>
                <w:color w:val="000000"/>
                <w:sz w:val="22"/>
                <w:szCs w:val="22"/>
                <w:u w:val="single"/>
              </w:rPr>
              <w:t>Implementation Guidance xx</w:t>
            </w:r>
            <w:r>
              <w:rPr>
                <w:rFonts w:ascii="Arial" w:hAnsi="Arial" w:cs="Arial"/>
                <w:color w:val="000000"/>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39098A00" w14:textId="1FB49468" w:rsidR="008B3C15" w:rsidRDefault="008B3C15" w:rsidP="008B3C15"/>
        </w:tc>
        <w:tc>
          <w:tcPr>
            <w:tcW w:w="2185" w:type="dxa"/>
          </w:tcPr>
          <w:p w14:paraId="052CB05C" w14:textId="77777777" w:rsidR="008B3C15" w:rsidRDefault="008B3C15" w:rsidP="008B3C15">
            <w:r>
              <w:t>2.6.1</w:t>
            </w:r>
          </w:p>
          <w:p w14:paraId="1E7668EE" w14:textId="77777777" w:rsidR="008B3C15" w:rsidRDefault="008B3C15" w:rsidP="008B3C15">
            <w:r>
              <w:rPr>
                <w:rFonts w:ascii="Arial" w:hAnsi="Arial" w:cs="Arial"/>
                <w:b/>
                <w:bCs/>
                <w:color w:val="000000"/>
                <w:sz w:val="22"/>
                <w:szCs w:val="22"/>
              </w:rPr>
              <w:t>a. Recommendations and/or implementation guidelines</w:t>
            </w:r>
          </w:p>
          <w:p w14:paraId="2B950626" w14:textId="77777777" w:rsidR="008B3C15" w:rsidRDefault="008B3C15" w:rsidP="008B3C15"/>
        </w:tc>
        <w:tc>
          <w:tcPr>
            <w:tcW w:w="4485" w:type="dxa"/>
          </w:tcPr>
          <w:p w14:paraId="234FA23D" w14:textId="7E8739D6" w:rsidR="008B3C15" w:rsidRDefault="008B3C15" w:rsidP="008B3C15">
            <w:pPr>
              <w:rPr>
                <w:lang w:val="en-US"/>
              </w:rPr>
            </w:pPr>
            <w:r>
              <w:rPr>
                <w:lang w:val="en-US"/>
              </w:rPr>
              <w:t xml:space="preserve">It’s unclear whether this is optional to applicants or to ICANN. </w:t>
            </w:r>
            <w:r w:rsidR="007F62FF">
              <w:rPr>
                <w:lang w:val="en-US"/>
              </w:rPr>
              <w:t xml:space="preserve">If ICANN can establish a draw without a separate fee, then this option must be exercised. </w:t>
            </w:r>
          </w:p>
          <w:p w14:paraId="3DFFE446" w14:textId="1DF38C07" w:rsidR="008B3C15" w:rsidRPr="008B3C15" w:rsidRDefault="008B3C15" w:rsidP="008B3C15">
            <w:pPr>
              <w:rPr>
                <w:lang w:val="en-US"/>
              </w:rPr>
            </w:pPr>
          </w:p>
        </w:tc>
        <w:tc>
          <w:tcPr>
            <w:tcW w:w="4420" w:type="dxa"/>
          </w:tcPr>
          <w:p w14:paraId="25DAC6BA" w14:textId="139F63FC" w:rsidR="008B3C15" w:rsidRDefault="008B3C15" w:rsidP="008B3C15">
            <w:r>
              <w:rPr>
                <w:rFonts w:ascii="Arial" w:hAnsi="Arial" w:cs="Arial"/>
                <w:color w:val="000000"/>
                <w:sz w:val="22"/>
                <w:szCs w:val="22"/>
                <w:u w:val="single"/>
              </w:rPr>
              <w:t>Implementation Guidance xx</w:t>
            </w:r>
            <w:r>
              <w:rPr>
                <w:rFonts w:ascii="Arial" w:hAnsi="Arial" w:cs="Arial"/>
                <w:color w:val="000000"/>
                <w:sz w:val="22"/>
                <w:szCs w:val="22"/>
              </w:rPr>
              <w:t xml:space="preserve">: Procedures related to application queuing should be simplified and streamlined to the extent possible. For example, applicants could be provided the opportunity to pay the optional fee for participating in the drawing along with payment for the application. </w:t>
            </w:r>
            <w:r w:rsidRPr="007F62FF">
              <w:rPr>
                <w:rFonts w:ascii="Arial" w:hAnsi="Arial" w:cs="Arial"/>
                <w:color w:val="FF0000"/>
                <w:sz w:val="22"/>
                <w:szCs w:val="22"/>
                <w:lang w:val="en-US"/>
              </w:rPr>
              <w:t xml:space="preserve">If the fee is not required to establish a legal basis for the randomization, then </w:t>
            </w:r>
            <w:r w:rsidR="007F62FF">
              <w:rPr>
                <w:rFonts w:ascii="Arial" w:hAnsi="Arial" w:cs="Arial"/>
                <w:color w:val="FF0000"/>
                <w:sz w:val="22"/>
                <w:szCs w:val="22"/>
                <w:lang w:val="en-US"/>
              </w:rPr>
              <w:t>a</w:t>
            </w:r>
            <w:r w:rsidRPr="007F62FF">
              <w:rPr>
                <w:rFonts w:ascii="Arial" w:hAnsi="Arial" w:cs="Arial"/>
                <w:color w:val="FF0000"/>
                <w:sz w:val="22"/>
                <w:szCs w:val="22"/>
                <w:lang w:val="en-US"/>
              </w:rPr>
              <w:t xml:space="preserve"> fee </w:t>
            </w:r>
            <w:r w:rsidR="007F62FF">
              <w:rPr>
                <w:rFonts w:ascii="Arial" w:hAnsi="Arial" w:cs="Arial"/>
                <w:color w:val="FF0000"/>
                <w:sz w:val="22"/>
                <w:szCs w:val="22"/>
                <w:lang w:val="en-US"/>
              </w:rPr>
              <w:t>must</w:t>
            </w:r>
            <w:r w:rsidRPr="007F62FF">
              <w:rPr>
                <w:rFonts w:ascii="Arial" w:hAnsi="Arial" w:cs="Arial"/>
                <w:color w:val="FF0000"/>
                <w:sz w:val="22"/>
                <w:szCs w:val="22"/>
                <w:lang w:val="en-US"/>
              </w:rPr>
              <w:t xml:space="preserve"> </w:t>
            </w:r>
            <w:r w:rsidR="007F62FF">
              <w:rPr>
                <w:rFonts w:ascii="Arial" w:hAnsi="Arial" w:cs="Arial"/>
                <w:color w:val="FF0000"/>
                <w:sz w:val="22"/>
                <w:szCs w:val="22"/>
                <w:lang w:val="en-US"/>
              </w:rPr>
              <w:t xml:space="preserve">not </w:t>
            </w:r>
            <w:r w:rsidRPr="007F62FF">
              <w:rPr>
                <w:rFonts w:ascii="Arial" w:hAnsi="Arial" w:cs="Arial"/>
                <w:color w:val="FF0000"/>
                <w:sz w:val="22"/>
                <w:szCs w:val="22"/>
                <w:lang w:val="en-US"/>
              </w:rPr>
              <w:t xml:space="preserve">be required, </w:t>
            </w:r>
            <w:r w:rsidR="007F62FF">
              <w:rPr>
                <w:rFonts w:ascii="Arial" w:hAnsi="Arial" w:cs="Arial"/>
                <w:color w:val="FF0000"/>
                <w:sz w:val="22"/>
                <w:szCs w:val="22"/>
                <w:lang w:val="en-US"/>
              </w:rPr>
              <w:t>only</w:t>
            </w:r>
            <w:r w:rsidRPr="007F62FF">
              <w:rPr>
                <w:rFonts w:ascii="Arial" w:hAnsi="Arial" w:cs="Arial"/>
                <w:color w:val="FF0000"/>
                <w:sz w:val="22"/>
                <w:szCs w:val="22"/>
                <w:lang w:val="en-US"/>
              </w:rPr>
              <w:t xml:space="preserve"> an indication of wanting prioritization</w:t>
            </w:r>
            <w:r w:rsidR="007F62FF">
              <w:rPr>
                <w:rFonts w:ascii="Arial" w:hAnsi="Arial" w:cs="Arial"/>
                <w:color w:val="FF0000"/>
                <w:sz w:val="22"/>
                <w:szCs w:val="22"/>
                <w:lang w:val="en-US"/>
              </w:rPr>
              <w:t xml:space="preserve"> or not</w:t>
            </w:r>
            <w:r w:rsidRPr="007F62FF">
              <w:rPr>
                <w:rFonts w:ascii="Arial" w:hAnsi="Arial" w:cs="Arial"/>
                <w:color w:val="FF0000"/>
                <w:sz w:val="22"/>
                <w:szCs w:val="22"/>
                <w:lang w:val="en-US"/>
              </w:rPr>
              <w:t>.</w:t>
            </w:r>
            <w:r>
              <w:rPr>
                <w:rFonts w:ascii="Arial" w:hAnsi="Arial" w:cs="Arial"/>
                <w:color w:val="000000"/>
                <w:sz w:val="22"/>
                <w:szCs w:val="22"/>
                <w:lang w:val="en-US"/>
              </w:rPr>
              <w:t xml:space="preserve"> </w:t>
            </w:r>
            <w:r>
              <w:rPr>
                <w:rFonts w:ascii="Arial" w:hAnsi="Arial" w:cs="Arial"/>
                <w:color w:val="000000"/>
                <w:sz w:val="22"/>
                <w:szCs w:val="22"/>
              </w:rPr>
              <w:t>Another suggestion is to explore ways to assign a prioritization number during the application process without the need for a distinctly separate drawing event.</w:t>
            </w:r>
          </w:p>
          <w:p w14:paraId="1CE5317D" w14:textId="77777777" w:rsidR="008B3C15" w:rsidRDefault="008B3C15" w:rsidP="008B3C15"/>
        </w:tc>
      </w:tr>
      <w:tr w:rsidR="008B3C15" w14:paraId="5059611E" w14:textId="77777777" w:rsidTr="008B3C15">
        <w:tc>
          <w:tcPr>
            <w:tcW w:w="1039" w:type="dxa"/>
          </w:tcPr>
          <w:p w14:paraId="01FE68CA" w14:textId="77777777" w:rsidR="008B3C15" w:rsidRDefault="008B3C15" w:rsidP="008B3C15">
            <w:pPr>
              <w:pStyle w:val="ListParagraph"/>
              <w:numPr>
                <w:ilvl w:val="0"/>
                <w:numId w:val="1"/>
              </w:numPr>
            </w:pPr>
          </w:p>
        </w:tc>
        <w:tc>
          <w:tcPr>
            <w:tcW w:w="2451" w:type="dxa"/>
          </w:tcPr>
          <w:p w14:paraId="1904CBFA" w14:textId="49594D7C" w:rsidR="008B3C15" w:rsidRDefault="008B3C15" w:rsidP="008B3C15"/>
        </w:tc>
        <w:tc>
          <w:tcPr>
            <w:tcW w:w="2185" w:type="dxa"/>
          </w:tcPr>
          <w:p w14:paraId="1D0611E3" w14:textId="77777777" w:rsidR="007F62FF" w:rsidRDefault="007F62FF" w:rsidP="007F62FF">
            <w:r>
              <w:t>2.6.1</w:t>
            </w:r>
          </w:p>
          <w:p w14:paraId="33F6C591" w14:textId="77777777" w:rsidR="007F62FF" w:rsidRDefault="007F62FF" w:rsidP="007F62FF">
            <w:pPr>
              <w:rPr>
                <w:rFonts w:ascii="Arial" w:hAnsi="Arial" w:cs="Arial"/>
                <w:b/>
                <w:bCs/>
                <w:color w:val="000000"/>
                <w:sz w:val="22"/>
                <w:szCs w:val="22"/>
              </w:rPr>
            </w:pPr>
          </w:p>
          <w:p w14:paraId="4CE61559" w14:textId="40C72C2E" w:rsidR="007F62FF" w:rsidRDefault="007F62FF" w:rsidP="007F62FF">
            <w:r>
              <w:rPr>
                <w:rFonts w:ascii="Arial" w:hAnsi="Arial" w:cs="Arial"/>
                <w:b/>
                <w:bCs/>
                <w:color w:val="000000"/>
                <w:sz w:val="22"/>
                <w:szCs w:val="22"/>
              </w:rPr>
              <w:t xml:space="preserve">b. Deliberations and rationale for recommendations and/or </w:t>
            </w:r>
            <w:r>
              <w:rPr>
                <w:rFonts w:ascii="Arial" w:hAnsi="Arial" w:cs="Arial"/>
                <w:b/>
                <w:bCs/>
                <w:color w:val="000000"/>
                <w:sz w:val="22"/>
                <w:szCs w:val="22"/>
              </w:rPr>
              <w:lastRenderedPageBreak/>
              <w:t>implementation guidelines</w:t>
            </w:r>
          </w:p>
          <w:p w14:paraId="648CF34F" w14:textId="77777777" w:rsidR="008B3C15" w:rsidRDefault="008B3C15" w:rsidP="008B3C15"/>
        </w:tc>
        <w:tc>
          <w:tcPr>
            <w:tcW w:w="4485" w:type="dxa"/>
          </w:tcPr>
          <w:p w14:paraId="6811FCC6" w14:textId="4C73B0D1" w:rsidR="008B3C15" w:rsidRPr="007F62FF" w:rsidRDefault="007F62FF" w:rsidP="008B3C15">
            <w:pPr>
              <w:rPr>
                <w:lang w:val="en-US"/>
              </w:rPr>
            </w:pPr>
            <w:r>
              <w:rPr>
                <w:lang w:val="en-US"/>
              </w:rPr>
              <w:lastRenderedPageBreak/>
              <w:t>Same issue with batches as #2</w:t>
            </w:r>
          </w:p>
        </w:tc>
        <w:tc>
          <w:tcPr>
            <w:tcW w:w="4420" w:type="dxa"/>
          </w:tcPr>
          <w:p w14:paraId="151B38A9" w14:textId="77777777" w:rsidR="008B3C15" w:rsidRDefault="008B3C15" w:rsidP="008B3C15"/>
        </w:tc>
      </w:tr>
      <w:tr w:rsidR="008B3C15" w14:paraId="28AFB8FA" w14:textId="77777777" w:rsidTr="008B3C15">
        <w:tc>
          <w:tcPr>
            <w:tcW w:w="1039" w:type="dxa"/>
          </w:tcPr>
          <w:p w14:paraId="55F0ABCB" w14:textId="77777777" w:rsidR="008B3C15" w:rsidRDefault="008B3C15" w:rsidP="008B3C15">
            <w:pPr>
              <w:pStyle w:val="ListParagraph"/>
              <w:numPr>
                <w:ilvl w:val="0"/>
                <w:numId w:val="1"/>
              </w:numPr>
            </w:pPr>
          </w:p>
        </w:tc>
        <w:tc>
          <w:tcPr>
            <w:tcW w:w="2451" w:type="dxa"/>
          </w:tcPr>
          <w:p w14:paraId="0FEF9ECF" w14:textId="1806BF96" w:rsidR="008B3C15" w:rsidRDefault="008B3C15" w:rsidP="008B3C15"/>
        </w:tc>
        <w:tc>
          <w:tcPr>
            <w:tcW w:w="2185" w:type="dxa"/>
          </w:tcPr>
          <w:p w14:paraId="6CDAF456" w14:textId="77777777" w:rsidR="008B3C15" w:rsidRDefault="008B3C15" w:rsidP="008B3C15"/>
        </w:tc>
        <w:tc>
          <w:tcPr>
            <w:tcW w:w="4485" w:type="dxa"/>
          </w:tcPr>
          <w:p w14:paraId="76AC15AE" w14:textId="0E5EFB4A" w:rsidR="008B3C15" w:rsidRDefault="008B3C15" w:rsidP="008B3C15"/>
        </w:tc>
        <w:tc>
          <w:tcPr>
            <w:tcW w:w="4420" w:type="dxa"/>
          </w:tcPr>
          <w:p w14:paraId="42C8B40A" w14:textId="77777777" w:rsidR="008B3C15" w:rsidRDefault="008B3C15" w:rsidP="008B3C15"/>
        </w:tc>
      </w:tr>
      <w:tr w:rsidR="008B3C15" w14:paraId="4CADDBB7" w14:textId="77777777" w:rsidTr="008B3C15">
        <w:tc>
          <w:tcPr>
            <w:tcW w:w="1039" w:type="dxa"/>
          </w:tcPr>
          <w:p w14:paraId="25826C9A" w14:textId="77777777" w:rsidR="008B3C15" w:rsidRDefault="008B3C15" w:rsidP="008B3C15">
            <w:pPr>
              <w:pStyle w:val="ListParagraph"/>
              <w:numPr>
                <w:ilvl w:val="0"/>
                <w:numId w:val="1"/>
              </w:numPr>
            </w:pPr>
          </w:p>
        </w:tc>
        <w:tc>
          <w:tcPr>
            <w:tcW w:w="2451" w:type="dxa"/>
          </w:tcPr>
          <w:p w14:paraId="178D08F8" w14:textId="77777777" w:rsidR="008B3C15" w:rsidRDefault="008B3C15" w:rsidP="008B3C15"/>
        </w:tc>
        <w:tc>
          <w:tcPr>
            <w:tcW w:w="2185" w:type="dxa"/>
          </w:tcPr>
          <w:p w14:paraId="73118B82" w14:textId="77777777" w:rsidR="008B3C15" w:rsidRDefault="008B3C15" w:rsidP="008B3C15"/>
        </w:tc>
        <w:tc>
          <w:tcPr>
            <w:tcW w:w="4485" w:type="dxa"/>
          </w:tcPr>
          <w:p w14:paraId="189DCE57" w14:textId="26DC78C3" w:rsidR="008B3C15" w:rsidRDefault="008B3C15" w:rsidP="008B3C15"/>
        </w:tc>
        <w:tc>
          <w:tcPr>
            <w:tcW w:w="4420" w:type="dxa"/>
          </w:tcPr>
          <w:p w14:paraId="79019494" w14:textId="77777777" w:rsidR="008B3C15" w:rsidRDefault="008B3C15" w:rsidP="008B3C15"/>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F2525"/>
    <w:multiLevelType w:val="multilevel"/>
    <w:tmpl w:val="591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246C3B"/>
    <w:rsid w:val="00336B8B"/>
    <w:rsid w:val="0035336D"/>
    <w:rsid w:val="00385D74"/>
    <w:rsid w:val="00413734"/>
    <w:rsid w:val="004B3C4A"/>
    <w:rsid w:val="005E720C"/>
    <w:rsid w:val="005F102F"/>
    <w:rsid w:val="006D0418"/>
    <w:rsid w:val="007F1FED"/>
    <w:rsid w:val="007F62FF"/>
    <w:rsid w:val="008363A6"/>
    <w:rsid w:val="008B3C15"/>
    <w:rsid w:val="00970EBD"/>
    <w:rsid w:val="009D04F7"/>
    <w:rsid w:val="009F7957"/>
    <w:rsid w:val="00B34569"/>
    <w:rsid w:val="00BE5129"/>
    <w:rsid w:val="00C639AA"/>
    <w:rsid w:val="00CD0B02"/>
    <w:rsid w:val="00E53B3D"/>
    <w:rsid w:val="00EA18A0"/>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15"/>
    <w:rPr>
      <w:rFonts w:ascii="Times New Roman" w:eastAsia="Times New Roman" w:hAnsi="Times New Roman" w:cs="Times New Roman"/>
      <w:lang w:val="en-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rPr>
      <w:rFonts w:asciiTheme="minorHAnsi" w:eastAsiaTheme="minorEastAsia" w:hAnsiTheme="minorHAnsi" w:cstheme="minorBidi"/>
      <w:lang w:val="en-US"/>
    </w:rPr>
  </w:style>
  <w:style w:type="paragraph" w:styleId="NormalWeb">
    <w:name w:val="Normal (Web)"/>
    <w:basedOn w:val="Normal"/>
    <w:uiPriority w:val="99"/>
    <w:semiHidden/>
    <w:unhideWhenUsed/>
    <w:rsid w:val="008B3C15"/>
    <w:pPr>
      <w:spacing w:before="100" w:beforeAutospacing="1" w:after="100" w:afterAutospacing="1"/>
    </w:pPr>
  </w:style>
  <w:style w:type="paragraph" w:styleId="BalloonText">
    <w:name w:val="Balloon Text"/>
    <w:basedOn w:val="Normal"/>
    <w:link w:val="BalloonTextChar"/>
    <w:uiPriority w:val="99"/>
    <w:semiHidden/>
    <w:unhideWhenUsed/>
    <w:rsid w:val="00413734"/>
    <w:rPr>
      <w:sz w:val="18"/>
      <w:szCs w:val="18"/>
    </w:rPr>
  </w:style>
  <w:style w:type="character" w:customStyle="1" w:styleId="BalloonTextChar">
    <w:name w:val="Balloon Text Char"/>
    <w:basedOn w:val="DefaultParagraphFont"/>
    <w:link w:val="BalloonText"/>
    <w:uiPriority w:val="99"/>
    <w:semiHidden/>
    <w:rsid w:val="00413734"/>
    <w:rPr>
      <w:rFonts w:ascii="Times New Roman" w:eastAsia="Times New Roman" w:hAnsi="Times New Roman" w:cs="Times New Roman"/>
      <w:sz w:val="18"/>
      <w:szCs w:val="18"/>
      <w:lang w:val="en-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259331">
      <w:bodyDiv w:val="1"/>
      <w:marLeft w:val="0"/>
      <w:marRight w:val="0"/>
      <w:marTop w:val="0"/>
      <w:marBottom w:val="0"/>
      <w:divBdr>
        <w:top w:val="none" w:sz="0" w:space="0" w:color="auto"/>
        <w:left w:val="none" w:sz="0" w:space="0" w:color="auto"/>
        <w:bottom w:val="none" w:sz="0" w:space="0" w:color="auto"/>
        <w:right w:val="none" w:sz="0" w:space="0" w:color="auto"/>
      </w:divBdr>
    </w:div>
    <w:div w:id="813908410">
      <w:bodyDiv w:val="1"/>
      <w:marLeft w:val="0"/>
      <w:marRight w:val="0"/>
      <w:marTop w:val="0"/>
      <w:marBottom w:val="0"/>
      <w:divBdr>
        <w:top w:val="none" w:sz="0" w:space="0" w:color="auto"/>
        <w:left w:val="none" w:sz="0" w:space="0" w:color="auto"/>
        <w:bottom w:val="none" w:sz="0" w:space="0" w:color="auto"/>
        <w:right w:val="none" w:sz="0" w:space="0" w:color="auto"/>
      </w:divBdr>
    </w:div>
    <w:div w:id="1000885212">
      <w:bodyDiv w:val="1"/>
      <w:marLeft w:val="0"/>
      <w:marRight w:val="0"/>
      <w:marTop w:val="0"/>
      <w:marBottom w:val="0"/>
      <w:divBdr>
        <w:top w:val="none" w:sz="0" w:space="0" w:color="auto"/>
        <w:left w:val="none" w:sz="0" w:space="0" w:color="auto"/>
        <w:bottom w:val="none" w:sz="0" w:space="0" w:color="auto"/>
        <w:right w:val="none" w:sz="0" w:space="0" w:color="auto"/>
      </w:divBdr>
    </w:div>
    <w:div w:id="1500731433">
      <w:bodyDiv w:val="1"/>
      <w:marLeft w:val="0"/>
      <w:marRight w:val="0"/>
      <w:marTop w:val="0"/>
      <w:marBottom w:val="0"/>
      <w:divBdr>
        <w:top w:val="none" w:sz="0" w:space="0" w:color="auto"/>
        <w:left w:val="none" w:sz="0" w:space="0" w:color="auto"/>
        <w:bottom w:val="none" w:sz="0" w:space="0" w:color="auto"/>
        <w:right w:val="none" w:sz="0" w:space="0" w:color="auto"/>
      </w:divBdr>
    </w:div>
    <w:div w:id="19959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Rubens Kuhl</cp:lastModifiedBy>
  <cp:revision>3</cp:revision>
  <dcterms:created xsi:type="dcterms:W3CDTF">2020-06-19T19:44:00Z</dcterms:created>
  <dcterms:modified xsi:type="dcterms:W3CDTF">2020-07-01T20:48:00Z</dcterms:modified>
</cp:coreProperties>
</file>