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DAA56" w14:textId="7B04592E" w:rsidR="003A75D2" w:rsidRPr="00666D37" w:rsidRDefault="003A75D2">
      <w:pPr>
        <w:rPr>
          <w:rFonts w:cstheme="minorHAnsi"/>
          <w:sz w:val="22"/>
          <w:szCs w:val="22"/>
        </w:rPr>
      </w:pPr>
      <w:r w:rsidRPr="00666D37">
        <w:rPr>
          <w:rFonts w:eastAsia="Times New Roman" w:cstheme="minorHAnsi"/>
          <w:color w:val="000000"/>
          <w:sz w:val="22"/>
          <w:szCs w:val="22"/>
        </w:rPr>
        <w:t>Auctions: Mechanisms of Last Resort &amp; Private Resolution of Contention Sets</w:t>
      </w:r>
    </w:p>
    <w:p w14:paraId="3CCAEFA8" w14:textId="77777777" w:rsidR="003A75D2" w:rsidRPr="00666D37" w:rsidRDefault="003A75D2">
      <w:pPr>
        <w:rPr>
          <w:rFonts w:cstheme="minorHAnsi"/>
          <w:sz w:val="22"/>
          <w:szCs w:val="22"/>
        </w:rPr>
      </w:pPr>
    </w:p>
    <w:p w14:paraId="78582463" w14:textId="54CC4DA1" w:rsidR="009D04F7" w:rsidRPr="00666D37" w:rsidRDefault="009D04F7">
      <w:pPr>
        <w:rPr>
          <w:rFonts w:cstheme="minorHAnsi"/>
          <w:sz w:val="22"/>
          <w:szCs w:val="22"/>
        </w:rPr>
      </w:pPr>
      <w:r w:rsidRPr="00666D37">
        <w:rPr>
          <w:rFonts w:cstheme="minorHAnsi"/>
          <w:sz w:val="22"/>
          <w:szCs w:val="22"/>
        </w:rPr>
        <w:t xml:space="preserve">Your </w:t>
      </w:r>
      <w:r w:rsidR="00C639AA" w:rsidRPr="00666D37">
        <w:rPr>
          <w:rFonts w:cstheme="minorHAnsi"/>
          <w:sz w:val="22"/>
          <w:szCs w:val="22"/>
        </w:rPr>
        <w:t>name</w:t>
      </w:r>
      <w:r w:rsidRPr="00666D37">
        <w:rPr>
          <w:rFonts w:cstheme="minorHAnsi"/>
          <w:sz w:val="22"/>
          <w:szCs w:val="22"/>
        </w:rPr>
        <w:t xml:space="preserve">: </w:t>
      </w:r>
      <w:r w:rsidR="003A75D2" w:rsidRPr="00666D37">
        <w:rPr>
          <w:rFonts w:cstheme="minorHAnsi"/>
          <w:b/>
          <w:bCs/>
          <w:sz w:val="22"/>
          <w:szCs w:val="22"/>
        </w:rPr>
        <w:t>Elaine Pruis</w:t>
      </w:r>
    </w:p>
    <w:p w14:paraId="7E7AAADE" w14:textId="77777777" w:rsidR="009D04F7" w:rsidRPr="00666D37" w:rsidRDefault="009D04F7">
      <w:pPr>
        <w:rPr>
          <w:rFonts w:cstheme="minorHAnsi"/>
          <w:sz w:val="22"/>
          <w:szCs w:val="22"/>
        </w:rPr>
      </w:pPr>
    </w:p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1044"/>
        <w:gridCol w:w="2430"/>
        <w:gridCol w:w="2046"/>
        <w:gridCol w:w="4530"/>
        <w:gridCol w:w="4530"/>
      </w:tblGrid>
      <w:tr w:rsidR="000D421E" w:rsidRPr="00666D37" w14:paraId="2DFB18A8" w14:textId="77777777" w:rsidTr="00233546">
        <w:trPr>
          <w:trHeight w:val="332"/>
        </w:trPr>
        <w:tc>
          <w:tcPr>
            <w:tcW w:w="1044" w:type="dxa"/>
            <w:shd w:val="clear" w:color="auto" w:fill="E7E6E6" w:themeFill="background2"/>
          </w:tcPr>
          <w:p w14:paraId="7FE0EC21" w14:textId="27379A6F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2430" w:type="dxa"/>
            <w:shd w:val="clear" w:color="auto" w:fill="E7E6E6" w:themeFill="background2"/>
          </w:tcPr>
          <w:p w14:paraId="1456978A" w14:textId="67D6483D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Applicable text (please quote directly)</w:t>
            </w:r>
          </w:p>
        </w:tc>
        <w:tc>
          <w:tcPr>
            <w:tcW w:w="2046" w:type="dxa"/>
            <w:shd w:val="clear" w:color="auto" w:fill="E7E6E6" w:themeFill="background2"/>
          </w:tcPr>
          <w:p w14:paraId="66BBA0F6" w14:textId="11EA8A7B" w:rsidR="000D421E" w:rsidRPr="00666D37" w:rsidRDefault="00F07EC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Number and n</w:t>
            </w:r>
            <w:r w:rsidR="00970EBD" w:rsidRPr="00666D37">
              <w:rPr>
                <w:rFonts w:cstheme="minorHAnsi"/>
                <w:b/>
                <w:bCs/>
                <w:sz w:val="22"/>
                <w:szCs w:val="22"/>
              </w:rPr>
              <w:t>ame of applicable report section</w:t>
            </w:r>
          </w:p>
        </w:tc>
        <w:tc>
          <w:tcPr>
            <w:tcW w:w="4530" w:type="dxa"/>
            <w:shd w:val="clear" w:color="auto" w:fill="E7E6E6" w:themeFill="background2"/>
          </w:tcPr>
          <w:p w14:paraId="59003FD4" w14:textId="26BAC8F2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Cannot live with rationale</w:t>
            </w:r>
          </w:p>
        </w:tc>
        <w:tc>
          <w:tcPr>
            <w:tcW w:w="4530" w:type="dxa"/>
            <w:shd w:val="clear" w:color="auto" w:fill="E7E6E6" w:themeFill="background2"/>
          </w:tcPr>
          <w:p w14:paraId="799D98C8" w14:textId="6E9DC6F1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Proposed changes (</w:t>
            </w:r>
            <w:proofErr w:type="gramStart"/>
            <w:r w:rsidRPr="00666D37">
              <w:rPr>
                <w:rFonts w:cstheme="minorHAnsi"/>
                <w:b/>
                <w:bCs/>
                <w:sz w:val="22"/>
                <w:szCs w:val="22"/>
              </w:rPr>
              <w:t>taking into account</w:t>
            </w:r>
            <w:proofErr w:type="gramEnd"/>
            <w:r w:rsidRPr="00666D37">
              <w:rPr>
                <w:rFonts w:cstheme="minorHAnsi"/>
                <w:b/>
                <w:bCs/>
                <w:sz w:val="22"/>
                <w:szCs w:val="22"/>
              </w:rPr>
              <w:t xml:space="preserve"> whether others would be able to live with </w:t>
            </w:r>
            <w:r w:rsidR="00336B8B" w:rsidRPr="00666D37">
              <w:rPr>
                <w:rFonts w:cstheme="minorHAnsi"/>
                <w:b/>
                <w:bCs/>
                <w:sz w:val="22"/>
                <w:szCs w:val="22"/>
              </w:rPr>
              <w:t>them</w:t>
            </w:r>
            <w:r w:rsidRPr="00666D37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0D421E" w:rsidRPr="00666D37" w14:paraId="079FFA20" w14:textId="77777777" w:rsidTr="00233546">
        <w:tc>
          <w:tcPr>
            <w:tcW w:w="1044" w:type="dxa"/>
          </w:tcPr>
          <w:p w14:paraId="21AB5E62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4EDC35E" w14:textId="15C01363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>If an Applicant applies for five or more strings that are within contention sets and participates in private auctions for more than fifty percent (50%) of those strings for which the losing bidder(s) receive the proceeds from the successful bidder, and the applicant loses each of the private auctions, this may be a factor considered by ICANN in determining non-good faith intent for each of those applications.</w:t>
            </w:r>
          </w:p>
        </w:tc>
        <w:tc>
          <w:tcPr>
            <w:tcW w:w="2046" w:type="dxa"/>
          </w:tcPr>
          <w:p w14:paraId="6F343617" w14:textId="72604D7F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Recommendation xx (Rationale 2),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>The non-exhaustive list of “Factors”, first bullet</w:t>
            </w:r>
          </w:p>
        </w:tc>
        <w:tc>
          <w:tcPr>
            <w:tcW w:w="4530" w:type="dxa"/>
          </w:tcPr>
          <w:p w14:paraId="006CBAEE" w14:textId="168DFEAB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Half of five is 2.5. </w:t>
            </w:r>
            <w:r w:rsidR="00300A01">
              <w:rPr>
                <w:rFonts w:cstheme="minorHAnsi"/>
                <w:sz w:val="22"/>
                <w:szCs w:val="22"/>
              </w:rPr>
              <w:t>Use a number that is divisible by 2 and results in a whole number.</w:t>
            </w:r>
            <w:r w:rsidRPr="00666D3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14:paraId="664BDE67" w14:textId="77C883A6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If an Applicant applies for </w:t>
            </w:r>
            <w:r w:rsidRPr="00666D37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four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 or more strings that are within contention sets and participates in private auctions for more than fifty percent (50%) of those strings for which the losing bidder(s) receive the proceeds from the successful bidder, and the applicant loses each of the private auctions, this may be a factor considered by ICANN in determining non-good faith intent for each of those applications.</w:t>
            </w:r>
          </w:p>
        </w:tc>
      </w:tr>
      <w:tr w:rsidR="000D421E" w:rsidRPr="00666D37" w14:paraId="26201D1C" w14:textId="77777777" w:rsidTr="00233546">
        <w:tc>
          <w:tcPr>
            <w:tcW w:w="1044" w:type="dxa"/>
          </w:tcPr>
          <w:p w14:paraId="1E78E9F8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F4B615D" w14:textId="24354F2A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If an applicant is awarded a top-level domain and sells the TLD (separate and apart from a sale of all or substantially all of its non-TLD related assets) within (1) year, this may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lastRenderedPageBreak/>
              <w:t>be a factor considered by ICANN in determining non-good faith intent for that applicant.</w:t>
            </w:r>
          </w:p>
        </w:tc>
        <w:tc>
          <w:tcPr>
            <w:tcW w:w="2046" w:type="dxa"/>
          </w:tcPr>
          <w:p w14:paraId="0654562B" w14:textId="31C7E98C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lastRenderedPageBreak/>
              <w:t xml:space="preserve">Recommendation xx (Rationale 2),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>The non-exhaustive list of “Factors”, third bullet</w:t>
            </w:r>
          </w:p>
        </w:tc>
        <w:tc>
          <w:tcPr>
            <w:tcW w:w="4530" w:type="dxa"/>
          </w:tcPr>
          <w:p w14:paraId="29E2E80E" w14:textId="5699DF80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“Assigns” more broadly captures movement of TLDs</w:t>
            </w:r>
            <w:r w:rsidR="0091573A" w:rsidRPr="00666D37">
              <w:rPr>
                <w:rFonts w:cstheme="minorHAnsi"/>
                <w:sz w:val="22"/>
                <w:szCs w:val="22"/>
              </w:rPr>
              <w:t xml:space="preserve"> and speaks to ICANN’s “Change of Assignment” process.</w:t>
            </w:r>
          </w:p>
        </w:tc>
        <w:tc>
          <w:tcPr>
            <w:tcW w:w="4530" w:type="dxa"/>
          </w:tcPr>
          <w:p w14:paraId="00ED2E91" w14:textId="26F0E152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If an applicant is awarded a top-level domain and </w:t>
            </w:r>
            <w:r w:rsidRPr="00666D37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assigns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 the TLD (separate and apart from a sale of all or substantially all of its non-TLD related assets) within (1) year, this may be a factor considered by ICANN in determining non-good faith intent for that applicant.</w:t>
            </w:r>
          </w:p>
        </w:tc>
      </w:tr>
      <w:tr w:rsidR="000D421E" w:rsidRPr="00666D37" w14:paraId="1FA85D02" w14:textId="77777777" w:rsidTr="00233546">
        <w:tc>
          <w:tcPr>
            <w:tcW w:w="1044" w:type="dxa"/>
          </w:tcPr>
          <w:p w14:paraId="6DAE0DEE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9098A00" w14:textId="766E6B83" w:rsidR="000D421E" w:rsidRPr="00666D37" w:rsidRDefault="00357F12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Adding bullet point</w:t>
            </w:r>
          </w:p>
        </w:tc>
        <w:tc>
          <w:tcPr>
            <w:tcW w:w="2046" w:type="dxa"/>
          </w:tcPr>
          <w:p w14:paraId="2B950626" w14:textId="70CA9B67" w:rsidR="000D421E" w:rsidRPr="00666D37" w:rsidRDefault="00357F12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Recommendation xx (Rationale 2),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>The non-exhaustive list of “Factors”</w:t>
            </w:r>
          </w:p>
        </w:tc>
        <w:tc>
          <w:tcPr>
            <w:tcW w:w="4530" w:type="dxa"/>
          </w:tcPr>
          <w:p w14:paraId="3DFFE446" w14:textId="78D0B68E" w:rsidR="000D421E" w:rsidRPr="00666D37" w:rsidRDefault="009A4C7E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If ICANN isn’t privy to the material terms of settlements, some resolutions could purposely lose without any money changing hands or business combinations being made. Captures possible “paid</w:t>
            </w:r>
            <w:r w:rsidR="00300A01">
              <w:rPr>
                <w:rFonts w:cstheme="minorHAnsi"/>
                <w:sz w:val="22"/>
                <w:szCs w:val="22"/>
              </w:rPr>
              <w:t xml:space="preserve"> (not necessarily in cash)</w:t>
            </w:r>
            <w:r w:rsidRPr="00666D37">
              <w:rPr>
                <w:rFonts w:cstheme="minorHAnsi"/>
                <w:sz w:val="22"/>
                <w:szCs w:val="22"/>
              </w:rPr>
              <w:t xml:space="preserve"> to go away” settlements.</w:t>
            </w:r>
          </w:p>
        </w:tc>
        <w:tc>
          <w:tcPr>
            <w:tcW w:w="4530" w:type="dxa"/>
          </w:tcPr>
          <w:p w14:paraId="1CE5317D" w14:textId="4AAFB5B1" w:rsidR="000D421E" w:rsidRPr="00DD4176" w:rsidRDefault="00357F12" w:rsidP="00DD417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i/>
                <w:sz w:val="22"/>
                <w:szCs w:val="22"/>
              </w:rPr>
            </w:pPr>
            <w:r w:rsidRPr="00DD4176">
              <w:rPr>
                <w:rFonts w:cstheme="minorHAnsi"/>
                <w:b/>
                <w:i/>
                <w:sz w:val="22"/>
                <w:szCs w:val="22"/>
              </w:rPr>
              <w:t>If an applicant with multiple applications resolves contention sets by means other than private auctions and does not win any TLDs</w:t>
            </w:r>
            <w:r w:rsidR="009A4C7E" w:rsidRPr="00DD4176">
              <w:rPr>
                <w:rFonts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0D421E" w:rsidRPr="00666D37" w14:paraId="28AFB8FA" w14:textId="77777777" w:rsidTr="00233546">
        <w:tc>
          <w:tcPr>
            <w:tcW w:w="1044" w:type="dxa"/>
          </w:tcPr>
          <w:p w14:paraId="55F0ABCB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FEF9ECF" w14:textId="5F98ED8B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By requiring all applicants to agree to the bona fide use clause, the Working Group believes that the Board’s primary concerns are mitigated and that private resolutions (including private auctions) as a mechanism to resolve string contention, can be permitted. </w:t>
            </w:r>
          </w:p>
        </w:tc>
        <w:tc>
          <w:tcPr>
            <w:tcW w:w="2046" w:type="dxa"/>
          </w:tcPr>
          <w:p w14:paraId="6CDAF456" w14:textId="1C2953D2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Rationale for Recommendations xx and xx (Rationale 2)</w:t>
            </w:r>
          </w:p>
        </w:tc>
        <w:tc>
          <w:tcPr>
            <w:tcW w:w="4530" w:type="dxa"/>
          </w:tcPr>
          <w:p w14:paraId="76AC15AE" w14:textId="4AAAB5AC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Include “some” in the designation of WG member positions.</w:t>
            </w:r>
          </w:p>
        </w:tc>
        <w:tc>
          <w:tcPr>
            <w:tcW w:w="4530" w:type="dxa"/>
          </w:tcPr>
          <w:p w14:paraId="42C8B40A" w14:textId="26BE5AEC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By requiring all applicants to agree to the bona fide use clause, </w:t>
            </w:r>
            <w:r w:rsidRPr="00666D37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some of</w:t>
            </w:r>
            <w:r w:rsidRPr="00666D37">
              <w:rPr>
                <w:rFonts w:cstheme="minorHAnsi"/>
                <w:sz w:val="22"/>
                <w:szCs w:val="22"/>
              </w:rPr>
              <w:t xml:space="preserve"> the Working Group believes that the Board’s primary concerns are mitigated and that private resolutions (including private auctions) as a mechanism to resolve string contention, can be permitted. </w:t>
            </w:r>
          </w:p>
        </w:tc>
      </w:tr>
      <w:tr w:rsidR="00895229" w:rsidRPr="00666D37" w14:paraId="3507395D" w14:textId="77777777" w:rsidTr="00233546">
        <w:tc>
          <w:tcPr>
            <w:tcW w:w="1044" w:type="dxa"/>
          </w:tcPr>
          <w:p w14:paraId="2171245E" w14:textId="77777777" w:rsidR="00895229" w:rsidRPr="00666D37" w:rsidRDefault="00895229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C8CE99E" w14:textId="046C775E" w:rsidR="00895229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The Working Group believes that second-price, sealed bid auctions are preferable to the ascending bid auctions used in the 2012 round, because second price auctions reduce the risk of “bidding wars” that can </w:t>
            </w:r>
            <w:r w:rsidRPr="00666D37">
              <w:rPr>
                <w:rFonts w:cstheme="minorHAnsi"/>
                <w:sz w:val="22"/>
                <w:szCs w:val="22"/>
              </w:rPr>
              <w:lastRenderedPageBreak/>
              <w:t>occur in ascending bid auctions.</w:t>
            </w:r>
          </w:p>
        </w:tc>
        <w:tc>
          <w:tcPr>
            <w:tcW w:w="2046" w:type="dxa"/>
          </w:tcPr>
          <w:p w14:paraId="14EB001C" w14:textId="1ABA2227" w:rsidR="00895229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lastRenderedPageBreak/>
              <w:t>Rationale for Implementation Guidance xx (Rationale 3)</w:t>
            </w:r>
          </w:p>
        </w:tc>
        <w:tc>
          <w:tcPr>
            <w:tcW w:w="4530" w:type="dxa"/>
          </w:tcPr>
          <w:p w14:paraId="4031F489" w14:textId="77777777" w:rsidR="00DD4176" w:rsidRDefault="00DD4176">
            <w:pPr>
              <w:rPr>
                <w:rFonts w:cstheme="minorHAnsi"/>
                <w:sz w:val="22"/>
                <w:szCs w:val="22"/>
              </w:rPr>
            </w:pPr>
            <w:r w:rsidRPr="00A126AB">
              <w:rPr>
                <w:rFonts w:cstheme="minorHAnsi"/>
                <w:i/>
                <w:sz w:val="22"/>
                <w:szCs w:val="22"/>
              </w:rPr>
              <w:t>IF</w:t>
            </w:r>
            <w:r>
              <w:rPr>
                <w:rFonts w:cstheme="minorHAnsi"/>
                <w:sz w:val="22"/>
                <w:szCs w:val="22"/>
              </w:rPr>
              <w:t xml:space="preserve"> Susan Payne’s language arguing the counterpoints against second-price, sealed bid auctions is accepted/included, </w:t>
            </w:r>
          </w:p>
          <w:p w14:paraId="166FDE02" w14:textId="08DDCDEF" w:rsidR="00895229" w:rsidRPr="00666D37" w:rsidRDefault="00DD4176">
            <w:pPr>
              <w:rPr>
                <w:rFonts w:cstheme="minorHAnsi"/>
                <w:sz w:val="22"/>
                <w:szCs w:val="22"/>
              </w:rPr>
            </w:pPr>
            <w:bookmarkStart w:id="0" w:name="_GoBack"/>
            <w:r w:rsidRPr="00A126AB">
              <w:rPr>
                <w:rFonts w:cstheme="minorHAnsi"/>
                <w:i/>
                <w:sz w:val="22"/>
                <w:szCs w:val="22"/>
              </w:rPr>
              <w:t>THEN</w:t>
            </w:r>
            <w:bookmarkEnd w:id="0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95229" w:rsidRPr="00666D37">
              <w:rPr>
                <w:rFonts w:cstheme="minorHAnsi"/>
                <w:sz w:val="22"/>
                <w:szCs w:val="22"/>
              </w:rPr>
              <w:t>the benefits of second-price, sealed bid auctions should be expounded upon in this section.</w:t>
            </w:r>
          </w:p>
        </w:tc>
        <w:tc>
          <w:tcPr>
            <w:tcW w:w="4530" w:type="dxa"/>
          </w:tcPr>
          <w:p w14:paraId="1C678EEE" w14:textId="12C895D6" w:rsidR="00DD4176" w:rsidRPr="00DD4176" w:rsidRDefault="00895229" w:rsidP="00DD4176">
            <w:pPr>
              <w:rPr>
                <w:rFonts w:ascii="Calibri" w:eastAsia="Times New Roman" w:hAnsi="Calibri" w:cs="Calibri"/>
                <w:b/>
                <w:i/>
                <w:color w:val="000000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The Working Group believes that second-price, sealed bid auctions are preferable to the ascending bid auctions used in the 2012 round, because </w:t>
            </w:r>
            <w:r w:rsidR="00DD4176" w:rsidRPr="00DD4176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this method e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liminat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es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collusion and bid rigging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; it is the preferred method used 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by governments to allocate critical resources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;</w:t>
            </w:r>
          </w:p>
          <w:p w14:paraId="5CA4B02B" w14:textId="387B13C2" w:rsidR="00895229" w:rsidRPr="00666D37" w:rsidRDefault="00DD4176" w:rsidP="00DD4176">
            <w:pPr>
              <w:rPr>
                <w:rFonts w:cstheme="minorHAnsi"/>
                <w:sz w:val="22"/>
                <w:szCs w:val="22"/>
              </w:rPr>
            </w:pP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idders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are forced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to value the TLD in absolute terms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; and</w:t>
            </w:r>
            <w:r w:rsidR="0039540F" w:rsidRPr="00666D37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95229" w:rsidRPr="00666D37">
              <w:rPr>
                <w:rFonts w:cstheme="minorHAnsi"/>
                <w:sz w:val="22"/>
                <w:szCs w:val="22"/>
              </w:rPr>
              <w:t>second price auctions reduce the risk of “bidding wars” that can occur in ascending bid auctions.</w:t>
            </w:r>
          </w:p>
        </w:tc>
      </w:tr>
    </w:tbl>
    <w:p w14:paraId="293DC469" w14:textId="77777777" w:rsidR="000B7A30" w:rsidRPr="00666D37" w:rsidRDefault="000B7A30">
      <w:pPr>
        <w:rPr>
          <w:rFonts w:cstheme="minorHAnsi"/>
          <w:sz w:val="22"/>
          <w:szCs w:val="22"/>
        </w:rPr>
      </w:pPr>
    </w:p>
    <w:sectPr w:rsidR="000B7A30" w:rsidRPr="00666D37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0E46"/>
    <w:multiLevelType w:val="hybridMultilevel"/>
    <w:tmpl w:val="97B8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8222E"/>
    <w:multiLevelType w:val="hybridMultilevel"/>
    <w:tmpl w:val="CA3E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F7"/>
    <w:rsid w:val="000767E5"/>
    <w:rsid w:val="000B7A30"/>
    <w:rsid w:val="000D421E"/>
    <w:rsid w:val="00233546"/>
    <w:rsid w:val="00246C3B"/>
    <w:rsid w:val="00300A01"/>
    <w:rsid w:val="00336B8B"/>
    <w:rsid w:val="0035336D"/>
    <w:rsid w:val="00357F12"/>
    <w:rsid w:val="00385D74"/>
    <w:rsid w:val="0039540F"/>
    <w:rsid w:val="003A75D2"/>
    <w:rsid w:val="004176A6"/>
    <w:rsid w:val="004B3C4A"/>
    <w:rsid w:val="005E720C"/>
    <w:rsid w:val="005F102F"/>
    <w:rsid w:val="006633D0"/>
    <w:rsid w:val="00666D37"/>
    <w:rsid w:val="006D0418"/>
    <w:rsid w:val="00710FA5"/>
    <w:rsid w:val="00770DEF"/>
    <w:rsid w:val="007F1FED"/>
    <w:rsid w:val="008363A6"/>
    <w:rsid w:val="00895229"/>
    <w:rsid w:val="008A3B83"/>
    <w:rsid w:val="0091573A"/>
    <w:rsid w:val="00970EBD"/>
    <w:rsid w:val="009A4C7E"/>
    <w:rsid w:val="009D04F7"/>
    <w:rsid w:val="009F7957"/>
    <w:rsid w:val="00A126AB"/>
    <w:rsid w:val="00AE1DB1"/>
    <w:rsid w:val="00B34569"/>
    <w:rsid w:val="00BE5129"/>
    <w:rsid w:val="00C639AA"/>
    <w:rsid w:val="00CD0B02"/>
    <w:rsid w:val="00D437F6"/>
    <w:rsid w:val="00DD4176"/>
    <w:rsid w:val="00E53B3D"/>
    <w:rsid w:val="00EF35AF"/>
    <w:rsid w:val="00F07ECE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Pruis, Elaine</cp:lastModifiedBy>
  <cp:revision>4</cp:revision>
  <dcterms:created xsi:type="dcterms:W3CDTF">2020-08-12T18:19:00Z</dcterms:created>
  <dcterms:modified xsi:type="dcterms:W3CDTF">2020-08-12T18:49:00Z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