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4F7" w:rsidRDefault="009D04F7">
      <w:r>
        <w:t xml:space="preserve">Your </w:t>
      </w:r>
      <w:r w:rsidR="00C639AA">
        <w:t>name</w:t>
      </w:r>
      <w:r>
        <w:t xml:space="preserve">: </w:t>
      </w:r>
      <w:r w:rsidR="00964400">
        <w:t>Paul McGr</w:t>
      </w:r>
      <w:r w:rsidR="00B831D6">
        <w:t>ady</w:t>
      </w:r>
    </w:p>
    <w:p w:rsidR="009D04F7" w:rsidRDefault="009D04F7"/>
    <w:tbl>
      <w:tblPr>
        <w:tblStyle w:val="TableGrid"/>
        <w:tblW w:w="14580" w:type="dxa"/>
        <w:tblInd w:w="-725" w:type="dxa"/>
        <w:tblLook w:val="04A0" w:firstRow="1" w:lastRow="0" w:firstColumn="1" w:lastColumn="0" w:noHBand="0" w:noVBand="1"/>
      </w:tblPr>
      <w:tblGrid>
        <w:gridCol w:w="1080"/>
        <w:gridCol w:w="2520"/>
        <w:gridCol w:w="1260"/>
        <w:gridCol w:w="4860"/>
        <w:gridCol w:w="4860"/>
      </w:tblGrid>
      <w:tr w:rsidR="000D421E" w:rsidTr="000D421E">
        <w:trPr>
          <w:trHeight w:val="332"/>
        </w:trPr>
        <w:tc>
          <w:tcPr>
            <w:tcW w:w="1080" w:type="dxa"/>
            <w:shd w:val="clear" w:color="auto" w:fill="E7E6E6" w:themeFill="background2"/>
          </w:tcPr>
          <w:p w:rsidR="000D421E" w:rsidRPr="009D04F7" w:rsidRDefault="000D421E">
            <w:pPr>
              <w:rPr>
                <w:b/>
                <w:bCs/>
              </w:rPr>
            </w:pPr>
            <w:r>
              <w:rPr>
                <w:b/>
                <w:bCs/>
              </w:rPr>
              <w:t>Issue</w:t>
            </w:r>
          </w:p>
        </w:tc>
        <w:tc>
          <w:tcPr>
            <w:tcW w:w="2520" w:type="dxa"/>
            <w:shd w:val="clear" w:color="auto" w:fill="E7E6E6" w:themeFill="background2"/>
          </w:tcPr>
          <w:p w:rsidR="000D421E" w:rsidRPr="009D04F7" w:rsidRDefault="000D421E">
            <w:pPr>
              <w:rPr>
                <w:b/>
                <w:bCs/>
              </w:rPr>
            </w:pPr>
            <w:r>
              <w:rPr>
                <w:b/>
                <w:bCs/>
              </w:rPr>
              <w:t>Applicable text (please quote directly)</w:t>
            </w:r>
          </w:p>
        </w:tc>
        <w:tc>
          <w:tcPr>
            <w:tcW w:w="1260" w:type="dxa"/>
            <w:shd w:val="clear" w:color="auto" w:fill="E7E6E6" w:themeFill="background2"/>
          </w:tcPr>
          <w:p w:rsidR="000D421E" w:rsidRPr="009D04F7" w:rsidRDefault="00F07ECE">
            <w:pPr>
              <w:rPr>
                <w:b/>
                <w:bCs/>
              </w:rPr>
            </w:pPr>
            <w:r>
              <w:rPr>
                <w:b/>
                <w:bCs/>
              </w:rPr>
              <w:t>Number and n</w:t>
            </w:r>
            <w:r w:rsidR="00970EBD">
              <w:rPr>
                <w:b/>
                <w:bCs/>
              </w:rPr>
              <w:t>ame of applicable report section</w:t>
            </w:r>
          </w:p>
        </w:tc>
        <w:tc>
          <w:tcPr>
            <w:tcW w:w="4860" w:type="dxa"/>
            <w:shd w:val="clear" w:color="auto" w:fill="E7E6E6" w:themeFill="background2"/>
          </w:tcPr>
          <w:p w:rsidR="000D421E" w:rsidRPr="009D04F7" w:rsidRDefault="000D421E">
            <w:pPr>
              <w:rPr>
                <w:b/>
                <w:bCs/>
              </w:rPr>
            </w:pPr>
            <w:r w:rsidRPr="009D04F7">
              <w:rPr>
                <w:b/>
                <w:bCs/>
              </w:rPr>
              <w:t>Cannot live with rationale</w:t>
            </w:r>
          </w:p>
        </w:tc>
        <w:tc>
          <w:tcPr>
            <w:tcW w:w="4860" w:type="dxa"/>
            <w:shd w:val="clear" w:color="auto" w:fill="E7E6E6" w:themeFill="background2"/>
          </w:tcPr>
          <w:p w:rsidR="000D421E" w:rsidRPr="009D04F7" w:rsidRDefault="000D421E">
            <w:pPr>
              <w:rPr>
                <w:b/>
                <w:bCs/>
              </w:rPr>
            </w:pPr>
            <w:r w:rsidRPr="009D04F7">
              <w:rPr>
                <w:b/>
                <w:bCs/>
              </w:rPr>
              <w:t>Proposed changes</w:t>
            </w:r>
            <w:r>
              <w:rPr>
                <w:b/>
                <w:bCs/>
              </w:rPr>
              <w:t xml:space="preserve"> (taking into account whether others would be able to live with </w:t>
            </w:r>
            <w:r w:rsidR="00336B8B">
              <w:rPr>
                <w:b/>
                <w:bCs/>
              </w:rPr>
              <w:t>them</w:t>
            </w:r>
            <w:r>
              <w:rPr>
                <w:b/>
                <w:bCs/>
              </w:rPr>
              <w:t>)</w:t>
            </w:r>
          </w:p>
        </w:tc>
      </w:tr>
      <w:tr w:rsidR="000D421E" w:rsidTr="000D421E">
        <w:tc>
          <w:tcPr>
            <w:tcW w:w="1080" w:type="dxa"/>
          </w:tcPr>
          <w:p w:rsidR="000D421E" w:rsidRDefault="000D421E" w:rsidP="006D0418">
            <w:pPr>
              <w:pStyle w:val="ListParagraph"/>
              <w:numPr>
                <w:ilvl w:val="0"/>
                <w:numId w:val="1"/>
              </w:numPr>
            </w:pPr>
          </w:p>
        </w:tc>
        <w:tc>
          <w:tcPr>
            <w:tcW w:w="2520" w:type="dxa"/>
          </w:tcPr>
          <w:p w:rsidR="000D421E" w:rsidRDefault="00B831D6">
            <w:r>
              <w:t>Section 2.7.3 in its entirety</w:t>
            </w:r>
            <w:r w:rsidR="00266FAD">
              <w:t xml:space="preserve"> (Package 6)</w:t>
            </w:r>
          </w:p>
        </w:tc>
        <w:tc>
          <w:tcPr>
            <w:tcW w:w="1260" w:type="dxa"/>
          </w:tcPr>
          <w:p w:rsidR="000D421E" w:rsidRDefault="00B831D6">
            <w:r>
              <w:t>2.7.3 Closed Generics</w:t>
            </w:r>
          </w:p>
        </w:tc>
        <w:tc>
          <w:tcPr>
            <w:tcW w:w="4860" w:type="dxa"/>
          </w:tcPr>
          <w:p w:rsidR="000D421E" w:rsidRDefault="00B831D6">
            <w:r>
              <w:t>1.  Cannot live with references to a “ban.”  The Board did not ban close generics.  The Board deferred them to the next round.</w:t>
            </w:r>
          </w:p>
          <w:p w:rsidR="00B831D6" w:rsidRDefault="00B831D6"/>
          <w:p w:rsidR="00B831D6" w:rsidRDefault="00B831D6" w:rsidP="00964400">
            <w:r>
              <w:t xml:space="preserve">2.  We should continue our discussion </w:t>
            </w:r>
            <w:r w:rsidR="00964400">
              <w:t>on whether or not there needs to be a “public interest” for so-called closed generics.</w:t>
            </w:r>
          </w:p>
          <w:p w:rsidR="00964400" w:rsidRDefault="00964400" w:rsidP="00964400"/>
          <w:p w:rsidR="00964400" w:rsidRDefault="00964400" w:rsidP="00964400">
            <w:r>
              <w:t>3.  The Supreme Court of the United States rejected per se bans on generic terms + domain name elements by the USPTO and shredded arguments that having such trademarks would have any appreciable impact on others wanting to use the generic term for its generic meaning.  See</w:t>
            </w:r>
            <w:r>
              <w:rPr>
                <w:rStyle w:val="FootnoteReference"/>
              </w:rPr>
              <w:footnoteReference w:id="1"/>
            </w:r>
            <w:r>
              <w:t xml:space="preserve">.  This has direct impact on our discussion and we should discuss the </w:t>
            </w:r>
            <w:proofErr w:type="spellStart"/>
            <w:r>
              <w:t>affects</w:t>
            </w:r>
            <w:proofErr w:type="spellEnd"/>
            <w:r>
              <w:t xml:space="preserve"> of this case on the push by some to insist ICANN have a per se ban as well.   </w:t>
            </w:r>
          </w:p>
        </w:tc>
        <w:tc>
          <w:tcPr>
            <w:tcW w:w="4860" w:type="dxa"/>
          </w:tcPr>
          <w:p w:rsidR="000D421E" w:rsidRDefault="00964400">
            <w:r>
              <w:t xml:space="preserve">1.  </w:t>
            </w:r>
            <w:r w:rsidR="00B831D6">
              <w:t xml:space="preserve">Eliminate references to a “ban” and put in what really happened which was a deferral. </w:t>
            </w:r>
          </w:p>
          <w:p w:rsidR="00964400" w:rsidRDefault="00964400"/>
          <w:p w:rsidR="00964400" w:rsidRDefault="00964400">
            <w:r>
              <w:t>2.  Have another call.</w:t>
            </w:r>
          </w:p>
          <w:p w:rsidR="00964400" w:rsidRDefault="00964400"/>
          <w:p w:rsidR="00964400" w:rsidRDefault="00964400">
            <w:r>
              <w:t>3.  Have another call.</w:t>
            </w:r>
          </w:p>
        </w:tc>
      </w:tr>
    </w:tbl>
    <w:p w:rsidR="000B7A30" w:rsidRDefault="000B7A30"/>
    <w:sectPr w:rsidR="000B7A30" w:rsidSect="009D04F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5C6" w:rsidRDefault="00FC55C6" w:rsidP="00964400">
      <w:r>
        <w:separator/>
      </w:r>
    </w:p>
  </w:endnote>
  <w:endnote w:type="continuationSeparator" w:id="0">
    <w:p w:rsidR="00FC55C6" w:rsidRDefault="00FC55C6" w:rsidP="0096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5C6" w:rsidRDefault="00FC55C6" w:rsidP="00964400">
      <w:r>
        <w:separator/>
      </w:r>
    </w:p>
  </w:footnote>
  <w:footnote w:type="continuationSeparator" w:id="0">
    <w:p w:rsidR="00FC55C6" w:rsidRDefault="00FC55C6" w:rsidP="00964400">
      <w:r>
        <w:continuationSeparator/>
      </w:r>
    </w:p>
  </w:footnote>
  <w:footnote w:id="1">
    <w:p w:rsidR="00964400" w:rsidRDefault="00964400" w:rsidP="00964400">
      <w:pPr>
        <w:rPr>
          <w:rFonts w:ascii="Times New Roman" w:eastAsiaTheme="minorHAnsi" w:hAnsi="Times New Roman" w:cs="Times New Roman"/>
          <w:color w:val="000000"/>
        </w:rPr>
      </w:pPr>
      <w:r>
        <w:rPr>
          <w:rStyle w:val="FootnoteReference"/>
        </w:rPr>
        <w:footnoteRef/>
      </w:r>
      <w:r>
        <w:t xml:space="preserve"> See </w:t>
      </w:r>
      <w:hyperlink r:id="rId1" w:history="1">
        <w:r>
          <w:rPr>
            <w:rStyle w:val="Hyperlink"/>
          </w:rPr>
          <w:t>https://www.law360.com/dockets/download/5efb47347da17405e86713cb?doc_url=https%3A%2F%2Fwww.supremecourt.gov%2Fopinions%2F19pdf%2F19-46_8n59.pdf&amp;label=Opinion</w:t>
        </w:r>
      </w:hyperlink>
    </w:p>
    <w:p w:rsidR="00964400" w:rsidRDefault="0096440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F7"/>
    <w:rsid w:val="000B7A30"/>
    <w:rsid w:val="000D421E"/>
    <w:rsid w:val="00246C3B"/>
    <w:rsid w:val="00266FAD"/>
    <w:rsid w:val="00336B8B"/>
    <w:rsid w:val="0035336D"/>
    <w:rsid w:val="00385D74"/>
    <w:rsid w:val="004B3C4A"/>
    <w:rsid w:val="005E720C"/>
    <w:rsid w:val="005F102F"/>
    <w:rsid w:val="006D0418"/>
    <w:rsid w:val="007F1FED"/>
    <w:rsid w:val="008363A6"/>
    <w:rsid w:val="00964400"/>
    <w:rsid w:val="00970EBD"/>
    <w:rsid w:val="009D04F7"/>
    <w:rsid w:val="009F7957"/>
    <w:rsid w:val="00B34569"/>
    <w:rsid w:val="00B831D6"/>
    <w:rsid w:val="00BE5129"/>
    <w:rsid w:val="00C639AA"/>
    <w:rsid w:val="00CD0B02"/>
    <w:rsid w:val="00E53B3D"/>
    <w:rsid w:val="00EF35AF"/>
    <w:rsid w:val="00F07ECE"/>
    <w:rsid w:val="00F10689"/>
    <w:rsid w:val="00F76A69"/>
    <w:rsid w:val="00FC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790D"/>
  <w15:chartTrackingRefBased/>
  <w15:docId w15:val="{C73C14C4-F2EC-5F42-88A8-611DDE95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 w:type="paragraph" w:styleId="FootnoteText">
    <w:name w:val="footnote text"/>
    <w:basedOn w:val="Normal"/>
    <w:link w:val="FootnoteTextChar"/>
    <w:uiPriority w:val="99"/>
    <w:semiHidden/>
    <w:unhideWhenUsed/>
    <w:rsid w:val="00964400"/>
    <w:rPr>
      <w:sz w:val="20"/>
      <w:szCs w:val="20"/>
    </w:rPr>
  </w:style>
  <w:style w:type="character" w:customStyle="1" w:styleId="FootnoteTextChar">
    <w:name w:val="Footnote Text Char"/>
    <w:basedOn w:val="DefaultParagraphFont"/>
    <w:link w:val="FootnoteText"/>
    <w:uiPriority w:val="99"/>
    <w:semiHidden/>
    <w:rsid w:val="00964400"/>
    <w:rPr>
      <w:rFonts w:eastAsiaTheme="minorEastAsia"/>
      <w:sz w:val="20"/>
      <w:szCs w:val="20"/>
    </w:rPr>
  </w:style>
  <w:style w:type="character" w:styleId="FootnoteReference">
    <w:name w:val="footnote reference"/>
    <w:basedOn w:val="DefaultParagraphFont"/>
    <w:uiPriority w:val="99"/>
    <w:semiHidden/>
    <w:unhideWhenUsed/>
    <w:rsid w:val="00964400"/>
    <w:rPr>
      <w:vertAlign w:val="superscript"/>
    </w:rPr>
  </w:style>
  <w:style w:type="character" w:styleId="Hyperlink">
    <w:name w:val="Hyperlink"/>
    <w:basedOn w:val="DefaultParagraphFont"/>
    <w:uiPriority w:val="99"/>
    <w:semiHidden/>
    <w:unhideWhenUsed/>
    <w:rsid w:val="0096440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564097">
      <w:bodyDiv w:val="1"/>
      <w:marLeft w:val="0"/>
      <w:marRight w:val="0"/>
      <w:marTop w:val="0"/>
      <w:marBottom w:val="0"/>
      <w:divBdr>
        <w:top w:val="none" w:sz="0" w:space="0" w:color="auto"/>
        <w:left w:val="none" w:sz="0" w:space="0" w:color="auto"/>
        <w:bottom w:val="none" w:sz="0" w:space="0" w:color="auto"/>
        <w:right w:val="none" w:sz="0" w:space="0" w:color="auto"/>
      </w:divBdr>
    </w:div>
    <w:div w:id="189238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aw360.com/dockets/download/5efb47347da17405e86713cb?doc_url=https%3A%2F%2Fwww.supremecourt.gov%2Fopinions%2F19pdf%2F19-46_8n59.pdf&amp;label=Opi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82BDF-90A5-4421-9F63-9DA97982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935</Characters>
  <Application>Microsoft Office Word</Application>
  <DocSecurity>0</DocSecurity>
  <Lines>187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McGrady, Paul D.</cp:lastModifiedBy>
  <cp:revision>2</cp:revision>
  <dcterms:created xsi:type="dcterms:W3CDTF">2020-06-30T21:42:00Z</dcterms:created>
  <dcterms:modified xsi:type="dcterms:W3CDTF">2020-06-30T21:42:00Z</dcterms:modified>
</cp:coreProperties>
</file>