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84F" w:rsidRDefault="00A9584F"/>
    <w:p w:rsidR="00FE05EE" w:rsidRPr="00FE05EE" w:rsidRDefault="00FE05EE">
      <w:pPr>
        <w:rPr>
          <w:rFonts w:asciiTheme="majorHAnsi" w:hAnsiTheme="majorHAnsi"/>
          <w:b/>
          <w:sz w:val="22"/>
          <w:szCs w:val="22"/>
        </w:rPr>
      </w:pPr>
      <w:r w:rsidRPr="00FE05EE">
        <w:rPr>
          <w:rFonts w:asciiTheme="majorHAnsi" w:hAnsiTheme="majorHAnsi"/>
          <w:b/>
          <w:sz w:val="22"/>
          <w:szCs w:val="22"/>
        </w:rPr>
        <w:t>EXCERPT FROM EXECUTIVE SUMMARY OF PPSAI WG INITIAL REPORT (as of 23 April 2015)</w:t>
      </w:r>
    </w:p>
    <w:p w:rsidR="00FE05EE" w:rsidRDefault="00FE05EE"/>
    <w:p w:rsidR="00FE05EE" w:rsidRDefault="00FE05EE" w:rsidP="00FE05EE">
      <w:pPr>
        <w:suppressLineNumbers/>
        <w:rPr>
          <w:rFonts w:ascii="Calibri" w:hAnsi="Calibri"/>
          <w:sz w:val="22"/>
          <w:szCs w:val="22"/>
        </w:rPr>
      </w:pPr>
      <w:r>
        <w:rPr>
          <w:rFonts w:ascii="Calibri" w:hAnsi="Calibri"/>
          <w:sz w:val="22"/>
          <w:szCs w:val="22"/>
        </w:rPr>
        <w:t>The following sub-sections provide a summary of the WG’s preliminary conclusions as follows</w:t>
      </w:r>
      <w:r>
        <w:rPr>
          <w:rStyle w:val="FootnoteReference"/>
          <w:rFonts w:ascii="Calibri" w:hAnsi="Calibri"/>
          <w:sz w:val="22"/>
          <w:szCs w:val="22"/>
        </w:rPr>
        <w:footnoteReference w:id="1"/>
      </w:r>
      <w:r>
        <w:rPr>
          <w:rFonts w:ascii="Calibri" w:hAnsi="Calibri"/>
          <w:sz w:val="22"/>
          <w:szCs w:val="22"/>
        </w:rPr>
        <w:t xml:space="preserve">: </w:t>
      </w:r>
    </w:p>
    <w:p w:rsidR="00FE05EE" w:rsidRDefault="00FE05EE" w:rsidP="00FE05EE">
      <w:pPr>
        <w:numPr>
          <w:ilvl w:val="0"/>
          <w:numId w:val="9"/>
        </w:numPr>
        <w:suppressLineNumbers/>
        <w:rPr>
          <w:rFonts w:ascii="Calibri" w:hAnsi="Calibri"/>
          <w:sz w:val="22"/>
          <w:szCs w:val="22"/>
        </w:rPr>
      </w:pPr>
      <w:r>
        <w:rPr>
          <w:rFonts w:ascii="Calibri" w:hAnsi="Calibri"/>
          <w:sz w:val="22"/>
          <w:szCs w:val="22"/>
        </w:rPr>
        <w:t xml:space="preserve">Section 1.3.1 contains all the WG’s preliminarily-agreed recommendations; </w:t>
      </w:r>
    </w:p>
    <w:p w:rsidR="00FE05EE" w:rsidRDefault="00FE05EE" w:rsidP="00FE05EE">
      <w:pPr>
        <w:numPr>
          <w:ilvl w:val="0"/>
          <w:numId w:val="9"/>
        </w:numPr>
        <w:suppressLineNumbers/>
        <w:rPr>
          <w:rFonts w:ascii="Calibri" w:hAnsi="Calibri"/>
          <w:sz w:val="22"/>
          <w:szCs w:val="22"/>
        </w:rPr>
      </w:pPr>
      <w:r>
        <w:rPr>
          <w:rFonts w:ascii="Calibri" w:hAnsi="Calibri"/>
          <w:sz w:val="22"/>
          <w:szCs w:val="22"/>
        </w:rPr>
        <w:t xml:space="preserve">Section 1.3.2 contains certain questions relating to specific aspects of “relay” and “reveal” that have yet to be finalized by the WG; and </w:t>
      </w:r>
    </w:p>
    <w:p w:rsidR="00FE05EE" w:rsidRDefault="00FE05EE" w:rsidP="00FE05EE">
      <w:pPr>
        <w:numPr>
          <w:ilvl w:val="0"/>
          <w:numId w:val="9"/>
        </w:numPr>
        <w:suppressLineNumbers/>
        <w:rPr>
          <w:rFonts w:ascii="Calibri" w:hAnsi="Calibri"/>
          <w:sz w:val="22"/>
          <w:szCs w:val="22"/>
        </w:rPr>
      </w:pPr>
      <w:r>
        <w:rPr>
          <w:rFonts w:ascii="Calibri" w:hAnsi="Calibri"/>
          <w:sz w:val="22"/>
          <w:szCs w:val="22"/>
        </w:rPr>
        <w:t>Section 1.3.3 contains the WG’s majority and minority view on certain aspects in relation to commercial/non-commercial uses of domain names in relation to privacy and/or proxy services.</w:t>
      </w:r>
    </w:p>
    <w:p w:rsidR="00FE05EE" w:rsidRDefault="00FE05EE" w:rsidP="00FE05EE">
      <w:pPr>
        <w:suppressLineNumbers/>
        <w:rPr>
          <w:rFonts w:ascii="Calibri" w:hAnsi="Calibri"/>
          <w:sz w:val="22"/>
          <w:szCs w:val="22"/>
        </w:rPr>
      </w:pPr>
    </w:p>
    <w:p w:rsidR="00FE05EE" w:rsidRDefault="00FE05EE" w:rsidP="00FE05EE">
      <w:pPr>
        <w:suppressLineNumbers/>
        <w:rPr>
          <w:rFonts w:ascii="Calibri" w:hAnsi="Calibri"/>
          <w:sz w:val="22"/>
          <w:szCs w:val="22"/>
        </w:rPr>
      </w:pPr>
      <w:r>
        <w:rPr>
          <w:rFonts w:ascii="Calibri" w:hAnsi="Calibri"/>
          <w:sz w:val="22"/>
          <w:szCs w:val="22"/>
        </w:rPr>
        <w:t xml:space="preserve">The full text of all of the WG’s preliminary conclusions, including any supplemental notes, are set out in detail in Section 7. Where certain proposals or potential recommendations have yet to be finalized or do not represent a consensus position within the WG, square brackets around specific options under consideration have been used to indicate that this is the case; where there is a majority and a minority view on a particular issue, both viewpoints have been included. Any additional statements filed by WG members in respect of particular topics have also been included in this report, in Annex F. </w:t>
      </w:r>
    </w:p>
    <w:p w:rsidR="00FE05EE" w:rsidRDefault="00FE05EE" w:rsidP="00FE05EE">
      <w:pPr>
        <w:suppressLineNumbers/>
        <w:rPr>
          <w:rFonts w:ascii="Calibri" w:hAnsi="Calibri"/>
          <w:sz w:val="22"/>
          <w:szCs w:val="22"/>
        </w:rPr>
      </w:pPr>
    </w:p>
    <w:p w:rsidR="00FE05EE" w:rsidRDefault="00FE05EE" w:rsidP="00FE05EE">
      <w:pPr>
        <w:suppressLineNumbers/>
        <w:rPr>
          <w:rFonts w:ascii="Calibri" w:hAnsi="Calibri"/>
          <w:sz w:val="22"/>
          <w:szCs w:val="22"/>
        </w:rPr>
      </w:pPr>
      <w:r>
        <w:rPr>
          <w:rFonts w:ascii="Calibri" w:hAnsi="Calibri"/>
          <w:sz w:val="22"/>
          <w:szCs w:val="22"/>
        </w:rPr>
        <w:t xml:space="preserve">While community input is being sought on all aspects of this report, including the WG’s preliminarily agreed recommendations, the WG would particularly welcome specific public comments on those of its deliberations, proposals and options for which there is currently no WG consensus. </w:t>
      </w:r>
    </w:p>
    <w:p w:rsidR="00FE05EE" w:rsidRDefault="00FE05EE" w:rsidP="00FE05EE">
      <w:pPr>
        <w:suppressLineNumbers/>
        <w:rPr>
          <w:rFonts w:ascii="Calibri" w:hAnsi="Calibri"/>
          <w:sz w:val="22"/>
          <w:szCs w:val="22"/>
        </w:rPr>
      </w:pPr>
    </w:p>
    <w:p w:rsidR="00FE05EE" w:rsidRDefault="00FE05EE" w:rsidP="00FE05EE">
      <w:pPr>
        <w:suppressLineNumbers/>
        <w:rPr>
          <w:rFonts w:ascii="Calibri" w:hAnsi="Calibri"/>
          <w:b/>
          <w:sz w:val="22"/>
          <w:szCs w:val="22"/>
        </w:rPr>
      </w:pPr>
      <w:r>
        <w:rPr>
          <w:rFonts w:ascii="Calibri" w:hAnsi="Calibri"/>
          <w:b/>
          <w:sz w:val="22"/>
          <w:szCs w:val="22"/>
        </w:rPr>
        <w:t xml:space="preserve">1.3.1 </w:t>
      </w:r>
      <w:r>
        <w:rPr>
          <w:rFonts w:ascii="Calibri" w:hAnsi="Calibri"/>
          <w:b/>
          <w:sz w:val="22"/>
          <w:szCs w:val="22"/>
        </w:rPr>
        <w:tab/>
        <w:t>S</w:t>
      </w:r>
      <w:r w:rsidRPr="006B5781">
        <w:rPr>
          <w:rFonts w:ascii="Calibri" w:hAnsi="Calibri"/>
          <w:b/>
          <w:sz w:val="22"/>
          <w:szCs w:val="22"/>
        </w:rPr>
        <w:t>ummary of the WG’s</w:t>
      </w:r>
      <w:r>
        <w:rPr>
          <w:rFonts w:ascii="Calibri" w:hAnsi="Calibri"/>
          <w:b/>
          <w:sz w:val="22"/>
          <w:szCs w:val="22"/>
        </w:rPr>
        <w:t xml:space="preserve"> agreed preliminary conclusions</w:t>
      </w:r>
    </w:p>
    <w:p w:rsidR="00FE05EE" w:rsidRDefault="00FE05EE" w:rsidP="00FE05EE">
      <w:pPr>
        <w:suppressLineNumbers/>
        <w:spacing w:before="100" w:beforeAutospacing="1" w:after="100" w:afterAutospacing="1"/>
        <w:contextualSpacing/>
        <w:rPr>
          <w:rFonts w:ascii="Calibri" w:hAnsi="Calibri"/>
          <w:sz w:val="22"/>
          <w:szCs w:val="22"/>
        </w:rPr>
      </w:pPr>
      <w:r w:rsidRPr="00B640BA">
        <w:rPr>
          <w:rFonts w:ascii="Calibri" w:hAnsi="Calibri"/>
          <w:sz w:val="22"/>
          <w:szCs w:val="22"/>
        </w:rPr>
        <w:t xml:space="preserve">The </w:t>
      </w:r>
      <w:r>
        <w:rPr>
          <w:rFonts w:ascii="Calibri" w:hAnsi="Calibri"/>
          <w:sz w:val="22"/>
          <w:szCs w:val="22"/>
        </w:rPr>
        <w:t xml:space="preserve">WG has reached preliminary agreement on the </w:t>
      </w:r>
      <w:r w:rsidRPr="00B640BA">
        <w:rPr>
          <w:rFonts w:ascii="Calibri" w:hAnsi="Calibri"/>
          <w:sz w:val="22"/>
          <w:szCs w:val="22"/>
        </w:rPr>
        <w:t>following</w:t>
      </w:r>
      <w:r>
        <w:rPr>
          <w:rFonts w:ascii="Calibri" w:hAnsi="Calibri"/>
          <w:sz w:val="22"/>
          <w:szCs w:val="22"/>
        </w:rPr>
        <w:t xml:space="preserve"> recommendations:</w:t>
      </w:r>
    </w:p>
    <w:p w:rsidR="00FE05EE" w:rsidRDefault="00FE05EE" w:rsidP="00FE05EE">
      <w:pPr>
        <w:suppressLineNumbers/>
        <w:spacing w:before="100" w:beforeAutospacing="1" w:after="100" w:afterAutospacing="1"/>
        <w:contextualSpacing/>
        <w:rPr>
          <w:rFonts w:ascii="Calibri" w:hAnsi="Calibri"/>
          <w:sz w:val="22"/>
          <w:szCs w:val="22"/>
        </w:rPr>
      </w:pPr>
    </w:p>
    <w:p w:rsidR="00FE05EE" w:rsidRDefault="00FE05EE" w:rsidP="00FE05EE">
      <w:pPr>
        <w:suppressLineNumbers/>
        <w:spacing w:before="100" w:beforeAutospacing="1" w:after="100" w:afterAutospacing="1"/>
        <w:contextualSpacing/>
        <w:rPr>
          <w:rFonts w:ascii="Calibri" w:hAnsi="Calibri"/>
          <w:sz w:val="22"/>
          <w:szCs w:val="22"/>
        </w:rPr>
      </w:pPr>
      <w:r w:rsidRPr="00014C91">
        <w:rPr>
          <w:rFonts w:ascii="Calibri" w:hAnsi="Calibri"/>
          <w:sz w:val="22"/>
          <w:szCs w:val="22"/>
          <w:u w:val="single"/>
        </w:rPr>
        <w:t>NO DISTINCTION IN TREATMENT; WHOIS LABELING REQUIREMENTS; VALIDATION &amp; VERIFICATION OF CUSTOMER DATA</w:t>
      </w:r>
      <w:r>
        <w:rPr>
          <w:rFonts w:ascii="Calibri" w:hAnsi="Calibri"/>
          <w:sz w:val="22"/>
          <w:szCs w:val="22"/>
        </w:rPr>
        <w:t>:</w:t>
      </w:r>
    </w:p>
    <w:p w:rsidR="00FE05EE" w:rsidRPr="00B640BA" w:rsidRDefault="00FE05EE" w:rsidP="00FE05EE">
      <w:pPr>
        <w:suppressLineNumbers/>
        <w:spacing w:before="100" w:beforeAutospacing="1" w:after="100" w:afterAutospacing="1"/>
        <w:contextualSpacing/>
        <w:rPr>
          <w:rFonts w:ascii="Calibri" w:hAnsi="Calibri"/>
          <w:sz w:val="22"/>
          <w:szCs w:val="22"/>
        </w:rPr>
      </w:pPr>
    </w:p>
    <w:p w:rsidR="00FE05EE"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lastRenderedPageBreak/>
        <w:t xml:space="preserve">Privacy and proxy services </w:t>
      </w:r>
      <w:r>
        <w:rPr>
          <w:rFonts w:ascii="Calibri" w:hAnsi="Calibri"/>
          <w:sz w:val="22"/>
          <w:szCs w:val="22"/>
        </w:rPr>
        <w:t xml:space="preserve">are to </w:t>
      </w:r>
      <w:r w:rsidRPr="006B5781">
        <w:rPr>
          <w:rFonts w:ascii="Calibri" w:hAnsi="Calibri"/>
          <w:sz w:val="22"/>
          <w:szCs w:val="22"/>
        </w:rPr>
        <w:t>be treated the same way for the purpose of the accreditation process.</w:t>
      </w:r>
    </w:p>
    <w:p w:rsidR="00FE05EE" w:rsidRDefault="00FE05EE" w:rsidP="00FE05EE">
      <w:pPr>
        <w:spacing w:before="100" w:beforeAutospacing="1" w:after="100" w:afterAutospacing="1"/>
        <w:ind w:left="360"/>
        <w:contextualSpacing/>
        <w:rPr>
          <w:rFonts w:ascii="Calibri" w:hAnsi="Calibri"/>
          <w:sz w:val="22"/>
          <w:szCs w:val="22"/>
        </w:rPr>
      </w:pPr>
    </w:p>
    <w:p w:rsidR="00FE05EE" w:rsidRPr="0000312C"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T</w:t>
      </w:r>
      <w:r w:rsidRPr="006B5781">
        <w:rPr>
          <w:rFonts w:ascii="Calibri" w:hAnsi="Calibri"/>
          <w:sz w:val="22"/>
          <w:szCs w:val="22"/>
        </w:rPr>
        <w:t xml:space="preserve">he status of a registrant as a commercial organization, non-commercial organization, or individual should not be the driving factor in whether proxy/privacy services are available to the registrant. Fundamentally, </w:t>
      </w:r>
      <w:r>
        <w:rPr>
          <w:rFonts w:ascii="Calibri" w:hAnsi="Calibri"/>
          <w:sz w:val="22"/>
          <w:szCs w:val="22"/>
        </w:rPr>
        <w:t>privacy and proxy</w:t>
      </w:r>
      <w:r w:rsidRPr="006B5781">
        <w:rPr>
          <w:rFonts w:ascii="Calibri" w:hAnsi="Calibri"/>
          <w:sz w:val="22"/>
          <w:szCs w:val="22"/>
        </w:rPr>
        <w:t xml:space="preserve"> services should remain available to registrants irrespective of their status as commercial or non-commercial organizations or as individuals.</w:t>
      </w:r>
      <w:r>
        <w:rPr>
          <w:rFonts w:ascii="Calibri" w:hAnsi="Calibri"/>
          <w:sz w:val="22"/>
          <w:szCs w:val="22"/>
        </w:rPr>
        <w:t xml:space="preserve"> </w:t>
      </w:r>
      <w:r w:rsidRPr="0000312C">
        <w:rPr>
          <w:rFonts w:ascii="Calibri" w:hAnsi="Calibri"/>
          <w:sz w:val="22"/>
          <w:szCs w:val="22"/>
        </w:rPr>
        <w:t>Further, privacy</w:t>
      </w:r>
      <w:r>
        <w:rPr>
          <w:rFonts w:ascii="Calibri" w:hAnsi="Calibri"/>
          <w:sz w:val="22"/>
          <w:szCs w:val="22"/>
        </w:rPr>
        <w:t xml:space="preserve"> and </w:t>
      </w:r>
      <w:r w:rsidRPr="0000312C">
        <w:rPr>
          <w:rFonts w:ascii="Calibri" w:hAnsi="Calibri"/>
          <w:sz w:val="22"/>
          <w:szCs w:val="22"/>
        </w:rPr>
        <w:t xml:space="preserve">proxy registrations should </w:t>
      </w:r>
      <w:r>
        <w:rPr>
          <w:rFonts w:ascii="Calibri" w:hAnsi="Calibri"/>
          <w:sz w:val="22"/>
          <w:szCs w:val="22"/>
        </w:rPr>
        <w:t xml:space="preserve">not </w:t>
      </w:r>
      <w:r w:rsidRPr="0000312C">
        <w:rPr>
          <w:rFonts w:ascii="Calibri" w:hAnsi="Calibri"/>
          <w:sz w:val="22"/>
          <w:szCs w:val="22"/>
        </w:rPr>
        <w:t>be limited to private individuals who use their domains for non-commercial purposes</w:t>
      </w:r>
      <w:r>
        <w:rPr>
          <w:rStyle w:val="FootnoteReference"/>
          <w:rFonts w:ascii="Calibri" w:hAnsi="Calibri"/>
          <w:sz w:val="22"/>
          <w:szCs w:val="22"/>
        </w:rPr>
        <w:footnoteReference w:id="2"/>
      </w:r>
      <w:r>
        <w:rPr>
          <w:rFonts w:ascii="Calibri" w:hAnsi="Calibri"/>
          <w:sz w:val="22"/>
          <w:szCs w:val="22"/>
        </w:rPr>
        <w:t>.</w:t>
      </w:r>
    </w:p>
    <w:p w:rsidR="00FE05EE"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Domain name registrations involving privacy/proxy service providers </w:t>
      </w:r>
      <w:r>
        <w:rPr>
          <w:rFonts w:ascii="Calibri" w:hAnsi="Calibri"/>
          <w:sz w:val="22"/>
          <w:szCs w:val="22"/>
        </w:rPr>
        <w:t xml:space="preserve">(“P/P services”) </w:t>
      </w:r>
      <w:r w:rsidRPr="006B5781">
        <w:rPr>
          <w:rFonts w:ascii="Calibri" w:hAnsi="Calibri"/>
          <w:sz w:val="22"/>
          <w:szCs w:val="22"/>
        </w:rPr>
        <w:t>should be clearly label</w:t>
      </w:r>
      <w:r>
        <w:rPr>
          <w:rFonts w:ascii="Calibri" w:hAnsi="Calibri"/>
          <w:sz w:val="22"/>
          <w:szCs w:val="22"/>
        </w:rPr>
        <w:t>l</w:t>
      </w:r>
      <w:r w:rsidRPr="006B5781">
        <w:rPr>
          <w:rFonts w:ascii="Calibri" w:hAnsi="Calibri"/>
          <w:sz w:val="22"/>
          <w:szCs w:val="22"/>
        </w:rPr>
        <w:t>ed as such in WHOIS</w:t>
      </w:r>
      <w:r>
        <w:rPr>
          <w:rStyle w:val="FootnoteReference"/>
          <w:rFonts w:ascii="Calibri" w:hAnsi="Calibri"/>
          <w:sz w:val="22"/>
          <w:szCs w:val="22"/>
        </w:rPr>
        <w:footnoteReference w:id="3"/>
      </w:r>
      <w:r w:rsidRPr="006B5781">
        <w:rPr>
          <w:rFonts w:ascii="Calibri" w:hAnsi="Calibri"/>
          <w:sz w:val="22"/>
          <w:szCs w:val="22"/>
        </w:rPr>
        <w:t>.</w:t>
      </w:r>
    </w:p>
    <w:p w:rsidR="00FE05EE"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P</w:t>
      </w:r>
      <w:r w:rsidRPr="006B5781">
        <w:rPr>
          <w:rFonts w:ascii="Calibri" w:hAnsi="Calibri"/>
          <w:sz w:val="22"/>
          <w:szCs w:val="22"/>
        </w:rPr>
        <w:t xml:space="preserve">roxy and privacy customer data </w:t>
      </w:r>
      <w:r>
        <w:rPr>
          <w:rFonts w:ascii="Calibri" w:hAnsi="Calibri"/>
          <w:sz w:val="22"/>
          <w:szCs w:val="22"/>
        </w:rPr>
        <w:t xml:space="preserve">is to </w:t>
      </w:r>
      <w:r w:rsidRPr="006B5781">
        <w:rPr>
          <w:rFonts w:ascii="Calibri" w:hAnsi="Calibri"/>
          <w:sz w:val="22"/>
          <w:szCs w:val="22"/>
        </w:rPr>
        <w:t xml:space="preserve">be validated and verified in a manner consistent with the requirements outlined in the </w:t>
      </w:r>
      <w:r>
        <w:rPr>
          <w:rFonts w:ascii="Calibri" w:hAnsi="Calibri"/>
          <w:sz w:val="22"/>
          <w:szCs w:val="22"/>
        </w:rPr>
        <w:t>WHOIS</w:t>
      </w:r>
      <w:r w:rsidRPr="006B5781">
        <w:rPr>
          <w:rFonts w:ascii="Calibri" w:hAnsi="Calibri"/>
          <w:sz w:val="22"/>
          <w:szCs w:val="22"/>
        </w:rPr>
        <w:t xml:space="preserve"> Accuracy Specification of the 2013 RAA. </w:t>
      </w:r>
      <w:r>
        <w:rPr>
          <w:rFonts w:ascii="Calibri" w:hAnsi="Calibri"/>
          <w:sz w:val="22"/>
          <w:szCs w:val="22"/>
        </w:rPr>
        <w:t>I</w:t>
      </w:r>
      <w:r w:rsidRPr="006B5781">
        <w:rPr>
          <w:rFonts w:ascii="Calibri" w:hAnsi="Calibri"/>
          <w:sz w:val="22"/>
          <w:szCs w:val="22"/>
        </w:rPr>
        <w:t>n the cases where</w:t>
      </w:r>
      <w:r>
        <w:rPr>
          <w:rFonts w:ascii="Calibri" w:hAnsi="Calibri"/>
          <w:sz w:val="22"/>
          <w:szCs w:val="22"/>
        </w:rPr>
        <w:t>, for P/P providers Affiliated with a registrar (as defined by the 2013 RAA),</w:t>
      </w:r>
      <w:r w:rsidRPr="006B5781">
        <w:rPr>
          <w:rFonts w:ascii="Calibri" w:hAnsi="Calibri"/>
          <w:sz w:val="22"/>
          <w:szCs w:val="22"/>
        </w:rPr>
        <w:t xml:space="preserve"> validation and verification of the P/P customer data was carried out by the registrar, re-verification by the P/P service of the same, identical, information should not be required.</w:t>
      </w:r>
    </w:p>
    <w:p w:rsidR="00FE05EE" w:rsidRDefault="00FE05EE" w:rsidP="00FE05EE">
      <w:pPr>
        <w:spacing w:before="100" w:beforeAutospacing="1" w:after="100" w:afterAutospacing="1"/>
        <w:contextualSpacing/>
        <w:rPr>
          <w:rFonts w:ascii="Calibri" w:hAnsi="Calibri"/>
          <w:sz w:val="22"/>
          <w:szCs w:val="22"/>
        </w:rPr>
      </w:pPr>
    </w:p>
    <w:p w:rsidR="00FE05EE" w:rsidRPr="00D96B1C" w:rsidRDefault="00FE05EE" w:rsidP="00FE05EE">
      <w:pPr>
        <w:spacing w:before="100" w:beforeAutospacing="1" w:after="100" w:afterAutospacing="1"/>
        <w:contextualSpacing/>
        <w:rPr>
          <w:rFonts w:ascii="Calibri" w:hAnsi="Calibri"/>
          <w:sz w:val="22"/>
          <w:szCs w:val="22"/>
        </w:rPr>
      </w:pPr>
      <w:r w:rsidRPr="00014C91">
        <w:rPr>
          <w:rFonts w:ascii="Calibri" w:hAnsi="Calibri"/>
          <w:sz w:val="22"/>
          <w:szCs w:val="22"/>
          <w:u w:val="single"/>
        </w:rPr>
        <w:t xml:space="preserve">MANDATORY </w:t>
      </w:r>
      <w:r>
        <w:rPr>
          <w:rFonts w:ascii="Calibri" w:hAnsi="Calibri"/>
          <w:sz w:val="22"/>
          <w:szCs w:val="22"/>
          <w:u w:val="single"/>
        </w:rPr>
        <w:t xml:space="preserve">PROVISIONS TO BE INCLUDED IN PROVIDER </w:t>
      </w:r>
      <w:r w:rsidRPr="00014C91">
        <w:rPr>
          <w:rFonts w:ascii="Calibri" w:hAnsi="Calibri"/>
          <w:sz w:val="22"/>
          <w:szCs w:val="22"/>
          <w:u w:val="single"/>
        </w:rPr>
        <w:t>TERMS OF SERVICE &amp; MINIMUM REQUIREMENTS TO BE COMMUNICATED</w:t>
      </w:r>
      <w:r>
        <w:rPr>
          <w:rFonts w:ascii="Calibri" w:hAnsi="Calibri"/>
          <w:sz w:val="22"/>
          <w:szCs w:val="22"/>
          <w:u w:val="single"/>
        </w:rPr>
        <w:t xml:space="preserve"> TO CUSTOMERS</w:t>
      </w:r>
      <w:r>
        <w:rPr>
          <w:rFonts w:ascii="Calibri" w:hAnsi="Calibri"/>
          <w:sz w:val="22"/>
          <w:szCs w:val="22"/>
        </w:rPr>
        <w:t>:</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FE05EE"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All rights, responsibilities and obligations </w:t>
      </w:r>
      <w:r>
        <w:rPr>
          <w:rFonts w:ascii="Calibri" w:hAnsi="Calibri"/>
          <w:sz w:val="22"/>
          <w:szCs w:val="22"/>
        </w:rPr>
        <w:t>of</w:t>
      </w:r>
      <w:r w:rsidRPr="006B5781">
        <w:rPr>
          <w:rFonts w:ascii="Calibri" w:hAnsi="Calibri"/>
          <w:sz w:val="22"/>
          <w:szCs w:val="22"/>
        </w:rPr>
        <w:t xml:space="preserve"> registrants</w:t>
      </w:r>
      <w:r>
        <w:rPr>
          <w:rFonts w:ascii="Calibri" w:hAnsi="Calibri"/>
          <w:sz w:val="22"/>
          <w:szCs w:val="22"/>
        </w:rPr>
        <w:t xml:space="preserve"> and P/P customers</w:t>
      </w:r>
      <w:r w:rsidRPr="006B5781">
        <w:rPr>
          <w:rFonts w:ascii="Calibri" w:hAnsi="Calibri"/>
          <w:sz w:val="22"/>
          <w:szCs w:val="22"/>
        </w:rPr>
        <w:t xml:space="preserve"> as well </w:t>
      </w:r>
      <w:r>
        <w:rPr>
          <w:rFonts w:ascii="Calibri" w:hAnsi="Calibri"/>
          <w:sz w:val="22"/>
          <w:szCs w:val="22"/>
        </w:rPr>
        <w:t>as those of providers</w:t>
      </w:r>
      <w:r w:rsidRPr="006B5781">
        <w:rPr>
          <w:rFonts w:ascii="Calibri" w:hAnsi="Calibri"/>
          <w:sz w:val="22"/>
          <w:szCs w:val="22"/>
        </w:rPr>
        <w:t xml:space="preserve"> need to be clearly communicated in the privacy/proxy registration agreement, including </w:t>
      </w:r>
      <w:r>
        <w:rPr>
          <w:rFonts w:ascii="Calibri" w:hAnsi="Calibri"/>
          <w:sz w:val="22"/>
          <w:szCs w:val="22"/>
        </w:rPr>
        <w:t xml:space="preserve">a provider’s obligations in managing those rights and responsibilities and </w:t>
      </w:r>
      <w:r w:rsidRPr="006B5781">
        <w:rPr>
          <w:rFonts w:ascii="Calibri" w:hAnsi="Calibri"/>
          <w:sz w:val="22"/>
          <w:szCs w:val="22"/>
        </w:rPr>
        <w:t>any specific requirements applying to transfers and renewals</w:t>
      </w:r>
      <w:r>
        <w:rPr>
          <w:rFonts w:ascii="Calibri" w:hAnsi="Calibri"/>
          <w:sz w:val="22"/>
          <w:szCs w:val="22"/>
        </w:rPr>
        <w:t xml:space="preserve"> of a domain name</w:t>
      </w:r>
      <w:r w:rsidRPr="006B5781">
        <w:rPr>
          <w:rFonts w:ascii="Calibri" w:hAnsi="Calibri"/>
          <w:sz w:val="22"/>
          <w:szCs w:val="22"/>
        </w:rPr>
        <w:t xml:space="preserve">. </w:t>
      </w:r>
      <w:r>
        <w:rPr>
          <w:rFonts w:ascii="Calibri" w:hAnsi="Calibri"/>
          <w:sz w:val="22"/>
          <w:szCs w:val="22"/>
        </w:rPr>
        <w:t xml:space="preserve">In addition, </w:t>
      </w:r>
      <w:r w:rsidRPr="006B5781">
        <w:rPr>
          <w:rFonts w:ascii="Calibri" w:hAnsi="Calibri"/>
          <w:sz w:val="22"/>
          <w:szCs w:val="22"/>
        </w:rPr>
        <w:t>all P/P services must disclose to their customers the conditions under which the service may be terminated in the event of a transfer of the domain name</w:t>
      </w:r>
      <w:r>
        <w:rPr>
          <w:rFonts w:ascii="Calibri" w:hAnsi="Calibri"/>
          <w:sz w:val="22"/>
          <w:szCs w:val="22"/>
        </w:rPr>
        <w:t>, and how requests for transfers of a domain name are handled</w:t>
      </w:r>
      <w:r w:rsidRPr="006B5781">
        <w:rPr>
          <w:rFonts w:ascii="Calibri" w:hAnsi="Calibri"/>
          <w:sz w:val="22"/>
          <w:szCs w:val="22"/>
        </w:rPr>
        <w:t>.</w:t>
      </w:r>
    </w:p>
    <w:p w:rsidR="00FE05EE" w:rsidRDefault="00FE05EE" w:rsidP="00A4643E">
      <w:pPr>
        <w:spacing w:before="100" w:beforeAutospacing="1" w:after="100" w:afterAutospacing="1"/>
        <w:contextualSpacing/>
        <w:jc w:val="both"/>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A</w:t>
      </w:r>
      <w:r w:rsidRPr="006B5781">
        <w:rPr>
          <w:rFonts w:ascii="Calibri" w:hAnsi="Calibri"/>
          <w:sz w:val="22"/>
          <w:szCs w:val="22"/>
        </w:rPr>
        <w:t xml:space="preserve">ll accredited providers </w:t>
      </w:r>
      <w:r>
        <w:rPr>
          <w:rFonts w:ascii="Calibri" w:hAnsi="Calibri"/>
          <w:sz w:val="22"/>
          <w:szCs w:val="22"/>
        </w:rPr>
        <w:t>must</w:t>
      </w:r>
      <w:r w:rsidRPr="006B5781">
        <w:rPr>
          <w:rFonts w:ascii="Calibri" w:hAnsi="Calibri"/>
          <w:sz w:val="22"/>
          <w:szCs w:val="22"/>
        </w:rPr>
        <w:t xml:space="preserve"> include on their websites, and in all Publication</w:t>
      </w:r>
      <w:r>
        <w:rPr>
          <w:rStyle w:val="FootnoteReference"/>
          <w:rFonts w:ascii="Calibri" w:hAnsi="Calibri"/>
          <w:sz w:val="22"/>
          <w:szCs w:val="22"/>
        </w:rPr>
        <w:footnoteReference w:id="4"/>
      </w:r>
      <w:r w:rsidRPr="006B5781">
        <w:rPr>
          <w:rFonts w:ascii="Calibri" w:hAnsi="Calibri"/>
          <w:sz w:val="22"/>
          <w:szCs w:val="22"/>
        </w:rPr>
        <w:t xml:space="preserve"> </w:t>
      </w:r>
      <w:r>
        <w:rPr>
          <w:rFonts w:ascii="Calibri" w:hAnsi="Calibri"/>
          <w:sz w:val="22"/>
          <w:szCs w:val="22"/>
        </w:rPr>
        <w:t>and</w:t>
      </w:r>
      <w:r w:rsidRPr="006B5781">
        <w:rPr>
          <w:rFonts w:ascii="Calibri" w:hAnsi="Calibri"/>
          <w:sz w:val="22"/>
          <w:szCs w:val="22"/>
        </w:rPr>
        <w:t xml:space="preserve"> Disclosure-related policies and documents, a link to </w:t>
      </w:r>
      <w:r>
        <w:rPr>
          <w:rFonts w:ascii="Calibri" w:hAnsi="Calibri"/>
          <w:sz w:val="22"/>
          <w:szCs w:val="22"/>
        </w:rPr>
        <w:t xml:space="preserve">either </w:t>
      </w:r>
      <w:r w:rsidRPr="006B5781">
        <w:rPr>
          <w:rFonts w:ascii="Calibri" w:hAnsi="Calibri"/>
          <w:sz w:val="22"/>
          <w:szCs w:val="22"/>
        </w:rPr>
        <w:t xml:space="preserve">a </w:t>
      </w:r>
      <w:r>
        <w:rPr>
          <w:rFonts w:ascii="Calibri" w:hAnsi="Calibri"/>
          <w:sz w:val="22"/>
          <w:szCs w:val="22"/>
        </w:rPr>
        <w:t>standardized r</w:t>
      </w:r>
      <w:r w:rsidRPr="006B5781">
        <w:rPr>
          <w:rFonts w:ascii="Calibri" w:hAnsi="Calibri"/>
          <w:sz w:val="22"/>
          <w:szCs w:val="22"/>
        </w:rPr>
        <w:t xml:space="preserve">equest </w:t>
      </w:r>
      <w:r>
        <w:rPr>
          <w:rFonts w:ascii="Calibri" w:hAnsi="Calibri"/>
          <w:sz w:val="22"/>
          <w:szCs w:val="22"/>
        </w:rPr>
        <w:t>f</w:t>
      </w:r>
      <w:r w:rsidRPr="006B5781">
        <w:rPr>
          <w:rFonts w:ascii="Calibri" w:hAnsi="Calibri"/>
          <w:sz w:val="22"/>
          <w:szCs w:val="22"/>
        </w:rPr>
        <w:t>orm or an equivalent list of specific criteria that the provider requires in order</w:t>
      </w:r>
      <w:r>
        <w:rPr>
          <w:rFonts w:ascii="Calibri" w:hAnsi="Calibri"/>
          <w:sz w:val="22"/>
          <w:szCs w:val="22"/>
        </w:rPr>
        <w:t xml:space="preserve"> </w:t>
      </w:r>
      <w:r w:rsidRPr="006B5781">
        <w:rPr>
          <w:rFonts w:ascii="Calibri" w:hAnsi="Calibri"/>
          <w:sz w:val="22"/>
          <w:szCs w:val="22"/>
        </w:rPr>
        <w:t xml:space="preserve">to </w:t>
      </w:r>
      <w:r>
        <w:rPr>
          <w:rFonts w:ascii="Calibri" w:hAnsi="Calibri"/>
          <w:sz w:val="22"/>
          <w:szCs w:val="22"/>
        </w:rPr>
        <w:t xml:space="preserve">determine whether or not to </w:t>
      </w:r>
      <w:r w:rsidRPr="006B5781">
        <w:rPr>
          <w:rFonts w:ascii="Calibri" w:hAnsi="Calibri"/>
          <w:sz w:val="22"/>
          <w:szCs w:val="22"/>
        </w:rPr>
        <w:t xml:space="preserve">comply with </w:t>
      </w:r>
      <w:r>
        <w:rPr>
          <w:rFonts w:ascii="Calibri" w:hAnsi="Calibri"/>
          <w:sz w:val="22"/>
          <w:szCs w:val="22"/>
        </w:rPr>
        <w:t xml:space="preserve">third party </w:t>
      </w:r>
      <w:r w:rsidRPr="006B5781">
        <w:rPr>
          <w:rFonts w:ascii="Calibri" w:hAnsi="Calibri"/>
          <w:sz w:val="22"/>
          <w:szCs w:val="22"/>
        </w:rPr>
        <w:t>requests</w:t>
      </w:r>
      <w:r>
        <w:rPr>
          <w:rFonts w:ascii="Calibri" w:hAnsi="Calibri"/>
          <w:sz w:val="22"/>
          <w:szCs w:val="22"/>
        </w:rPr>
        <w:t>, such as for the Disclosure or Publication of customer identity or contact details</w:t>
      </w:r>
      <w:r w:rsidRPr="006B5781">
        <w:rPr>
          <w:rFonts w:ascii="Calibri" w:hAnsi="Calibri"/>
          <w:sz w:val="22"/>
          <w:szCs w:val="22"/>
        </w:rPr>
        <w:t xml:space="preserve">. </w:t>
      </w:r>
    </w:p>
    <w:p w:rsidR="00FE05EE" w:rsidRDefault="00FE05EE" w:rsidP="00FE05EE">
      <w:pPr>
        <w:spacing w:before="100" w:beforeAutospacing="1" w:after="100" w:afterAutospacing="1"/>
        <w:contextualSpacing/>
        <w:jc w:val="both"/>
        <w:rPr>
          <w:rFonts w:ascii="Calibri" w:hAnsi="Calibri"/>
          <w:sz w:val="22"/>
          <w:szCs w:val="22"/>
        </w:rPr>
      </w:pPr>
    </w:p>
    <w:p w:rsidR="00FE05EE"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A</w:t>
      </w:r>
      <w:r w:rsidRPr="006B5781">
        <w:rPr>
          <w:rFonts w:ascii="Calibri" w:hAnsi="Calibri"/>
          <w:sz w:val="22"/>
          <w:szCs w:val="22"/>
        </w:rPr>
        <w:t xml:space="preserve">ccredited providers </w:t>
      </w:r>
      <w:r>
        <w:rPr>
          <w:rFonts w:ascii="Calibri" w:hAnsi="Calibri"/>
          <w:sz w:val="22"/>
          <w:szCs w:val="22"/>
        </w:rPr>
        <w:t>must publish their terms of service (e.g. on their websites), which</w:t>
      </w:r>
      <w:r w:rsidR="00A4643E">
        <w:rPr>
          <w:rFonts w:ascii="Calibri" w:hAnsi="Calibri"/>
          <w:sz w:val="22"/>
          <w:szCs w:val="22"/>
        </w:rPr>
        <w:t>, in addition to other mandatory provisions recommended by the WG,</w:t>
      </w:r>
      <w:r>
        <w:rPr>
          <w:rFonts w:ascii="Calibri" w:hAnsi="Calibri"/>
          <w:sz w:val="22"/>
          <w:szCs w:val="22"/>
        </w:rPr>
        <w:t xml:space="preserve"> </w:t>
      </w:r>
      <w:r w:rsidRPr="006B5781">
        <w:rPr>
          <w:rFonts w:ascii="Calibri" w:hAnsi="Calibri"/>
          <w:sz w:val="22"/>
          <w:szCs w:val="22"/>
        </w:rPr>
        <w:t xml:space="preserve">should </w:t>
      </w:r>
      <w:r>
        <w:rPr>
          <w:rFonts w:ascii="Calibri" w:hAnsi="Calibri"/>
          <w:sz w:val="22"/>
          <w:szCs w:val="22"/>
        </w:rPr>
        <w:t>at a minimum include</w:t>
      </w:r>
      <w:r w:rsidRPr="006B5781">
        <w:rPr>
          <w:rFonts w:ascii="Calibri" w:hAnsi="Calibri"/>
          <w:sz w:val="22"/>
          <w:szCs w:val="22"/>
        </w:rPr>
        <w:t xml:space="preserve"> </w:t>
      </w:r>
      <w:r>
        <w:rPr>
          <w:rFonts w:ascii="Calibri" w:hAnsi="Calibri"/>
          <w:sz w:val="22"/>
          <w:szCs w:val="22"/>
        </w:rPr>
        <w:t>the following elements</w:t>
      </w:r>
      <w:r w:rsidR="00A4643E">
        <w:rPr>
          <w:rFonts w:ascii="Calibri" w:hAnsi="Calibri"/>
          <w:sz w:val="22"/>
          <w:szCs w:val="22"/>
        </w:rPr>
        <w:t xml:space="preserve"> in relation to Disclosure and Publication</w:t>
      </w:r>
      <w:r>
        <w:rPr>
          <w:rFonts w:ascii="Calibri" w:hAnsi="Calibri"/>
          <w:sz w:val="22"/>
          <w:szCs w:val="22"/>
        </w:rPr>
        <w:t>:</w:t>
      </w:r>
      <w:r w:rsidRPr="006B5781">
        <w:rPr>
          <w:rFonts w:ascii="Calibri" w:hAnsi="Calibri"/>
          <w:sz w:val="22"/>
          <w:szCs w:val="22"/>
        </w:rPr>
        <w:t xml:space="preserve"> </w:t>
      </w:r>
    </w:p>
    <w:p w:rsidR="00FE05EE" w:rsidRDefault="00FE05EE" w:rsidP="00FE05EE">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of when</w:t>
      </w:r>
      <w:r w:rsidRPr="006B5781">
        <w:rPr>
          <w:rFonts w:ascii="Calibri" w:hAnsi="Calibri"/>
          <w:sz w:val="22"/>
          <w:szCs w:val="22"/>
        </w:rPr>
        <w:t xml:space="preserve"> </w:t>
      </w:r>
      <w:r>
        <w:rPr>
          <w:rFonts w:ascii="Calibri" w:hAnsi="Calibri"/>
          <w:sz w:val="22"/>
          <w:szCs w:val="22"/>
        </w:rPr>
        <w:t>those terms refer</w:t>
      </w:r>
      <w:r w:rsidRPr="006B5781">
        <w:rPr>
          <w:rFonts w:ascii="Calibri" w:hAnsi="Calibri"/>
          <w:sz w:val="22"/>
          <w:szCs w:val="22"/>
        </w:rPr>
        <w:t xml:space="preserve"> to Publication requests (and their consequences) and when to Disclosure requests (and their consequences).  The WG further recommends that accredited providers expressly include a provision in their terms of service explaining the meaning </w:t>
      </w:r>
      <w:r>
        <w:rPr>
          <w:rFonts w:ascii="Calibri" w:hAnsi="Calibri"/>
          <w:sz w:val="22"/>
          <w:szCs w:val="22"/>
        </w:rPr>
        <w:t>and consequences of Publication.</w:t>
      </w:r>
    </w:p>
    <w:p w:rsidR="00FE05EE" w:rsidRDefault="00FE05EE" w:rsidP="00FE05EE">
      <w:pPr>
        <w:numPr>
          <w:ilvl w:val="0"/>
          <w:numId w:val="6"/>
        </w:numPr>
        <w:spacing w:before="100" w:beforeAutospacing="1" w:after="100" w:afterAutospacing="1"/>
        <w:contextualSpacing/>
        <w:rPr>
          <w:rFonts w:ascii="Calibri" w:hAnsi="Calibri"/>
          <w:sz w:val="22"/>
          <w:szCs w:val="22"/>
        </w:rPr>
      </w:pPr>
      <w:r w:rsidRPr="00252C7A">
        <w:rPr>
          <w:rFonts w:ascii="Calibri" w:hAnsi="Calibri"/>
          <w:sz w:val="22"/>
          <w:szCs w:val="22"/>
        </w:rPr>
        <w:t>The specific grounds upon which a customer’s details may be Disclosed or Published or service suspended or terminated</w:t>
      </w:r>
      <w:r>
        <w:rPr>
          <w:rFonts w:ascii="Calibri" w:hAnsi="Calibri"/>
          <w:sz w:val="22"/>
          <w:szCs w:val="22"/>
        </w:rPr>
        <w:t>.</w:t>
      </w:r>
    </w:p>
    <w:p w:rsidR="00FE05EE" w:rsidRDefault="00FE05EE" w:rsidP="00FE05EE">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as to w</w:t>
      </w:r>
      <w:r w:rsidRPr="00252C7A">
        <w:rPr>
          <w:rFonts w:ascii="Calibri" w:hAnsi="Calibri"/>
          <w:sz w:val="22"/>
          <w:szCs w:val="22"/>
        </w:rPr>
        <w:t>hether or not a customer: (1) will be notified when a provider receives a Publication or Disclosure request from a third party; and (2) in the case of Publication, whether the customer may opt to cancel its domain registration prio</w:t>
      </w:r>
      <w:r>
        <w:rPr>
          <w:rFonts w:ascii="Calibri" w:hAnsi="Calibri"/>
          <w:sz w:val="22"/>
          <w:szCs w:val="22"/>
        </w:rPr>
        <w:t>r to and in lieu of Publication.</w:t>
      </w:r>
    </w:p>
    <w:p w:rsidR="00FE05EE" w:rsidRPr="00F15C35" w:rsidRDefault="00FE05EE" w:rsidP="00FE05EE">
      <w:pPr>
        <w:numPr>
          <w:ilvl w:val="0"/>
          <w:numId w:val="6"/>
        </w:numPr>
        <w:spacing w:before="100" w:beforeAutospacing="1" w:after="100" w:afterAutospacing="1"/>
        <w:contextualSpacing/>
        <w:rPr>
          <w:rFonts w:ascii="Calibri" w:hAnsi="Calibri"/>
          <w:sz w:val="22"/>
          <w:szCs w:val="22"/>
        </w:rPr>
      </w:pPr>
      <w:r>
        <w:rPr>
          <w:rFonts w:ascii="Calibri" w:hAnsi="Calibri"/>
          <w:sz w:val="22"/>
          <w:szCs w:val="22"/>
        </w:rPr>
        <w:t>Clarification t</w:t>
      </w:r>
      <w:r w:rsidRPr="00F15C35">
        <w:rPr>
          <w:rFonts w:ascii="Calibri" w:hAnsi="Calibri"/>
          <w:sz w:val="22"/>
          <w:szCs w:val="22"/>
        </w:rPr>
        <w:t>hat a requestor will be notified in a timely manner of the provider’s decision: (1) to notify its customer of the request; and (2) whether or not the provider agrees to comply with the request to Disclose or Publish. This should also be clearly indicated in all Disclosure or Publication related materials</w:t>
      </w:r>
      <w:r>
        <w:rPr>
          <w:rFonts w:ascii="Calibri" w:hAnsi="Calibri"/>
          <w:sz w:val="22"/>
          <w:szCs w:val="22"/>
        </w:rPr>
        <w:t>.</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In addition, the WG recommends the following as best practices</w:t>
      </w:r>
      <w:r>
        <w:rPr>
          <w:rFonts w:ascii="Calibri" w:hAnsi="Calibri"/>
          <w:sz w:val="22"/>
          <w:szCs w:val="22"/>
        </w:rPr>
        <w:t xml:space="preserve"> for accredited P/P providers</w:t>
      </w:r>
      <w:r>
        <w:rPr>
          <w:rStyle w:val="FootnoteReference"/>
          <w:rFonts w:ascii="Calibri" w:hAnsi="Calibri"/>
          <w:sz w:val="22"/>
          <w:szCs w:val="22"/>
        </w:rPr>
        <w:footnoteReference w:id="5"/>
      </w:r>
      <w:r w:rsidRPr="006B5781">
        <w:rPr>
          <w:rFonts w:ascii="Calibri" w:hAnsi="Calibri"/>
          <w:sz w:val="22"/>
          <w:szCs w:val="22"/>
        </w:rPr>
        <w:t>:</w:t>
      </w:r>
    </w:p>
    <w:p w:rsidR="00FE05EE" w:rsidRPr="006B5781" w:rsidRDefault="00FE05EE" w:rsidP="00FE05EE">
      <w:pPr>
        <w:numPr>
          <w:ilvl w:val="0"/>
          <w:numId w:val="2"/>
        </w:numPr>
        <w:suppressAutoHyphens w:val="0"/>
        <w:spacing w:before="100" w:beforeAutospacing="1" w:after="100" w:afterAutospacing="1"/>
        <w:contextualSpacing/>
        <w:rPr>
          <w:rFonts w:ascii="Calibri" w:hAnsi="Calibri"/>
          <w:sz w:val="22"/>
          <w:szCs w:val="22"/>
        </w:rPr>
      </w:pPr>
      <w:r w:rsidRPr="006B5781">
        <w:rPr>
          <w:rFonts w:ascii="Calibri" w:hAnsi="Calibri"/>
          <w:sz w:val="22"/>
          <w:szCs w:val="22"/>
        </w:rPr>
        <w:t xml:space="preserve">P/P services should facilitate and not </w:t>
      </w:r>
      <w:r>
        <w:rPr>
          <w:rFonts w:ascii="Calibri" w:hAnsi="Calibri"/>
          <w:sz w:val="22"/>
          <w:szCs w:val="22"/>
        </w:rPr>
        <w:t>obstruct</w:t>
      </w:r>
      <w:r w:rsidRPr="006B5781">
        <w:rPr>
          <w:rFonts w:ascii="Calibri" w:hAnsi="Calibri"/>
          <w:sz w:val="22"/>
          <w:szCs w:val="22"/>
        </w:rPr>
        <w:t xml:space="preserve"> the transfer, renewal or restoration of a domain name by their customers, including without limitation a renewal during a Redemption Grace Period under the</w:t>
      </w:r>
      <w:r w:rsidRPr="00CE6488">
        <w:rPr>
          <w:rFonts w:ascii="Calibri" w:hAnsi="Calibri"/>
          <w:sz w:val="22"/>
          <w:szCs w:val="22"/>
        </w:rPr>
        <w:t xml:space="preserve"> </w:t>
      </w:r>
      <w:hyperlink r:id="rId8" w:history="1">
        <w:r w:rsidR="00CE6488" w:rsidRPr="00CE6488">
          <w:rPr>
            <w:rStyle w:val="Hyperlink"/>
            <w:rFonts w:ascii="Calibri" w:hAnsi="Calibri"/>
            <w:sz w:val="22"/>
            <w:szCs w:val="22"/>
          </w:rPr>
          <w:t>Expired Registration Recovery Policy</w:t>
        </w:r>
      </w:hyperlink>
      <w:r w:rsidRPr="006B5781">
        <w:rPr>
          <w:rFonts w:ascii="Calibri" w:hAnsi="Calibri"/>
          <w:sz w:val="22"/>
          <w:szCs w:val="22"/>
        </w:rPr>
        <w:t xml:space="preserve"> and transfers to another P/P service.</w:t>
      </w:r>
    </w:p>
    <w:p w:rsidR="00FE05EE" w:rsidRPr="006B5781" w:rsidRDefault="00FE05EE" w:rsidP="00FE05EE">
      <w:pPr>
        <w:numPr>
          <w:ilvl w:val="0"/>
          <w:numId w:val="2"/>
        </w:numPr>
        <w:spacing w:before="100" w:beforeAutospacing="1" w:after="100" w:afterAutospacing="1"/>
        <w:contextualSpacing/>
        <w:rPr>
          <w:rFonts w:ascii="Calibri" w:hAnsi="Calibri"/>
          <w:sz w:val="22"/>
          <w:szCs w:val="22"/>
        </w:rPr>
      </w:pPr>
      <w:r w:rsidRPr="006B5781">
        <w:rPr>
          <w:rFonts w:ascii="Calibri" w:hAnsi="Calibri"/>
          <w:sz w:val="22"/>
          <w:szCs w:val="22"/>
        </w:rPr>
        <w:t>P/P services should use commercially reasonable efforts to avoid the need to disclose underlying customer data in the process of renewing, transferring or restoring a domain name.</w:t>
      </w:r>
    </w:p>
    <w:p w:rsidR="00FE05EE" w:rsidRPr="006B5781" w:rsidRDefault="00FE05EE" w:rsidP="00FE05EE">
      <w:pPr>
        <w:spacing w:before="100" w:beforeAutospacing="1" w:after="100" w:afterAutospacing="1"/>
        <w:contextualSpacing/>
        <w:rPr>
          <w:rFonts w:ascii="Calibri" w:hAnsi="Calibri"/>
          <w:sz w:val="22"/>
          <w:szCs w:val="22"/>
        </w:rPr>
      </w:pPr>
    </w:p>
    <w:p w:rsidR="00FE05EE" w:rsidRDefault="00FE05EE" w:rsidP="00FE05EE">
      <w:pPr>
        <w:spacing w:before="100" w:beforeAutospacing="1" w:after="100" w:afterAutospacing="1"/>
        <w:contextualSpacing/>
        <w:rPr>
          <w:rFonts w:ascii="Calibri" w:hAnsi="Calibri"/>
          <w:sz w:val="22"/>
          <w:szCs w:val="22"/>
        </w:rPr>
      </w:pPr>
      <w:r w:rsidRPr="00014C91">
        <w:rPr>
          <w:rFonts w:ascii="Calibri" w:hAnsi="Calibri"/>
          <w:sz w:val="22"/>
          <w:szCs w:val="22"/>
          <w:u w:val="single"/>
        </w:rPr>
        <w:t>CONTACTABILITY &amp; RESPONSIVENESS OF PRIVACY &amp; PROXY SERVICE PROVIDERS</w:t>
      </w:r>
      <w:r>
        <w:rPr>
          <w:rFonts w:ascii="Calibri" w:hAnsi="Calibri"/>
          <w:sz w:val="22"/>
          <w:szCs w:val="22"/>
        </w:rPr>
        <w:t>:</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eastAsia="ＭＳ 明朝" w:hAnsi="Calibri" w:cs="Calibri"/>
          <w:bCs/>
          <w:iCs/>
          <w:sz w:val="22"/>
          <w:szCs w:val="22"/>
        </w:rPr>
      </w:pPr>
      <w:r w:rsidRPr="006B5781">
        <w:rPr>
          <w:rFonts w:ascii="Calibri" w:eastAsia="ＭＳ 明朝" w:hAnsi="Calibri" w:cs="Calibri"/>
          <w:bCs/>
          <w:iCs/>
          <w:sz w:val="22"/>
          <w:szCs w:val="22"/>
        </w:rPr>
        <w:t xml:space="preserve">ICANN should publish and maintain a publicly accessible list of all accredited </w:t>
      </w:r>
      <w:r>
        <w:rPr>
          <w:rFonts w:ascii="Calibri" w:eastAsia="ＭＳ 明朝" w:hAnsi="Calibri" w:cs="Calibri"/>
          <w:bCs/>
          <w:iCs/>
          <w:sz w:val="22"/>
          <w:szCs w:val="22"/>
        </w:rPr>
        <w:t>P</w:t>
      </w:r>
      <w:r w:rsidRPr="006B5781">
        <w:rPr>
          <w:rFonts w:ascii="Calibri" w:eastAsia="ＭＳ 明朝" w:hAnsi="Calibri" w:cs="Calibri"/>
          <w:bCs/>
          <w:iCs/>
          <w:sz w:val="22"/>
          <w:szCs w:val="22"/>
        </w:rPr>
        <w:t>/</w:t>
      </w:r>
      <w:r>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with all appropriate contact information. Registrars should provide a web link to </w:t>
      </w:r>
      <w:r>
        <w:rPr>
          <w:rFonts w:ascii="Calibri" w:eastAsia="ＭＳ 明朝" w:hAnsi="Calibri" w:cs="Calibri"/>
          <w:bCs/>
          <w:iCs/>
          <w:sz w:val="22"/>
          <w:szCs w:val="22"/>
        </w:rPr>
        <w:t>P/P</w:t>
      </w:r>
      <w:r w:rsidRPr="006B5781">
        <w:rPr>
          <w:rFonts w:ascii="Calibri" w:eastAsia="ＭＳ 明朝" w:hAnsi="Calibri" w:cs="Calibri"/>
          <w:bCs/>
          <w:iCs/>
          <w:sz w:val="22"/>
          <w:szCs w:val="22"/>
        </w:rPr>
        <w:t xml:space="preserve"> services run by them or their Affiliates, and </w:t>
      </w:r>
      <w:r>
        <w:rPr>
          <w:rFonts w:ascii="Calibri" w:eastAsia="ＭＳ 明朝" w:hAnsi="Calibri" w:cs="Calibri"/>
          <w:bCs/>
          <w:iCs/>
          <w:sz w:val="22"/>
          <w:szCs w:val="22"/>
        </w:rPr>
        <w:t>P</w:t>
      </w:r>
      <w:r w:rsidRPr="006B5781">
        <w:rPr>
          <w:rFonts w:ascii="Calibri" w:eastAsia="ＭＳ 明朝" w:hAnsi="Calibri" w:cs="Calibri"/>
          <w:bCs/>
          <w:iCs/>
          <w:sz w:val="22"/>
          <w:szCs w:val="22"/>
        </w:rPr>
        <w:t>/</w:t>
      </w:r>
      <w:r>
        <w:rPr>
          <w:rFonts w:ascii="Calibri" w:eastAsia="ＭＳ 明朝" w:hAnsi="Calibri" w:cs="Calibri"/>
          <w:bCs/>
          <w:iCs/>
          <w:sz w:val="22"/>
          <w:szCs w:val="22"/>
        </w:rPr>
        <w:t>P</w:t>
      </w:r>
      <w:r w:rsidRPr="006B5781">
        <w:rPr>
          <w:rFonts w:ascii="Calibri" w:eastAsia="ＭＳ 明朝" w:hAnsi="Calibri" w:cs="Calibri"/>
          <w:bCs/>
          <w:iCs/>
          <w:sz w:val="22"/>
          <w:szCs w:val="22"/>
        </w:rPr>
        <w:t xml:space="preserve"> providers should declare their Affiliation with a registrar (if any) as a requirement of the accreditation program</w:t>
      </w:r>
      <w:r>
        <w:rPr>
          <w:rStyle w:val="FootnoteReference"/>
          <w:rFonts w:ascii="Calibri" w:eastAsia="ＭＳ 明朝" w:hAnsi="Calibri" w:cs="Calibri"/>
          <w:bCs/>
          <w:iCs/>
          <w:sz w:val="22"/>
          <w:szCs w:val="22"/>
        </w:rPr>
        <w:footnoteReference w:id="6"/>
      </w:r>
      <w:r w:rsidRPr="006B5781">
        <w:rPr>
          <w:rFonts w:ascii="Calibri" w:eastAsia="ＭＳ 明朝" w:hAnsi="Calibri" w:cs="Calibri"/>
          <w:bCs/>
          <w:iCs/>
          <w:sz w:val="22"/>
          <w:szCs w:val="22"/>
        </w:rPr>
        <w:t>.</w:t>
      </w:r>
    </w:p>
    <w:p w:rsidR="00FE05EE" w:rsidRPr="006B5781" w:rsidRDefault="00FE05EE" w:rsidP="00FE05EE">
      <w:pPr>
        <w:spacing w:before="100" w:beforeAutospacing="1" w:after="100" w:afterAutospacing="1"/>
        <w:contextualSpacing/>
        <w:rPr>
          <w:rFonts w:ascii="Calibri" w:eastAsia="ＭＳ 明朝" w:hAnsi="Calibri" w:cs="Calibri"/>
          <w:bCs/>
          <w:iCs/>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A</w:t>
      </w:r>
      <w:r w:rsidRPr="006B5781">
        <w:rPr>
          <w:rFonts w:ascii="Calibri" w:hAnsi="Calibri"/>
          <w:sz w:val="22"/>
          <w:szCs w:val="22"/>
        </w:rPr>
        <w:t xml:space="preserve"> “designated” rather than a “dedicated” point of contact will be sufficient for abuse reporting purposes, </w:t>
      </w:r>
      <w:r>
        <w:rPr>
          <w:rFonts w:ascii="Calibri" w:hAnsi="Calibri"/>
          <w:sz w:val="22"/>
          <w:szCs w:val="22"/>
        </w:rPr>
        <w:t>since</w:t>
      </w:r>
      <w:r w:rsidRPr="006B5781">
        <w:rPr>
          <w:rFonts w:ascii="Calibri" w:hAnsi="Calibri"/>
          <w:sz w:val="22"/>
          <w:szCs w:val="22"/>
        </w:rPr>
        <w:t xml:space="preserve"> the primary concern is to have one contact point that third parties can go to and expect a response from.</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P/P providers should be fully contactable</w:t>
      </w:r>
      <w:r>
        <w:rPr>
          <w:rFonts w:ascii="Calibri" w:hAnsi="Calibri"/>
          <w:sz w:val="22"/>
          <w:szCs w:val="22"/>
        </w:rPr>
        <w:t>, through the publication of contact details on their websites in a manner modelled after</w:t>
      </w:r>
      <w:r w:rsidRPr="006B5781">
        <w:rPr>
          <w:rFonts w:ascii="Calibri" w:hAnsi="Calibri"/>
          <w:sz w:val="22"/>
          <w:szCs w:val="22"/>
        </w:rPr>
        <w:t xml:space="preserve"> Sect</w:t>
      </w:r>
      <w:r>
        <w:rPr>
          <w:rFonts w:ascii="Calibri" w:hAnsi="Calibri"/>
          <w:sz w:val="22"/>
          <w:szCs w:val="22"/>
        </w:rPr>
        <w:t xml:space="preserve">ion 2.3 of the 2013 RAA </w:t>
      </w:r>
      <w:hyperlink r:id="rId9" w:anchor="privacy-proxy" w:history="1">
        <w:r>
          <w:rPr>
            <w:rStyle w:val="Hyperlink"/>
            <w:rFonts w:ascii="Calibri" w:hAnsi="Calibri"/>
            <w:sz w:val="22"/>
            <w:szCs w:val="22"/>
          </w:rPr>
          <w:t>Specification on Privacy and Proxy Registrations</w:t>
        </w:r>
      </w:hyperlink>
      <w:r w:rsidRPr="006B5781">
        <w:rPr>
          <w:rFonts w:ascii="Calibri" w:hAnsi="Calibri"/>
          <w:sz w:val="22"/>
          <w:szCs w:val="22"/>
        </w:rPr>
        <w:t>.</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014C91" w:rsidRDefault="00FE05EE" w:rsidP="00FE05EE">
      <w:pPr>
        <w:numPr>
          <w:ilvl w:val="0"/>
          <w:numId w:val="1"/>
        </w:numPr>
        <w:autoSpaceDE w:val="0"/>
        <w:autoSpaceDN w:val="0"/>
        <w:adjustRightInd w:val="0"/>
        <w:spacing w:before="100" w:beforeAutospacing="1" w:after="100" w:afterAutospacing="1"/>
        <w:contextualSpacing/>
        <w:rPr>
          <w:rFonts w:ascii="Calibri" w:eastAsia="ＭＳ 明朝" w:hAnsi="Calibri" w:cs="Calibri"/>
          <w:sz w:val="22"/>
          <w:szCs w:val="22"/>
        </w:rPr>
      </w:pPr>
      <w:r>
        <w:rPr>
          <w:rFonts w:ascii="Calibri" w:eastAsia="ＭＳ 明朝" w:hAnsi="Calibri" w:cs="Calibri"/>
          <w:sz w:val="22"/>
          <w:szCs w:val="22"/>
        </w:rPr>
        <w:t>R</w:t>
      </w:r>
      <w:r w:rsidRPr="006B5781">
        <w:rPr>
          <w:rFonts w:ascii="Calibri" w:eastAsia="ＭＳ 明朝" w:hAnsi="Calibri" w:cs="Calibri"/>
          <w:sz w:val="22"/>
          <w:szCs w:val="22"/>
        </w:rPr>
        <w:t xml:space="preserve">equirements </w:t>
      </w:r>
      <w:r>
        <w:rPr>
          <w:rFonts w:ascii="Calibri" w:eastAsia="ＭＳ 明朝" w:hAnsi="Calibri" w:cs="Calibri"/>
          <w:sz w:val="22"/>
          <w:szCs w:val="22"/>
        </w:rPr>
        <w:t>relating</w:t>
      </w:r>
      <w:r w:rsidRPr="006B5781">
        <w:rPr>
          <w:rFonts w:ascii="Calibri" w:eastAsia="ＭＳ 明朝" w:hAnsi="Calibri" w:cs="Calibri"/>
          <w:sz w:val="22"/>
          <w:szCs w:val="22"/>
        </w:rPr>
        <w:t xml:space="preserve"> to </w:t>
      </w:r>
      <w:r>
        <w:rPr>
          <w:rFonts w:ascii="Calibri" w:eastAsia="ＭＳ 明朝" w:hAnsi="Calibri" w:cs="Calibri"/>
          <w:sz w:val="22"/>
          <w:szCs w:val="22"/>
        </w:rPr>
        <w:t>the</w:t>
      </w:r>
      <w:r w:rsidRPr="006B5781">
        <w:rPr>
          <w:rFonts w:ascii="Calibri" w:eastAsia="ＭＳ 明朝" w:hAnsi="Calibri" w:cs="Calibri"/>
          <w:sz w:val="22"/>
          <w:szCs w:val="22"/>
        </w:rPr>
        <w:t xml:space="preserve"> forms of alleged malicious conduct </w:t>
      </w:r>
      <w:r>
        <w:rPr>
          <w:rFonts w:ascii="Calibri" w:eastAsia="ＭＳ 明朝" w:hAnsi="Calibri" w:cs="Calibri"/>
          <w:sz w:val="22"/>
          <w:szCs w:val="22"/>
        </w:rPr>
        <w:t>to</w:t>
      </w:r>
      <w:r w:rsidRPr="006B5781">
        <w:rPr>
          <w:rFonts w:ascii="Calibri" w:eastAsia="ＭＳ 明朝" w:hAnsi="Calibri" w:cs="Calibri"/>
          <w:sz w:val="22"/>
          <w:szCs w:val="22"/>
        </w:rPr>
        <w:t xml:space="preserve"> be covered by the designated published point of contact at an ICANN-accredited privacy/proxy service provider </w:t>
      </w:r>
      <w:r>
        <w:rPr>
          <w:rFonts w:ascii="Calibri" w:eastAsia="ＭＳ 明朝" w:hAnsi="Calibri" w:cs="Calibri"/>
          <w:sz w:val="22"/>
          <w:szCs w:val="22"/>
        </w:rPr>
        <w:t xml:space="preserve">should </w:t>
      </w:r>
      <w:r w:rsidRPr="006B5781">
        <w:rPr>
          <w:rFonts w:ascii="Calibri" w:eastAsia="ＭＳ 明朝" w:hAnsi="Calibri" w:cs="Calibri"/>
          <w:sz w:val="22"/>
          <w:szCs w:val="22"/>
        </w:rPr>
        <w:t xml:space="preserve">include a list of </w:t>
      </w:r>
      <w:r>
        <w:rPr>
          <w:rFonts w:ascii="Calibri" w:eastAsia="ＭＳ 明朝" w:hAnsi="Calibri" w:cs="Calibri"/>
          <w:sz w:val="22"/>
          <w:szCs w:val="22"/>
        </w:rPr>
        <w:t xml:space="preserve">the </w:t>
      </w:r>
      <w:r w:rsidRPr="006B5781">
        <w:rPr>
          <w:rFonts w:ascii="Calibri" w:eastAsia="ＭＳ 明朝" w:hAnsi="Calibri" w:cs="Calibri"/>
          <w:sz w:val="22"/>
          <w:szCs w:val="22"/>
        </w:rPr>
        <w:t xml:space="preserve">forms of malicious conduct to be covered. These requirements should </w:t>
      </w:r>
      <w:r w:rsidRPr="006B5781">
        <w:rPr>
          <w:rFonts w:ascii="Calibri" w:hAnsi="Calibri"/>
          <w:sz w:val="22"/>
          <w:szCs w:val="22"/>
        </w:rPr>
        <w:t xml:space="preserve">allow for enough flexibility to accommodate new types of malicious conduct. </w:t>
      </w:r>
      <w:r>
        <w:rPr>
          <w:rFonts w:ascii="Calibri" w:hAnsi="Calibri"/>
          <w:sz w:val="22"/>
          <w:szCs w:val="22"/>
        </w:rPr>
        <w:t xml:space="preserve">By way of example, </w:t>
      </w:r>
      <w:r w:rsidRPr="006B5781">
        <w:rPr>
          <w:rFonts w:ascii="Calibri" w:hAnsi="Calibri"/>
          <w:sz w:val="22"/>
          <w:szCs w:val="22"/>
        </w:rPr>
        <w:t>Section 3 of the Public Interest Commitments (PIC) Specification</w:t>
      </w:r>
      <w:r>
        <w:rPr>
          <w:rStyle w:val="FootnoteReference"/>
          <w:rFonts w:ascii="Calibri" w:hAnsi="Calibri"/>
          <w:sz w:val="22"/>
          <w:szCs w:val="22"/>
        </w:rPr>
        <w:footnoteReference w:id="7"/>
      </w:r>
      <w:r w:rsidRPr="006B5781">
        <w:rPr>
          <w:rFonts w:ascii="Calibri" w:hAnsi="Calibri"/>
          <w:sz w:val="22"/>
          <w:szCs w:val="22"/>
        </w:rPr>
        <w:t xml:space="preserve"> in the </w:t>
      </w:r>
      <w:proofErr w:type="gramStart"/>
      <w:r w:rsidRPr="006B5781">
        <w:rPr>
          <w:rFonts w:ascii="Calibri" w:hAnsi="Calibri"/>
          <w:sz w:val="22"/>
          <w:szCs w:val="22"/>
        </w:rPr>
        <w:t>New</w:t>
      </w:r>
      <w:proofErr w:type="gramEnd"/>
      <w:r w:rsidRPr="006B5781">
        <w:rPr>
          <w:rFonts w:ascii="Calibri" w:hAnsi="Calibri"/>
          <w:sz w:val="22"/>
          <w:szCs w:val="22"/>
        </w:rPr>
        <w:t xml:space="preserve"> </w:t>
      </w:r>
      <w:proofErr w:type="spellStart"/>
      <w:r w:rsidRPr="006B5781">
        <w:rPr>
          <w:rFonts w:ascii="Calibri" w:hAnsi="Calibri"/>
          <w:sz w:val="22"/>
          <w:szCs w:val="22"/>
        </w:rPr>
        <w:t>gTLD</w:t>
      </w:r>
      <w:proofErr w:type="spellEnd"/>
      <w:r w:rsidRPr="006B5781">
        <w:rPr>
          <w:rFonts w:ascii="Calibri" w:hAnsi="Calibri"/>
          <w:sz w:val="22"/>
          <w:szCs w:val="22"/>
        </w:rPr>
        <w:t xml:space="preserve"> Registry Agreement or Safeguard 2, Annex 1 of the GAC’s Beijing </w:t>
      </w:r>
      <w:proofErr w:type="spellStart"/>
      <w:r w:rsidRPr="006B5781">
        <w:rPr>
          <w:rFonts w:ascii="Calibri" w:hAnsi="Calibri"/>
          <w:sz w:val="22"/>
          <w:szCs w:val="22"/>
        </w:rPr>
        <w:t>Communique</w:t>
      </w:r>
      <w:proofErr w:type="spellEnd"/>
      <w:r>
        <w:rPr>
          <w:rStyle w:val="FootnoteReference"/>
          <w:rFonts w:ascii="Calibri" w:hAnsi="Calibri"/>
          <w:sz w:val="22"/>
          <w:szCs w:val="22"/>
        </w:rPr>
        <w:footnoteReference w:id="8"/>
      </w:r>
      <w:r>
        <w:rPr>
          <w:rFonts w:ascii="Calibri" w:hAnsi="Calibri"/>
          <w:sz w:val="22"/>
          <w:szCs w:val="22"/>
        </w:rPr>
        <w:t xml:space="preserve"> </w:t>
      </w:r>
      <w:r w:rsidRPr="006B5781">
        <w:rPr>
          <w:rFonts w:ascii="Calibri" w:hAnsi="Calibri"/>
          <w:sz w:val="22"/>
          <w:szCs w:val="22"/>
        </w:rPr>
        <w:t xml:space="preserve">could serve as </w:t>
      </w:r>
      <w:r>
        <w:rPr>
          <w:rFonts w:ascii="Calibri" w:hAnsi="Calibri"/>
          <w:sz w:val="22"/>
          <w:szCs w:val="22"/>
        </w:rPr>
        <w:t>starting points for developing such a list</w:t>
      </w:r>
      <w:r w:rsidRPr="006B5781">
        <w:rPr>
          <w:rFonts w:ascii="Calibri" w:hAnsi="Calibri"/>
          <w:sz w:val="22"/>
          <w:szCs w:val="22"/>
        </w:rPr>
        <w:t>.</w:t>
      </w:r>
    </w:p>
    <w:p w:rsidR="00FE05EE" w:rsidRDefault="00FE05EE" w:rsidP="00FE05EE">
      <w:pPr>
        <w:autoSpaceDE w:val="0"/>
        <w:autoSpaceDN w:val="0"/>
        <w:adjustRightInd w:val="0"/>
        <w:spacing w:before="100" w:beforeAutospacing="1" w:after="100" w:afterAutospacing="1"/>
        <w:ind w:left="720"/>
        <w:contextualSpacing/>
        <w:rPr>
          <w:rFonts w:ascii="Calibri" w:eastAsia="ＭＳ 明朝" w:hAnsi="Calibri" w:cs="Calibri"/>
          <w:sz w:val="22"/>
          <w:szCs w:val="22"/>
        </w:rPr>
      </w:pPr>
    </w:p>
    <w:p w:rsidR="00FE05EE" w:rsidRPr="006B5781" w:rsidRDefault="00FE05EE" w:rsidP="00FE05EE">
      <w:pPr>
        <w:numPr>
          <w:ilvl w:val="0"/>
          <w:numId w:val="1"/>
        </w:numPr>
        <w:autoSpaceDE w:val="0"/>
        <w:autoSpaceDN w:val="0"/>
        <w:adjustRightInd w:val="0"/>
        <w:spacing w:before="100" w:beforeAutospacing="1" w:after="100" w:afterAutospacing="1"/>
        <w:contextualSpacing/>
        <w:rPr>
          <w:rFonts w:ascii="Calibri" w:eastAsia="ＭＳ 明朝" w:hAnsi="Calibri" w:cs="Calibri"/>
          <w:sz w:val="22"/>
          <w:szCs w:val="22"/>
        </w:rPr>
      </w:pPr>
      <w:r>
        <w:rPr>
          <w:rFonts w:ascii="Calibri" w:eastAsia="ＭＳ 明朝" w:hAnsi="Calibri" w:cs="Calibri"/>
          <w:sz w:val="22"/>
          <w:szCs w:val="22"/>
        </w:rPr>
        <w:t xml:space="preserve">The designated point of contact for a P/P provider should be capable and authorized to investigate and handle abuse reports and information requests received (a standard similar to that currently required for a Transfer Emergency Action Contact under the </w:t>
      </w:r>
      <w:hyperlink r:id="rId10" w:history="1">
        <w:r>
          <w:rPr>
            <w:rStyle w:val="Hyperlink"/>
            <w:rFonts w:ascii="Calibri" w:eastAsia="ＭＳ 明朝" w:hAnsi="Calibri" w:cs="Calibri"/>
            <w:sz w:val="22"/>
            <w:szCs w:val="22"/>
          </w:rPr>
          <w:t>Inter Registrar Transfer Policy</w:t>
        </w:r>
      </w:hyperlink>
      <w:r>
        <w:rPr>
          <w:rFonts w:ascii="Calibri" w:eastAsia="ＭＳ 明朝" w:hAnsi="Calibri" w:cs="Calibri"/>
          <w:sz w:val="22"/>
          <w:szCs w:val="22"/>
        </w:rPr>
        <w:t xml:space="preserve"> (“IRTP”).</w:t>
      </w:r>
    </w:p>
    <w:p w:rsidR="00FE05EE" w:rsidRDefault="00FE05EE" w:rsidP="00FE05EE">
      <w:pPr>
        <w:spacing w:before="100" w:beforeAutospacing="1" w:after="100" w:afterAutospacing="1"/>
        <w:contextualSpacing/>
        <w:rPr>
          <w:rFonts w:ascii="Calibri" w:eastAsia="ＭＳ 明朝" w:hAnsi="Calibri" w:cs="Calibri"/>
          <w:sz w:val="22"/>
          <w:szCs w:val="22"/>
        </w:rPr>
      </w:pPr>
    </w:p>
    <w:p w:rsidR="00FE05EE" w:rsidRDefault="00FE05EE" w:rsidP="00FE05EE">
      <w:pPr>
        <w:spacing w:before="100" w:beforeAutospacing="1" w:after="100" w:afterAutospacing="1"/>
        <w:contextualSpacing/>
        <w:rPr>
          <w:rFonts w:ascii="Calibri" w:eastAsia="ＭＳ 明朝" w:hAnsi="Calibri" w:cs="Calibri"/>
          <w:sz w:val="22"/>
          <w:szCs w:val="22"/>
        </w:rPr>
      </w:pPr>
      <w:r w:rsidRPr="00014C91">
        <w:rPr>
          <w:rFonts w:ascii="Calibri" w:eastAsia="ＭＳ 明朝" w:hAnsi="Calibri" w:cs="Calibri"/>
          <w:sz w:val="22"/>
          <w:szCs w:val="22"/>
          <w:u w:val="single"/>
        </w:rPr>
        <w:t>STANDARD FORM &amp; REQUIREMENTS FOR ABUSE REPORTING &amp; INFORMATION REQUESTS</w:t>
      </w:r>
      <w:r>
        <w:rPr>
          <w:rFonts w:ascii="Calibri" w:eastAsia="ＭＳ 明朝" w:hAnsi="Calibri" w:cs="Calibri"/>
          <w:sz w:val="22"/>
          <w:szCs w:val="22"/>
        </w:rPr>
        <w:t>:</w:t>
      </w:r>
    </w:p>
    <w:p w:rsidR="00FE05EE" w:rsidRPr="006B5781" w:rsidRDefault="00FE05EE" w:rsidP="00FE05EE">
      <w:pPr>
        <w:spacing w:before="100" w:beforeAutospacing="1" w:after="100" w:afterAutospacing="1"/>
        <w:contextualSpacing/>
        <w:rPr>
          <w:rFonts w:ascii="Calibri" w:eastAsia="ＭＳ 明朝" w:hAnsi="Calibri" w:cs="Calibri"/>
          <w:sz w:val="22"/>
          <w:szCs w:val="22"/>
        </w:rPr>
      </w:pPr>
    </w:p>
    <w:p w:rsidR="00FE05EE" w:rsidRPr="006B5781" w:rsidRDefault="00FE05EE" w:rsidP="00FE05EE">
      <w:pPr>
        <w:numPr>
          <w:ilvl w:val="0"/>
          <w:numId w:val="1"/>
        </w:numPr>
        <w:spacing w:before="100" w:beforeAutospacing="1" w:after="100" w:afterAutospacing="1"/>
        <w:contextualSpacing/>
        <w:rPr>
          <w:rFonts w:ascii="Calibri" w:eastAsia="ＭＳ 明朝" w:hAnsi="Calibri" w:cs="Calibri"/>
          <w:sz w:val="22"/>
          <w:szCs w:val="22"/>
        </w:rPr>
      </w:pPr>
      <w:r>
        <w:rPr>
          <w:rFonts w:ascii="Calibri" w:eastAsia="ＭＳ 明朝" w:hAnsi="Calibri" w:cs="Calibri"/>
          <w:sz w:val="22"/>
          <w:szCs w:val="22"/>
        </w:rPr>
        <w:t>A</w:t>
      </w:r>
      <w:r w:rsidRPr="006B5781">
        <w:rPr>
          <w:rFonts w:ascii="Calibri" w:eastAsia="ＭＳ 明朝" w:hAnsi="Calibri" w:cs="Calibri"/>
          <w:sz w:val="22"/>
          <w:szCs w:val="22"/>
        </w:rPr>
        <w:t xml:space="preserve"> standardized form for information requests and reports </w:t>
      </w:r>
      <w:r>
        <w:rPr>
          <w:rFonts w:ascii="Calibri" w:eastAsia="ＭＳ 明朝" w:hAnsi="Calibri" w:cs="Calibri"/>
          <w:sz w:val="22"/>
          <w:szCs w:val="22"/>
        </w:rPr>
        <w:t xml:space="preserve">should </w:t>
      </w:r>
      <w:r w:rsidRPr="006B5781">
        <w:rPr>
          <w:rFonts w:ascii="Calibri" w:eastAsia="ＭＳ 明朝" w:hAnsi="Calibri" w:cs="Calibri"/>
          <w:sz w:val="22"/>
          <w:szCs w:val="22"/>
        </w:rPr>
        <w:t>be developed</w:t>
      </w:r>
      <w:r>
        <w:rPr>
          <w:rFonts w:ascii="Calibri" w:eastAsia="ＭＳ 明朝" w:hAnsi="Calibri" w:cs="Calibri"/>
          <w:sz w:val="22"/>
          <w:szCs w:val="22"/>
        </w:rPr>
        <w:t xml:space="preserve"> for the purpose of reporting abuse and submitting requests (including requests for customer information)</w:t>
      </w:r>
      <w:r w:rsidRPr="006B5781">
        <w:rPr>
          <w:rFonts w:ascii="Calibri" w:eastAsia="ＭＳ 明朝" w:hAnsi="Calibri" w:cs="Calibri"/>
          <w:sz w:val="22"/>
          <w:szCs w:val="22"/>
        </w:rPr>
        <w:t>, to also include space for free form text</w:t>
      </w:r>
      <w:r w:rsidRPr="006B5781">
        <w:rPr>
          <w:rStyle w:val="FootnoteReference"/>
          <w:rFonts w:ascii="Calibri" w:eastAsia="ＭＳ 明朝" w:hAnsi="Calibri" w:cs="Calibri"/>
          <w:sz w:val="22"/>
          <w:szCs w:val="22"/>
        </w:rPr>
        <w:footnoteReference w:id="9"/>
      </w:r>
      <w:r w:rsidRPr="006B5781">
        <w:rPr>
          <w:rFonts w:ascii="Calibri" w:eastAsia="ＭＳ 明朝" w:hAnsi="Calibri" w:cs="Calibri"/>
          <w:sz w:val="22"/>
          <w:szCs w:val="22"/>
        </w:rPr>
        <w:t xml:space="preserve">. </w:t>
      </w:r>
      <w:r>
        <w:rPr>
          <w:rFonts w:ascii="Calibri" w:eastAsia="ＭＳ 明朝" w:hAnsi="Calibri" w:cs="Calibri"/>
          <w:sz w:val="22"/>
          <w:szCs w:val="22"/>
        </w:rPr>
        <w:t>P</w:t>
      </w:r>
      <w:r w:rsidRPr="006B5781">
        <w:rPr>
          <w:rFonts w:ascii="Calibri" w:eastAsia="ＭＳ 明朝" w:hAnsi="Calibri" w:cs="Calibri"/>
          <w:sz w:val="22"/>
          <w:szCs w:val="22"/>
        </w:rPr>
        <w:t xml:space="preserve">roviders should </w:t>
      </w:r>
      <w:r>
        <w:rPr>
          <w:rFonts w:ascii="Calibri" w:eastAsia="ＭＳ 明朝" w:hAnsi="Calibri" w:cs="Calibri"/>
          <w:sz w:val="22"/>
          <w:szCs w:val="22"/>
        </w:rPr>
        <w:t xml:space="preserve">also </w:t>
      </w:r>
      <w:r w:rsidRPr="006B5781">
        <w:rPr>
          <w:rFonts w:ascii="Calibri" w:eastAsia="ＭＳ 明朝" w:hAnsi="Calibri" w:cs="Calibri"/>
          <w:sz w:val="22"/>
          <w:szCs w:val="22"/>
        </w:rPr>
        <w:t>have the ability to “categorize” reports received, in order to facilitate responsiveness.</w:t>
      </w:r>
    </w:p>
    <w:p w:rsidR="00FE05EE" w:rsidRDefault="00FE05EE" w:rsidP="00FE05EE">
      <w:pPr>
        <w:spacing w:before="100" w:beforeAutospacing="1" w:after="100" w:afterAutospacing="1"/>
        <w:contextualSpacing/>
        <w:rPr>
          <w:rFonts w:ascii="Calibri" w:eastAsia="ＭＳ 明朝" w:hAnsi="Calibri" w:cs="Calibri"/>
          <w:sz w:val="22"/>
          <w:szCs w:val="22"/>
          <w:u w:val="single"/>
        </w:rPr>
      </w:pPr>
    </w:p>
    <w:p w:rsidR="00FE05EE" w:rsidRDefault="00FE05EE" w:rsidP="00FE05EE">
      <w:pPr>
        <w:spacing w:before="100" w:beforeAutospacing="1" w:after="100" w:afterAutospacing="1"/>
        <w:contextualSpacing/>
        <w:rPr>
          <w:rFonts w:ascii="Calibri" w:eastAsia="ＭＳ 明朝" w:hAnsi="Calibri" w:cs="Calibri"/>
          <w:sz w:val="22"/>
          <w:szCs w:val="22"/>
        </w:rPr>
      </w:pPr>
      <w:r w:rsidRPr="00014C91">
        <w:rPr>
          <w:rFonts w:ascii="Calibri" w:eastAsia="ＭＳ 明朝" w:hAnsi="Calibri" w:cs="Calibri"/>
          <w:sz w:val="22"/>
          <w:szCs w:val="22"/>
          <w:u w:val="single"/>
        </w:rPr>
        <w:t>RELAYING (FORWARDING) OF THIRD PARTY REQUESTS</w:t>
      </w:r>
      <w:r>
        <w:rPr>
          <w:rFonts w:ascii="Calibri" w:eastAsia="ＭＳ 明朝" w:hAnsi="Calibri" w:cs="Calibri"/>
          <w:sz w:val="22"/>
          <w:szCs w:val="22"/>
        </w:rPr>
        <w:t>:</w:t>
      </w:r>
    </w:p>
    <w:p w:rsidR="00FE05EE" w:rsidRPr="006B5781" w:rsidRDefault="00FE05EE" w:rsidP="00FE05EE">
      <w:pPr>
        <w:spacing w:before="100" w:beforeAutospacing="1" w:after="100" w:afterAutospacing="1"/>
        <w:contextualSpacing/>
        <w:rPr>
          <w:rFonts w:ascii="Calibri" w:eastAsia="ＭＳ 明朝" w:hAnsi="Calibri" w:cs="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w:t>
      </w:r>
      <w:r>
        <w:rPr>
          <w:rFonts w:ascii="Calibri" w:hAnsi="Calibri"/>
          <w:sz w:val="22"/>
          <w:szCs w:val="22"/>
        </w:rPr>
        <w:t xml:space="preserve">Relaying (Forwarding) of </w:t>
      </w:r>
      <w:r w:rsidRPr="006B5781">
        <w:rPr>
          <w:rFonts w:ascii="Calibri" w:hAnsi="Calibri"/>
          <w:sz w:val="22"/>
          <w:szCs w:val="22"/>
        </w:rPr>
        <w:t>Electronic Communications</w:t>
      </w:r>
      <w:r w:rsidRPr="006B5781">
        <w:rPr>
          <w:rStyle w:val="FootnoteReference"/>
          <w:rFonts w:ascii="Calibri" w:hAnsi="Calibri"/>
          <w:sz w:val="22"/>
          <w:szCs w:val="22"/>
        </w:rPr>
        <w:footnoteReference w:id="10"/>
      </w:r>
      <w:r w:rsidRPr="006B5781">
        <w:rPr>
          <w:rFonts w:ascii="Calibri" w:hAnsi="Calibri"/>
          <w:sz w:val="22"/>
          <w:szCs w:val="22"/>
        </w:rPr>
        <w:t>:</w:t>
      </w:r>
    </w:p>
    <w:p w:rsidR="00FE05EE" w:rsidRPr="006B5781" w:rsidRDefault="00FE05EE" w:rsidP="00FE05EE">
      <w:pPr>
        <w:numPr>
          <w:ilvl w:val="0"/>
          <w:numId w:val="3"/>
        </w:numPr>
        <w:spacing w:before="100" w:beforeAutospacing="1" w:after="100" w:afterAutospacing="1"/>
        <w:contextualSpacing/>
        <w:rPr>
          <w:rFonts w:ascii="Calibri" w:hAnsi="Calibri"/>
          <w:sz w:val="22"/>
          <w:szCs w:val="22"/>
        </w:rPr>
      </w:pPr>
      <w:r w:rsidRPr="006B5781">
        <w:rPr>
          <w:rFonts w:ascii="Calibri" w:hAnsi="Calibri"/>
          <w:sz w:val="22"/>
          <w:szCs w:val="22"/>
        </w:rPr>
        <w:t>All communications required by the RAA and ICANN Consen</w:t>
      </w:r>
      <w:r>
        <w:rPr>
          <w:rFonts w:ascii="Calibri" w:hAnsi="Calibri"/>
          <w:sz w:val="22"/>
          <w:szCs w:val="22"/>
        </w:rPr>
        <w:t>sus Policies must be forwarded</w:t>
      </w:r>
    </w:p>
    <w:p w:rsidR="00FE05EE" w:rsidRPr="006B5781" w:rsidRDefault="00FE05EE" w:rsidP="00FE05EE">
      <w:pPr>
        <w:numPr>
          <w:ilvl w:val="0"/>
          <w:numId w:val="3"/>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For all other electronic communications, providers may elect one of the following </w:t>
      </w:r>
      <w:r>
        <w:rPr>
          <w:rFonts w:ascii="Calibri" w:hAnsi="Calibri"/>
          <w:sz w:val="22"/>
          <w:szCs w:val="22"/>
        </w:rPr>
        <w:t xml:space="preserve">two </w:t>
      </w:r>
      <w:r w:rsidRPr="006B5781">
        <w:rPr>
          <w:rFonts w:ascii="Calibri" w:hAnsi="Calibri"/>
          <w:sz w:val="22"/>
          <w:szCs w:val="22"/>
        </w:rPr>
        <w:t>options:</w:t>
      </w:r>
    </w:p>
    <w:p w:rsidR="00FE05EE" w:rsidRPr="006B5781" w:rsidRDefault="00FE05EE" w:rsidP="00FE05EE">
      <w:pPr>
        <w:numPr>
          <w:ilvl w:val="2"/>
          <w:numId w:val="1"/>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#1</w:t>
      </w:r>
      <w:r w:rsidRPr="006B5781">
        <w:rPr>
          <w:rFonts w:ascii="Calibri" w:hAnsi="Calibri"/>
          <w:sz w:val="22"/>
          <w:szCs w:val="22"/>
        </w:rPr>
        <w:t xml:space="preserve">: Forward all electronic requests received (including emails and via web forms), but the provider may implement commercially reasonable safeguards (including CAPTCHA) to filter out spam and other </w:t>
      </w:r>
      <w:r>
        <w:rPr>
          <w:rFonts w:ascii="Calibri" w:hAnsi="Calibri"/>
          <w:sz w:val="22"/>
          <w:szCs w:val="22"/>
        </w:rPr>
        <w:t>forms of abusive communications, or</w:t>
      </w:r>
    </w:p>
    <w:p w:rsidR="00FE05EE" w:rsidRPr="006B5781" w:rsidRDefault="00FE05EE" w:rsidP="00FE05EE">
      <w:pPr>
        <w:numPr>
          <w:ilvl w:val="2"/>
          <w:numId w:val="1"/>
        </w:numPr>
        <w:spacing w:before="100" w:beforeAutospacing="1" w:after="100" w:afterAutospacing="1"/>
        <w:contextualSpacing/>
        <w:rPr>
          <w:rFonts w:ascii="Calibri" w:hAnsi="Calibri"/>
          <w:sz w:val="22"/>
          <w:szCs w:val="22"/>
        </w:rPr>
      </w:pPr>
      <w:r w:rsidRPr="006B5781">
        <w:rPr>
          <w:rFonts w:ascii="Calibri" w:hAnsi="Calibri"/>
          <w:sz w:val="22"/>
          <w:szCs w:val="22"/>
          <w:u w:val="single"/>
        </w:rPr>
        <w:t>Option #2</w:t>
      </w:r>
      <w:r w:rsidRPr="006B5781">
        <w:rPr>
          <w:rFonts w:ascii="Calibri" w:hAnsi="Calibri"/>
          <w:sz w:val="22"/>
          <w:szCs w:val="22"/>
        </w:rPr>
        <w:t>: Forward all electronic requests (including those received via emails and web forms) received from law enforcement authorities and third parties containing allegations of domain name abuse (i.e. illegal activity)</w:t>
      </w:r>
    </w:p>
    <w:p w:rsidR="00FE05EE" w:rsidRPr="006B5781" w:rsidRDefault="00FE05EE" w:rsidP="00FE05EE">
      <w:pPr>
        <w:numPr>
          <w:ilvl w:val="0"/>
          <w:numId w:val="4"/>
        </w:numPr>
        <w:spacing w:before="100" w:beforeAutospacing="1" w:after="100" w:afterAutospacing="1"/>
        <w:contextualSpacing/>
        <w:rPr>
          <w:rFonts w:ascii="Calibri" w:hAnsi="Calibri"/>
          <w:sz w:val="22"/>
          <w:szCs w:val="22"/>
        </w:rPr>
      </w:pPr>
      <w:r w:rsidRPr="006B5781">
        <w:rPr>
          <w:rFonts w:ascii="Calibri" w:hAnsi="Calibri"/>
          <w:sz w:val="22"/>
          <w:szCs w:val="22"/>
        </w:rPr>
        <w:t>In all cases, providers must publish and maintain a mechanism (e.g. designated email point of contact) for requestors to contact to follow up on or escalate their original requests.</w:t>
      </w:r>
    </w:p>
    <w:p w:rsidR="00FE05EE" w:rsidRPr="006B5781" w:rsidRDefault="00FE05EE" w:rsidP="00FE05EE">
      <w:pPr>
        <w:spacing w:before="100" w:beforeAutospacing="1" w:after="100" w:afterAutospacing="1"/>
        <w:contextualSpacing/>
        <w:rPr>
          <w:rFonts w:ascii="Calibri" w:hAnsi="Calibri"/>
          <w:sz w:val="22"/>
          <w:szCs w:val="22"/>
        </w:rPr>
      </w:pPr>
    </w:p>
    <w:p w:rsidR="00FE05EE" w:rsidRPr="006B5781" w:rsidRDefault="00FE05EE" w:rsidP="00FE05EE">
      <w:pPr>
        <w:numPr>
          <w:ilvl w:val="0"/>
          <w:numId w:val="1"/>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Regarding Further Provider Actions When There Is A </w:t>
      </w:r>
      <w:r>
        <w:rPr>
          <w:rFonts w:ascii="Calibri" w:hAnsi="Calibri"/>
          <w:sz w:val="22"/>
          <w:szCs w:val="22"/>
        </w:rPr>
        <w:t>Persistent Delivery</w:t>
      </w:r>
      <w:r w:rsidRPr="006B5781">
        <w:rPr>
          <w:rFonts w:ascii="Calibri" w:hAnsi="Calibri"/>
          <w:sz w:val="22"/>
          <w:szCs w:val="22"/>
        </w:rPr>
        <w:t xml:space="preserve"> Failure of Electronic Communications</w:t>
      </w:r>
    </w:p>
    <w:p w:rsidR="00FE05EE" w:rsidRDefault="00FE05EE" w:rsidP="00FE05EE">
      <w:pPr>
        <w:autoSpaceDE w:val="0"/>
        <w:autoSpaceDN w:val="0"/>
        <w:adjustRightInd w:val="0"/>
        <w:spacing w:before="100" w:beforeAutospacing="1" w:after="100" w:afterAutospacing="1"/>
        <w:contextualSpacing/>
        <w:rPr>
          <w:rFonts w:ascii="Calibri" w:hAnsi="Calibri"/>
          <w:sz w:val="22"/>
          <w:szCs w:val="22"/>
          <w:u w:val="single"/>
        </w:rPr>
      </w:pPr>
    </w:p>
    <w:p w:rsidR="00FE05EE" w:rsidRPr="006B5781" w:rsidRDefault="00FE05EE" w:rsidP="00FE05EE">
      <w:pPr>
        <w:numPr>
          <w:ilvl w:val="0"/>
          <w:numId w:val="4"/>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cs="Calibri"/>
          <w:bCs/>
          <w:iCs/>
          <w:sz w:val="22"/>
          <w:szCs w:val="22"/>
        </w:rPr>
        <w:t>All third party electronic requests alleging abuse by a P/P customer will be promptly forwarded to the customer. A requestor will be promptly notified of a persistent failure of delivery</w:t>
      </w:r>
      <w:r w:rsidRPr="006B5781">
        <w:rPr>
          <w:rStyle w:val="FootnoteReference"/>
          <w:rFonts w:ascii="Calibri" w:hAnsi="Calibri" w:cs="Calibri"/>
          <w:bCs/>
          <w:iCs/>
          <w:sz w:val="22"/>
          <w:szCs w:val="22"/>
        </w:rPr>
        <w:footnoteReference w:id="11"/>
      </w:r>
      <w:r w:rsidRPr="006B5781">
        <w:rPr>
          <w:rFonts w:ascii="Calibri" w:hAnsi="Calibri" w:cs="Calibri"/>
          <w:bCs/>
          <w:iCs/>
          <w:sz w:val="22"/>
          <w:szCs w:val="22"/>
        </w:rPr>
        <w:t xml:space="preserve"> that a provider becomes aware of. </w:t>
      </w:r>
    </w:p>
    <w:p w:rsidR="00FE05EE" w:rsidRPr="006B5781" w:rsidRDefault="00FE05EE" w:rsidP="00FE05EE">
      <w:pPr>
        <w:numPr>
          <w:ilvl w:val="0"/>
          <w:numId w:val="4"/>
        </w:numPr>
        <w:autoSpaceDE w:val="0"/>
        <w:autoSpaceDN w:val="0"/>
        <w:adjustRightInd w:val="0"/>
        <w:spacing w:before="100" w:beforeAutospacing="1" w:after="100" w:afterAutospacing="1"/>
        <w:contextualSpacing/>
        <w:rPr>
          <w:rFonts w:ascii="Calibri" w:hAnsi="Calibri" w:cs="Calibri"/>
          <w:sz w:val="22"/>
          <w:szCs w:val="22"/>
        </w:rPr>
      </w:pPr>
      <w:r w:rsidRPr="006B5781">
        <w:rPr>
          <w:rFonts w:ascii="Calibri" w:hAnsi="Calibri"/>
          <w:sz w:val="22"/>
          <w:szCs w:val="22"/>
        </w:rPr>
        <w:t>The WG considers that a “persistent delivery failure” will have occurred when an electronic communications system abandons or otherwise stops attempting to deliver an electronic communication to a customer after [a certain number of] repeated or duplicate delivery attempts within [a reasonable period of time]</w:t>
      </w:r>
      <w:r>
        <w:rPr>
          <w:rStyle w:val="FootnoteReference"/>
          <w:rFonts w:ascii="Calibri" w:hAnsi="Calibri"/>
          <w:sz w:val="22"/>
          <w:szCs w:val="22"/>
        </w:rPr>
        <w:footnoteReference w:id="12"/>
      </w:r>
      <w:r w:rsidRPr="006B5781">
        <w:rPr>
          <w:rFonts w:ascii="Calibri" w:hAnsi="Calibri"/>
          <w:sz w:val="22"/>
          <w:szCs w:val="22"/>
        </w:rPr>
        <w:t xml:space="preserve">. The WG emphasizes that such persistent delivery failure, in and of itself, is not sufficient to trigger further provider obligation or action </w:t>
      </w:r>
      <w:r>
        <w:rPr>
          <w:rFonts w:ascii="Calibri" w:hAnsi="Calibri"/>
          <w:sz w:val="22"/>
          <w:szCs w:val="22"/>
        </w:rPr>
        <w:t xml:space="preserve">in relation to a relay request </w:t>
      </w:r>
      <w:r w:rsidRPr="006B5781">
        <w:rPr>
          <w:rFonts w:ascii="Calibri" w:hAnsi="Calibri"/>
          <w:sz w:val="22"/>
          <w:szCs w:val="22"/>
        </w:rPr>
        <w:t>unless the provider also becomes aware of the persistent delivery failure.</w:t>
      </w:r>
    </w:p>
    <w:p w:rsidR="00FE05EE" w:rsidRPr="006B5781" w:rsidRDefault="00FE05EE" w:rsidP="00FE05EE">
      <w:pPr>
        <w:numPr>
          <w:ilvl w:val="0"/>
          <w:numId w:val="4"/>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A persistent delivery failure to a customer as described herein will trigger the provider’s obligation to perform a verification/re-verification (as applicable) of the customer’s email </w:t>
      </w:r>
      <w:proofErr w:type="gramStart"/>
      <w:r w:rsidRPr="006B5781">
        <w:rPr>
          <w:rFonts w:ascii="Calibri" w:hAnsi="Calibri"/>
          <w:sz w:val="22"/>
          <w:szCs w:val="22"/>
        </w:rPr>
        <w:t>address(</w:t>
      </w:r>
      <w:proofErr w:type="spellStart"/>
      <w:proofErr w:type="gramEnd"/>
      <w:r w:rsidRPr="006B5781">
        <w:rPr>
          <w:rFonts w:ascii="Calibri" w:hAnsi="Calibri"/>
          <w:sz w:val="22"/>
          <w:szCs w:val="22"/>
        </w:rPr>
        <w:t>es</w:t>
      </w:r>
      <w:proofErr w:type="spellEnd"/>
      <w:r w:rsidRPr="006B5781">
        <w:rPr>
          <w:rFonts w:ascii="Calibri" w:hAnsi="Calibri"/>
          <w:sz w:val="22"/>
          <w:szCs w:val="22"/>
        </w:rPr>
        <w:t>), in accordance</w:t>
      </w:r>
      <w:r>
        <w:rPr>
          <w:rFonts w:ascii="Calibri" w:hAnsi="Calibri"/>
          <w:sz w:val="22"/>
          <w:szCs w:val="22"/>
        </w:rPr>
        <w:t xml:space="preserve"> with the WG’s recommendation that customer data be validated and verified in a manner consistent with the WHOIS Accuracy Specification of the 2013 RAA (see the WG’s recommendation under</w:t>
      </w:r>
      <w:r w:rsidRPr="006B5781">
        <w:rPr>
          <w:rFonts w:ascii="Calibri" w:hAnsi="Calibri"/>
          <w:sz w:val="22"/>
          <w:szCs w:val="22"/>
        </w:rPr>
        <w:t xml:space="preserve"> Category B, Question 2</w:t>
      </w:r>
      <w:r>
        <w:rPr>
          <w:rFonts w:ascii="Calibri" w:hAnsi="Calibri"/>
          <w:sz w:val="22"/>
          <w:szCs w:val="22"/>
        </w:rPr>
        <w:t xml:space="preserve"> in Section 7, below)</w:t>
      </w:r>
      <w:r w:rsidRPr="006B5781">
        <w:rPr>
          <w:rFonts w:ascii="Calibri" w:hAnsi="Calibri"/>
          <w:sz w:val="22"/>
          <w:szCs w:val="22"/>
        </w:rPr>
        <w:t>.</w:t>
      </w:r>
    </w:p>
    <w:p w:rsidR="00FE05EE" w:rsidRPr="006B5781" w:rsidRDefault="00FE05EE" w:rsidP="00FE05EE">
      <w:pPr>
        <w:numPr>
          <w:ilvl w:val="0"/>
          <w:numId w:val="4"/>
        </w:numPr>
        <w:spacing w:before="100" w:beforeAutospacing="1" w:after="100" w:afterAutospacing="1"/>
        <w:contextualSpacing/>
        <w:rPr>
          <w:rFonts w:ascii="Calibri" w:hAnsi="Calibri"/>
          <w:sz w:val="22"/>
          <w:szCs w:val="22"/>
        </w:rPr>
      </w:pPr>
      <w:r>
        <w:rPr>
          <w:rFonts w:ascii="Calibri" w:hAnsi="Calibri"/>
          <w:sz w:val="22"/>
          <w:szCs w:val="22"/>
        </w:rPr>
        <w:t>However, t</w:t>
      </w:r>
      <w:r w:rsidRPr="006B5781">
        <w:rPr>
          <w:rFonts w:ascii="Calibri" w:hAnsi="Calibri"/>
          <w:sz w:val="22"/>
          <w:szCs w:val="22"/>
        </w:rPr>
        <w:t>hese recommendations shall not preclude a provider from taking any additional action in the event of a persistent delivery failure of electronic communications to a customer, in accordance with its published terms of service.</w:t>
      </w:r>
    </w:p>
    <w:p w:rsidR="00FE05EE" w:rsidRDefault="00FE05EE" w:rsidP="00FE05EE">
      <w:pPr>
        <w:spacing w:before="100" w:beforeAutospacing="1" w:after="100" w:afterAutospacing="1"/>
        <w:ind w:left="360"/>
        <w:contextualSpacing/>
        <w:rPr>
          <w:rFonts w:ascii="Calibri" w:hAnsi="Calibri"/>
          <w:sz w:val="22"/>
          <w:szCs w:val="22"/>
        </w:rPr>
      </w:pPr>
    </w:p>
    <w:p w:rsidR="00FE05EE" w:rsidRDefault="00FE05EE" w:rsidP="00FE05EE">
      <w:pPr>
        <w:spacing w:before="100" w:beforeAutospacing="1" w:after="100" w:afterAutospacing="1"/>
        <w:ind w:left="360"/>
        <w:contextualSpacing/>
        <w:rPr>
          <w:rFonts w:ascii="Calibri" w:hAnsi="Calibri"/>
          <w:sz w:val="22"/>
          <w:szCs w:val="22"/>
        </w:rPr>
      </w:pPr>
      <w:r w:rsidRPr="00014C91">
        <w:rPr>
          <w:rFonts w:ascii="Calibri" w:hAnsi="Calibri"/>
          <w:sz w:val="22"/>
          <w:szCs w:val="22"/>
          <w:u w:val="single"/>
        </w:rPr>
        <w:t>“REVEAL” (i.e. DISCLOSURE OR PUBLICATION) OF A CUSTOMER’S IDENTITY OR CONTACT DETAILS</w:t>
      </w:r>
      <w:r>
        <w:rPr>
          <w:rFonts w:ascii="Calibri" w:hAnsi="Calibri"/>
          <w:sz w:val="22"/>
          <w:szCs w:val="22"/>
        </w:rPr>
        <w:t>:</w:t>
      </w:r>
    </w:p>
    <w:p w:rsidR="00FE05EE" w:rsidRDefault="00FE05EE" w:rsidP="00FE05EE">
      <w:pPr>
        <w:spacing w:before="100" w:beforeAutospacing="1" w:after="100" w:afterAutospacing="1"/>
        <w:ind w:left="360"/>
        <w:contextualSpacing/>
        <w:rPr>
          <w:rFonts w:ascii="Calibri" w:hAnsi="Calibri"/>
          <w:sz w:val="22"/>
          <w:szCs w:val="22"/>
        </w:rPr>
      </w:pPr>
    </w:p>
    <w:p w:rsidR="00FE05EE"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In relation to “Reveal”, the WG adopted the following definitions to clarify what it believes to be certain ambiguities surrounding the common use of certain words in the WHOIS context. The WG recommends that ICANN adopt these definitions, and further recommends that they be used uniformly, including generally in relation to WHOIS beyond privacy and proxy service issues:</w:t>
      </w:r>
    </w:p>
    <w:p w:rsidR="00076512" w:rsidRDefault="00076512" w:rsidP="00076512">
      <w:pPr>
        <w:spacing w:before="100" w:beforeAutospacing="1" w:after="100" w:afterAutospacing="1"/>
        <w:ind w:left="360"/>
        <w:contextualSpacing/>
        <w:rPr>
          <w:rFonts w:ascii="Calibri" w:hAnsi="Calibri"/>
          <w:sz w:val="22"/>
          <w:szCs w:val="22"/>
        </w:rPr>
      </w:pPr>
    </w:p>
    <w:p w:rsidR="00FE05EE" w:rsidRPr="006B5781" w:rsidRDefault="00FE05EE" w:rsidP="00FE05EE">
      <w:pPr>
        <w:numPr>
          <w:ilvl w:val="0"/>
          <w:numId w:val="5"/>
        </w:numPr>
        <w:spacing w:before="100" w:beforeAutospacing="1" w:after="100" w:afterAutospacing="1"/>
        <w:contextualSpacing/>
        <w:rPr>
          <w:rFonts w:ascii="Calibri" w:hAnsi="Calibri"/>
          <w:sz w:val="22"/>
          <w:szCs w:val="22"/>
        </w:rPr>
      </w:pPr>
      <w:r w:rsidRPr="006B5781">
        <w:rPr>
          <w:rFonts w:ascii="Calibri" w:hAnsi="Calibri"/>
          <w:sz w:val="22"/>
          <w:szCs w:val="22"/>
        </w:rPr>
        <w:t>“Publication” means the reveal</w:t>
      </w:r>
      <w:r>
        <w:rPr>
          <w:rStyle w:val="FootnoteReference"/>
          <w:rFonts w:ascii="Calibri" w:hAnsi="Calibri"/>
          <w:sz w:val="22"/>
          <w:szCs w:val="22"/>
        </w:rPr>
        <w:footnoteReference w:id="13"/>
      </w:r>
      <w:r w:rsidRPr="006B5781">
        <w:rPr>
          <w:rFonts w:ascii="Calibri" w:hAnsi="Calibri"/>
          <w:sz w:val="22"/>
          <w:szCs w:val="22"/>
        </w:rPr>
        <w:t xml:space="preserve"> of a person’s (i.e. the licensee or beneficial owner of a registered domain name) identity/contact details in the </w:t>
      </w:r>
      <w:r>
        <w:rPr>
          <w:rFonts w:ascii="Calibri" w:hAnsi="Calibri"/>
          <w:sz w:val="22"/>
          <w:szCs w:val="22"/>
        </w:rPr>
        <w:t>WHOIS</w:t>
      </w:r>
      <w:r w:rsidRPr="006B5781">
        <w:rPr>
          <w:rFonts w:ascii="Calibri" w:hAnsi="Calibri"/>
          <w:sz w:val="22"/>
          <w:szCs w:val="22"/>
        </w:rPr>
        <w:t xml:space="preserve"> system.</w:t>
      </w:r>
    </w:p>
    <w:p w:rsidR="00FE05EE" w:rsidRPr="006B5781" w:rsidRDefault="00FE05EE" w:rsidP="00FE05EE">
      <w:pPr>
        <w:numPr>
          <w:ilvl w:val="0"/>
          <w:numId w:val="5"/>
        </w:numPr>
        <w:spacing w:before="100" w:beforeAutospacing="1" w:after="100" w:afterAutospacing="1"/>
        <w:contextualSpacing/>
        <w:rPr>
          <w:rFonts w:ascii="Calibri" w:hAnsi="Calibri"/>
          <w:sz w:val="22"/>
          <w:szCs w:val="22"/>
        </w:rPr>
      </w:pPr>
      <w:r w:rsidRPr="006B5781">
        <w:rPr>
          <w:rFonts w:ascii="Calibri" w:hAnsi="Calibri"/>
          <w:sz w:val="22"/>
          <w:szCs w:val="22"/>
        </w:rPr>
        <w:t xml:space="preserve">“Disclosure” means the reveal of a person’s (i.e. the licensee or beneficial owner of a registered domain name) identity/contact details to a third party requestor without Publication in the </w:t>
      </w:r>
      <w:r>
        <w:rPr>
          <w:rFonts w:ascii="Calibri" w:hAnsi="Calibri"/>
          <w:sz w:val="22"/>
          <w:szCs w:val="22"/>
        </w:rPr>
        <w:t>WHOIS</w:t>
      </w:r>
      <w:r w:rsidRPr="006B5781">
        <w:rPr>
          <w:rFonts w:ascii="Calibri" w:hAnsi="Calibri"/>
          <w:sz w:val="22"/>
          <w:szCs w:val="22"/>
        </w:rPr>
        <w:t xml:space="preserve"> system.</w:t>
      </w:r>
    </w:p>
    <w:p w:rsidR="00FE05EE" w:rsidRPr="006B5781" w:rsidRDefault="00FE05EE" w:rsidP="00FE05EE">
      <w:pPr>
        <w:numPr>
          <w:ilvl w:val="0"/>
          <w:numId w:val="5"/>
        </w:numPr>
        <w:spacing w:before="100" w:beforeAutospacing="1" w:after="100" w:afterAutospacing="1"/>
        <w:contextualSpacing/>
        <w:rPr>
          <w:rFonts w:ascii="Calibri" w:hAnsi="Calibri"/>
          <w:sz w:val="22"/>
          <w:szCs w:val="22"/>
        </w:rPr>
      </w:pPr>
      <w:r w:rsidRPr="006B5781">
        <w:rPr>
          <w:rFonts w:ascii="Calibri" w:hAnsi="Calibri"/>
          <w:sz w:val="22"/>
          <w:szCs w:val="22"/>
        </w:rPr>
        <w:t>The term “person” as used in these definitions is understood to include natural and legal persons, as well as organizations and entities.</w:t>
      </w:r>
    </w:p>
    <w:p w:rsidR="00FE05EE" w:rsidRPr="006B5781" w:rsidRDefault="00FE05EE" w:rsidP="00FE05EE">
      <w:pPr>
        <w:numPr>
          <w:ilvl w:val="0"/>
          <w:numId w:val="5"/>
        </w:numPr>
        <w:spacing w:before="100" w:beforeAutospacing="1" w:after="100" w:afterAutospacing="1"/>
        <w:contextualSpacing/>
        <w:rPr>
          <w:rFonts w:ascii="Calibri" w:hAnsi="Calibri"/>
          <w:sz w:val="22"/>
          <w:szCs w:val="22"/>
        </w:rPr>
      </w:pPr>
      <w:r w:rsidRPr="006B5781">
        <w:rPr>
          <w:rFonts w:ascii="Calibri" w:hAnsi="Calibri"/>
          <w:sz w:val="22"/>
          <w:szCs w:val="22"/>
        </w:rPr>
        <w:t>“Law enforcement authority” means law enforcement, consumer protection, quasi-governmental or other similar authorities designated from time to time by the national or territorial government of the jurisdiction in which the P/P service provider is established or maintains a physical office.</w:t>
      </w:r>
    </w:p>
    <w:p w:rsidR="00FE05EE" w:rsidRPr="006B5781" w:rsidRDefault="00FE05EE" w:rsidP="00FE05EE">
      <w:pPr>
        <w:spacing w:before="100" w:beforeAutospacing="1" w:after="100" w:afterAutospacing="1"/>
        <w:contextualSpacing/>
        <w:rPr>
          <w:rFonts w:ascii="Calibri" w:hAnsi="Calibri"/>
          <w:sz w:val="22"/>
          <w:szCs w:val="22"/>
        </w:rPr>
      </w:pPr>
    </w:p>
    <w:p w:rsidR="00FE05EE"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 xml:space="preserve">Regarding </w:t>
      </w:r>
      <w:r w:rsidR="00076512">
        <w:rPr>
          <w:rFonts w:ascii="Calibri" w:hAnsi="Calibri"/>
          <w:sz w:val="22"/>
          <w:szCs w:val="22"/>
        </w:rPr>
        <w:t>Disclosure and Publication</w:t>
      </w:r>
      <w:r>
        <w:rPr>
          <w:rFonts w:ascii="Calibri" w:hAnsi="Calibri"/>
          <w:sz w:val="22"/>
          <w:szCs w:val="22"/>
        </w:rPr>
        <w:t>, t</w:t>
      </w:r>
      <w:r w:rsidRPr="006B5781">
        <w:rPr>
          <w:rFonts w:ascii="Calibri" w:hAnsi="Calibri"/>
          <w:sz w:val="22"/>
          <w:szCs w:val="22"/>
        </w:rPr>
        <w:t>he WG agreed that none of its recommendations should be read as being intended to alter (or mandate the alteration of) the prevailing practice among providers to review requests manually or to facilitate direct resolution of an issue between a requestor and a customer.   It also notes that disclosure of at least some contact details of the customer may in some cases be required in order to facilitate such direct resolution.</w:t>
      </w:r>
    </w:p>
    <w:p w:rsidR="00FE05EE" w:rsidRDefault="00FE05EE" w:rsidP="00FE05EE">
      <w:pPr>
        <w:spacing w:before="100" w:beforeAutospacing="1" w:after="100" w:afterAutospacing="1"/>
        <w:ind w:left="720"/>
        <w:contextualSpacing/>
        <w:rPr>
          <w:rFonts w:ascii="Calibri" w:hAnsi="Calibri"/>
          <w:sz w:val="22"/>
          <w:szCs w:val="22"/>
        </w:rPr>
      </w:pPr>
    </w:p>
    <w:p w:rsidR="00FE05EE" w:rsidRPr="00076512" w:rsidRDefault="00FE05EE" w:rsidP="00076512">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The WG has developed a</w:t>
      </w:r>
      <w:r w:rsidR="003812DF">
        <w:rPr>
          <w:rFonts w:ascii="Calibri" w:hAnsi="Calibri"/>
          <w:sz w:val="22"/>
          <w:szCs w:val="22"/>
        </w:rPr>
        <w:t>n illustrative draft</w:t>
      </w:r>
      <w:bookmarkStart w:id="0" w:name="_GoBack"/>
      <w:bookmarkEnd w:id="0"/>
      <w:r>
        <w:rPr>
          <w:rFonts w:ascii="Calibri" w:hAnsi="Calibri"/>
          <w:sz w:val="22"/>
          <w:szCs w:val="22"/>
        </w:rPr>
        <w:t xml:space="preserve"> Disclosure Framework that would apply to Disclosure requests made to P/P providers by intellectual property (i.e. trademark and copyright) owners. The proposal as drafted includes requirements concerning the nature and type of information to be provided by a requestor, non-exhaustive grounds for refusal of a request, and the possibility of neutral dispute resolution/appeal in the event of a dispute. See Annex E for the full draft Disclosure Framework.</w:t>
      </w:r>
    </w:p>
    <w:p w:rsidR="00FE05EE" w:rsidRDefault="00FE05EE" w:rsidP="00FE05EE">
      <w:pPr>
        <w:spacing w:before="100" w:beforeAutospacing="1" w:after="100" w:afterAutospacing="1"/>
        <w:contextualSpacing/>
        <w:rPr>
          <w:rFonts w:ascii="Calibri" w:hAnsi="Calibri"/>
          <w:sz w:val="22"/>
          <w:szCs w:val="22"/>
        </w:rPr>
      </w:pPr>
    </w:p>
    <w:p w:rsidR="00FE05EE" w:rsidRDefault="00FE05EE" w:rsidP="00FE05EE">
      <w:pPr>
        <w:spacing w:before="100" w:beforeAutospacing="1" w:after="100" w:afterAutospacing="1"/>
        <w:contextualSpacing/>
        <w:rPr>
          <w:rFonts w:ascii="Calibri" w:hAnsi="Calibri"/>
          <w:sz w:val="22"/>
          <w:szCs w:val="22"/>
        </w:rPr>
      </w:pPr>
      <w:r w:rsidRPr="00014C91">
        <w:rPr>
          <w:rFonts w:ascii="Calibri" w:hAnsi="Calibri"/>
          <w:sz w:val="22"/>
          <w:szCs w:val="22"/>
          <w:u w:val="single"/>
        </w:rPr>
        <w:t>DEACCREDITATION &amp; ITS CONSEQUENCES</w:t>
      </w:r>
      <w:r>
        <w:rPr>
          <w:rFonts w:ascii="Calibri" w:hAnsi="Calibri"/>
          <w:sz w:val="22"/>
          <w:szCs w:val="22"/>
        </w:rPr>
        <w:t>:</w:t>
      </w:r>
    </w:p>
    <w:p w:rsidR="00FE05EE" w:rsidRDefault="00FE05EE" w:rsidP="00FE05EE">
      <w:pPr>
        <w:spacing w:before="100" w:beforeAutospacing="1" w:after="100" w:afterAutospacing="1"/>
        <w:contextualSpacing/>
        <w:rPr>
          <w:rFonts w:ascii="Calibri" w:hAnsi="Calibri"/>
          <w:sz w:val="22"/>
          <w:szCs w:val="22"/>
        </w:rPr>
      </w:pPr>
    </w:p>
    <w:p w:rsidR="00FE05EE" w:rsidRPr="003013B0" w:rsidRDefault="00FE05EE" w:rsidP="00FE05EE">
      <w:pPr>
        <w:numPr>
          <w:ilvl w:val="0"/>
          <w:numId w:val="1"/>
        </w:numPr>
        <w:spacing w:before="100" w:beforeAutospacing="1" w:after="100" w:afterAutospacing="1"/>
        <w:contextualSpacing/>
        <w:rPr>
          <w:rFonts w:ascii="Calibri" w:hAnsi="Calibri"/>
          <w:sz w:val="22"/>
          <w:szCs w:val="22"/>
        </w:rPr>
      </w:pPr>
      <w:r>
        <w:rPr>
          <w:rFonts w:ascii="Calibri" w:hAnsi="Calibri"/>
          <w:sz w:val="22"/>
          <w:szCs w:val="22"/>
        </w:rPr>
        <w:t>Regarding de-accreditation of a P/P provider:</w:t>
      </w:r>
    </w:p>
    <w:p w:rsidR="00FE05EE"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P/P customers should be notified prior to de-accreditation of a provider, to enable them to make alternative arrangements. One possible time in which to do so might be when Compliance sends breach notices to the provider, as customers would then be put on notice (as is done for registrar de-accreditation).</w:t>
      </w:r>
    </w:p>
    <w:p w:rsidR="00FE05EE"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Other P/P providers should also be notified, to enable interested providers to indicate if they wish to become the gaining P/P provider (as is done for registrar de-accreditation)</w:t>
      </w:r>
    </w:p>
    <w:p w:rsidR="00FE05EE"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All notification(s) are to be published on the ICANN website (as is done for registrar de-accreditation)</w:t>
      </w:r>
    </w:p>
    <w:p w:rsidR="00FE05EE"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A de-accredited P/P provider should have the opportunity to find a gaining provider to work with (as sometimes occurs with registrar de-accreditation)</w:t>
      </w:r>
    </w:p>
    <w:p w:rsidR="00FE05EE"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A “graduated response” approach to de-accreditation should be explored, i.e. a set series of breach notices (e.g. up to three) with escalating sanctions, with the final recourse being de-accreditation</w:t>
      </w:r>
    </w:p>
    <w:p w:rsidR="00FE05EE" w:rsidRDefault="00FE05EE" w:rsidP="00FE05EE">
      <w:pPr>
        <w:numPr>
          <w:ilvl w:val="0"/>
          <w:numId w:val="7"/>
        </w:numPr>
        <w:spacing w:before="100" w:beforeAutospacing="1" w:after="100" w:afterAutospacing="1"/>
        <w:contextualSpacing/>
        <w:rPr>
          <w:rFonts w:ascii="Calibri" w:hAnsi="Calibri"/>
          <w:sz w:val="22"/>
          <w:szCs w:val="22"/>
        </w:rPr>
      </w:pPr>
      <w:r>
        <w:rPr>
          <w:rFonts w:ascii="Calibri" w:hAnsi="Calibri"/>
          <w:sz w:val="22"/>
          <w:szCs w:val="22"/>
        </w:rPr>
        <w:t>Where feasible, a</w:t>
      </w:r>
      <w:r w:rsidRPr="006B5781">
        <w:rPr>
          <w:rFonts w:ascii="Calibri" w:hAnsi="Calibri"/>
          <w:sz w:val="22"/>
          <w:szCs w:val="22"/>
        </w:rPr>
        <w:t xml:space="preserve"> customer should be able to choose its new P/P provider</w:t>
      </w:r>
      <w:r>
        <w:rPr>
          <w:rFonts w:ascii="Calibri" w:hAnsi="Calibri"/>
          <w:sz w:val="22"/>
          <w:szCs w:val="22"/>
        </w:rPr>
        <w:t xml:space="preserve"> in the event of de-accreditation of its existing provider</w:t>
      </w:r>
    </w:p>
    <w:p w:rsidR="00FE05EE" w:rsidRPr="006B5781" w:rsidRDefault="00FE05EE" w:rsidP="00FE05EE">
      <w:pPr>
        <w:numPr>
          <w:ilvl w:val="0"/>
          <w:numId w:val="7"/>
        </w:numPr>
        <w:spacing w:before="100" w:beforeAutospacing="1" w:after="100" w:afterAutospacing="1"/>
        <w:contextualSpacing/>
        <w:rPr>
          <w:rFonts w:ascii="Calibri" w:hAnsi="Calibri"/>
          <w:sz w:val="22"/>
          <w:szCs w:val="22"/>
        </w:rPr>
      </w:pPr>
      <w:r w:rsidRPr="006B5781">
        <w:rPr>
          <w:rFonts w:ascii="Calibri" w:hAnsi="Calibri"/>
          <w:sz w:val="22"/>
          <w:szCs w:val="22"/>
        </w:rPr>
        <w:t>The next review of the IRTP should include an analysis of the impact on P/P customers, to ensure that adequate safeguards are in place as regards P/P protection when domain names are transferred pursuant to an IRTP process</w:t>
      </w:r>
    </w:p>
    <w:p w:rsidR="00FE05EE" w:rsidRPr="006B5781" w:rsidRDefault="00FE05EE" w:rsidP="00FE05EE">
      <w:pPr>
        <w:rPr>
          <w:rFonts w:ascii="Calibri" w:hAnsi="Calibri"/>
          <w:sz w:val="22"/>
          <w:szCs w:val="22"/>
        </w:rPr>
      </w:pPr>
    </w:p>
    <w:p w:rsidR="00FE05EE" w:rsidRPr="00125D03" w:rsidRDefault="00FE05EE" w:rsidP="00FE05EE">
      <w:pPr>
        <w:suppressLineNumbers/>
        <w:rPr>
          <w:rFonts w:ascii="Calibri" w:hAnsi="Calibri"/>
          <w:b/>
          <w:sz w:val="22"/>
          <w:szCs w:val="22"/>
        </w:rPr>
      </w:pPr>
      <w:r w:rsidRPr="00FD4AFF">
        <w:rPr>
          <w:rFonts w:ascii="Calibri" w:hAnsi="Calibri"/>
          <w:b/>
          <w:sz w:val="22"/>
          <w:szCs w:val="22"/>
        </w:rPr>
        <w:t xml:space="preserve">1.3.2 </w:t>
      </w:r>
      <w:r w:rsidRPr="00FD4AFF">
        <w:rPr>
          <w:rFonts w:ascii="Calibri" w:hAnsi="Calibri"/>
          <w:b/>
          <w:sz w:val="22"/>
          <w:szCs w:val="22"/>
        </w:rPr>
        <w:tab/>
      </w:r>
      <w:r>
        <w:rPr>
          <w:rFonts w:ascii="Calibri" w:hAnsi="Calibri"/>
          <w:b/>
          <w:sz w:val="22"/>
          <w:szCs w:val="22"/>
        </w:rPr>
        <w:t>Specific</w:t>
      </w:r>
      <w:r w:rsidRPr="00FD4AFF">
        <w:rPr>
          <w:rFonts w:ascii="Calibri" w:hAnsi="Calibri"/>
          <w:b/>
          <w:sz w:val="22"/>
          <w:szCs w:val="22"/>
        </w:rPr>
        <w:t xml:space="preserve"> </w:t>
      </w:r>
      <w:r>
        <w:rPr>
          <w:rFonts w:ascii="Calibri" w:hAnsi="Calibri"/>
          <w:b/>
          <w:sz w:val="22"/>
          <w:szCs w:val="22"/>
        </w:rPr>
        <w:t>topic</w:t>
      </w:r>
      <w:r w:rsidRPr="00FD4AFF">
        <w:rPr>
          <w:rFonts w:ascii="Calibri" w:hAnsi="Calibri"/>
          <w:b/>
          <w:sz w:val="22"/>
          <w:szCs w:val="22"/>
        </w:rPr>
        <w:t xml:space="preserve">s on which the WG has yet to finalize </w:t>
      </w:r>
      <w:r>
        <w:rPr>
          <w:rFonts w:ascii="Calibri" w:hAnsi="Calibri"/>
          <w:b/>
          <w:sz w:val="22"/>
          <w:szCs w:val="22"/>
        </w:rPr>
        <w:t xml:space="preserve">its </w:t>
      </w:r>
      <w:r w:rsidRPr="00FD4AFF">
        <w:rPr>
          <w:rFonts w:ascii="Calibri" w:hAnsi="Calibri"/>
          <w:b/>
          <w:sz w:val="22"/>
          <w:szCs w:val="22"/>
        </w:rPr>
        <w:t>preliminary conclusions</w:t>
      </w:r>
    </w:p>
    <w:p w:rsidR="00FE05EE" w:rsidRDefault="00FE05EE" w:rsidP="00FE05EE">
      <w:pPr>
        <w:suppressLineNumbers/>
        <w:rPr>
          <w:rFonts w:ascii="Calibri" w:hAnsi="Calibri" w:cs="Calibri"/>
          <w:bCs/>
          <w:iCs/>
          <w:sz w:val="22"/>
          <w:szCs w:val="22"/>
        </w:rPr>
      </w:pPr>
      <w:r>
        <w:rPr>
          <w:rFonts w:ascii="Calibri" w:hAnsi="Calibri" w:cs="Calibri"/>
          <w:bCs/>
          <w:iCs/>
          <w:sz w:val="22"/>
          <w:szCs w:val="22"/>
        </w:rPr>
        <w:t>The WG has yet to reach agreement on the following topics, regarding certain aspects of “relay” and “reveal”. It therefore specifically invites community input on these questions.</w:t>
      </w:r>
    </w:p>
    <w:p w:rsidR="00FE05EE" w:rsidRPr="00C220E5" w:rsidRDefault="00FE05EE" w:rsidP="00FE05EE">
      <w:pPr>
        <w:suppressLineNumbers/>
        <w:rPr>
          <w:rFonts w:ascii="Calibri" w:hAnsi="Calibri" w:cs="Calibri"/>
          <w:bCs/>
          <w:iCs/>
          <w:sz w:val="22"/>
          <w:szCs w:val="22"/>
          <w:u w:val="single"/>
        </w:rPr>
      </w:pPr>
    </w:p>
    <w:p w:rsidR="00FE05EE" w:rsidRDefault="00FE05EE" w:rsidP="00FE05EE">
      <w:pPr>
        <w:suppressLineNumbers/>
        <w:rPr>
          <w:rFonts w:ascii="Calibri" w:hAnsi="Calibri" w:cs="Calibri"/>
          <w:bCs/>
          <w:iCs/>
          <w:sz w:val="22"/>
          <w:szCs w:val="22"/>
        </w:rPr>
      </w:pPr>
      <w:r w:rsidRPr="00C220E5">
        <w:rPr>
          <w:rFonts w:ascii="Calibri" w:hAnsi="Calibri" w:cs="Calibri"/>
          <w:bCs/>
          <w:iCs/>
          <w:sz w:val="22"/>
          <w:szCs w:val="22"/>
          <w:u w:val="single"/>
        </w:rPr>
        <w:t>On Escalation of Relay Requests</w:t>
      </w:r>
      <w:r>
        <w:rPr>
          <w:rFonts w:ascii="Calibri" w:hAnsi="Calibri" w:cs="Calibri"/>
          <w:bCs/>
          <w:iCs/>
          <w:sz w:val="22"/>
          <w:szCs w:val="22"/>
        </w:rPr>
        <w:t>:</w:t>
      </w:r>
    </w:p>
    <w:p w:rsidR="00FE05EE" w:rsidRDefault="00FE05EE" w:rsidP="00FE05EE">
      <w:pPr>
        <w:suppressLineNumbers/>
        <w:rPr>
          <w:rFonts w:ascii="Calibri" w:hAnsi="Calibri" w:cs="Calibri"/>
          <w:bCs/>
          <w:iCs/>
          <w:sz w:val="22"/>
          <w:szCs w:val="22"/>
        </w:rPr>
      </w:pPr>
      <w:r>
        <w:rPr>
          <w:rFonts w:ascii="Calibri" w:hAnsi="Calibri" w:cs="Calibri"/>
          <w:bCs/>
          <w:iCs/>
          <w:sz w:val="22"/>
          <w:szCs w:val="22"/>
        </w:rPr>
        <w:t>While the WG reached preliminary agreement on a provider’s obligation to act in the event it becomes aware of a persistent delivery failure, the WG has yet to agree on obligatory next steps for a provider regarding escalation by a requestor. The following is the current language under consideration by the WG, with the options included in square brackets:</w:t>
      </w:r>
    </w:p>
    <w:p w:rsidR="00076512" w:rsidRDefault="00076512" w:rsidP="00FE05EE">
      <w:pPr>
        <w:suppressLineNumbers/>
        <w:rPr>
          <w:rFonts w:ascii="Calibri" w:hAnsi="Calibri" w:cs="Calibri"/>
          <w:bCs/>
          <w:iCs/>
          <w:sz w:val="22"/>
          <w:szCs w:val="22"/>
        </w:rPr>
      </w:pPr>
    </w:p>
    <w:p w:rsidR="00FE05EE" w:rsidRPr="00C220E5" w:rsidRDefault="00FE05EE" w:rsidP="00FE05EE">
      <w:pPr>
        <w:suppressLineNumbers/>
        <w:ind w:left="720"/>
        <w:rPr>
          <w:rFonts w:ascii="Calibri" w:hAnsi="Calibri" w:cs="Calibri"/>
          <w:bCs/>
          <w:i/>
          <w:iCs/>
          <w:sz w:val="22"/>
          <w:szCs w:val="22"/>
        </w:rPr>
      </w:pPr>
      <w:r w:rsidRPr="00C220E5">
        <w:rPr>
          <w:rFonts w:ascii="Calibri" w:hAnsi="Calibri" w:cs="Calibri"/>
          <w:bCs/>
          <w:i/>
          <w:iCs/>
          <w:sz w:val="22"/>
          <w:szCs w:val="22"/>
        </w:rPr>
        <w:t>“As part of an escalation process, and when the above-mentioned requirements concerning a persistent delivery failure of an electronic communication have been met, the provider [should] [must] upon request forward a further form of notice to its customer. A provider should have the discretion to select the most appropriate means of forwarding such a request  [and to charge a reasonable fee on a cost-recovery basis]. [Any such reasonable fee is to be borne by the customer and not the requestor]. A provider shall have the right to impose reasonable limits on the number of such requests made by the same requestor.”</w:t>
      </w:r>
    </w:p>
    <w:p w:rsidR="00FE05EE" w:rsidRDefault="00FE05EE" w:rsidP="00FE05EE">
      <w:pPr>
        <w:suppressLineNumbers/>
        <w:rPr>
          <w:rFonts w:ascii="Calibri" w:hAnsi="Calibri"/>
          <w:sz w:val="22"/>
          <w:szCs w:val="22"/>
        </w:rPr>
      </w:pPr>
    </w:p>
    <w:p w:rsidR="00FE05EE" w:rsidRDefault="00FE05EE" w:rsidP="00FE05EE">
      <w:pPr>
        <w:numPr>
          <w:ilvl w:val="0"/>
          <w:numId w:val="13"/>
        </w:numPr>
        <w:suppressLineNumbers/>
        <w:rPr>
          <w:rFonts w:ascii="Calibri" w:hAnsi="Calibri"/>
          <w:sz w:val="22"/>
          <w:szCs w:val="22"/>
        </w:rPr>
      </w:pPr>
      <w:r>
        <w:rPr>
          <w:rFonts w:ascii="Calibri" w:hAnsi="Calibri"/>
          <w:sz w:val="22"/>
          <w:szCs w:val="22"/>
        </w:rPr>
        <w:t>What should be the minimum mandatory requirements for escalation of relay requests in the event of a persistent delivery failure of an electronic communication?</w:t>
      </w:r>
    </w:p>
    <w:p w:rsidR="00FE05EE" w:rsidRDefault="00FE05EE" w:rsidP="00FE05EE">
      <w:pPr>
        <w:suppressLineNumbers/>
        <w:rPr>
          <w:rFonts w:ascii="Calibri" w:hAnsi="Calibri"/>
          <w:sz w:val="22"/>
          <w:szCs w:val="22"/>
        </w:rPr>
      </w:pPr>
    </w:p>
    <w:p w:rsidR="00FE05EE" w:rsidRDefault="00FE05EE" w:rsidP="00FE05EE">
      <w:pPr>
        <w:suppressLineNumbers/>
        <w:rPr>
          <w:rFonts w:ascii="Calibri" w:hAnsi="Calibri"/>
          <w:sz w:val="22"/>
          <w:szCs w:val="22"/>
        </w:rPr>
      </w:pPr>
      <w:r>
        <w:rPr>
          <w:rFonts w:ascii="Calibri" w:hAnsi="Calibri"/>
          <w:sz w:val="22"/>
          <w:szCs w:val="22"/>
          <w:u w:val="single"/>
        </w:rPr>
        <w:t>On Disclosure and Publication in relation to Requests by LEA and other Third Parties other than Trademark and Copyright Owners</w:t>
      </w:r>
      <w:r>
        <w:rPr>
          <w:rFonts w:ascii="Calibri" w:hAnsi="Calibri"/>
          <w:sz w:val="22"/>
          <w:szCs w:val="22"/>
        </w:rPr>
        <w:t>:</w:t>
      </w:r>
    </w:p>
    <w:p w:rsidR="00076512" w:rsidRDefault="00076512" w:rsidP="00FE05EE">
      <w:pPr>
        <w:ind w:left="360"/>
        <w:rPr>
          <w:rFonts w:ascii="Calibri" w:hAnsi="Calibri"/>
          <w:sz w:val="22"/>
          <w:szCs w:val="22"/>
        </w:rPr>
      </w:pPr>
    </w:p>
    <w:p w:rsidR="00FE05EE" w:rsidRDefault="00FE05EE" w:rsidP="00076512">
      <w:pPr>
        <w:rPr>
          <w:rFonts w:ascii="Calibri" w:hAnsi="Calibri"/>
          <w:sz w:val="22"/>
          <w:szCs w:val="22"/>
        </w:rPr>
      </w:pPr>
      <w:r>
        <w:rPr>
          <w:rFonts w:ascii="Calibri" w:hAnsi="Calibri"/>
          <w:sz w:val="22"/>
          <w:szCs w:val="22"/>
        </w:rPr>
        <w:t xml:space="preserve">Although the WG reached preliminary agreement in respect of a proposed Disclosure Framework for handling requests from intellectual property rights-holders (i.e. trademark and copyright), it has not developed a similar framework or template that would apply to other requestors, such as LEA or anti-abuse and consumer protection groups. The WG is aware that certain concerns, such as the need for confidentiality in relation to an </w:t>
      </w:r>
      <w:proofErr w:type="spellStart"/>
      <w:r>
        <w:rPr>
          <w:rFonts w:ascii="Calibri" w:hAnsi="Calibri"/>
          <w:sz w:val="22"/>
          <w:szCs w:val="22"/>
        </w:rPr>
        <w:t>ongoing</w:t>
      </w:r>
      <w:proofErr w:type="spellEnd"/>
      <w:r>
        <w:rPr>
          <w:rFonts w:ascii="Calibri" w:hAnsi="Calibri"/>
          <w:sz w:val="22"/>
          <w:szCs w:val="22"/>
        </w:rPr>
        <w:t xml:space="preserve"> LEA investigation, may mean that different considerations would apply to any minimum requirements that might be developed for such a framework. It therefore seeks community input on this general topic, as well as on the following specific questions:</w:t>
      </w:r>
    </w:p>
    <w:p w:rsidR="00FE05EE" w:rsidRPr="00C220E5" w:rsidRDefault="00FE05EE" w:rsidP="00FE05EE">
      <w:pPr>
        <w:ind w:left="360"/>
        <w:rPr>
          <w:rFonts w:ascii="Calibri" w:hAnsi="Calibri"/>
          <w:sz w:val="22"/>
          <w:szCs w:val="22"/>
        </w:rPr>
      </w:pPr>
    </w:p>
    <w:p w:rsidR="00FE05EE" w:rsidRDefault="00FE05EE" w:rsidP="00FE05EE">
      <w:pPr>
        <w:numPr>
          <w:ilvl w:val="0"/>
          <w:numId w:val="8"/>
        </w:numPr>
        <w:rPr>
          <w:rFonts w:ascii="Calibri" w:hAnsi="Calibri"/>
          <w:sz w:val="22"/>
          <w:szCs w:val="22"/>
        </w:rPr>
      </w:pPr>
      <w:r>
        <w:rPr>
          <w:rFonts w:ascii="Calibri" w:hAnsi="Calibri"/>
          <w:sz w:val="22"/>
          <w:szCs w:val="22"/>
        </w:rPr>
        <w:t xml:space="preserve">Should it be mandatory for accredited P/P providers to comply with express requests from LEA in the provider’s jurisdiction not to notify a customer? </w:t>
      </w:r>
    </w:p>
    <w:p w:rsidR="00FE05EE" w:rsidRDefault="00FE05EE" w:rsidP="00FE05EE">
      <w:pPr>
        <w:numPr>
          <w:ilvl w:val="0"/>
          <w:numId w:val="8"/>
        </w:numPr>
        <w:rPr>
          <w:rFonts w:ascii="Calibri" w:hAnsi="Calibri"/>
          <w:sz w:val="22"/>
          <w:szCs w:val="22"/>
        </w:rPr>
      </w:pPr>
      <w:r>
        <w:rPr>
          <w:rFonts w:ascii="Calibri" w:hAnsi="Calibri"/>
          <w:sz w:val="22"/>
          <w:szCs w:val="22"/>
        </w:rPr>
        <w:t>Should there be mandatory Publication for</w:t>
      </w:r>
      <w:r w:rsidRPr="00102E33">
        <w:rPr>
          <w:rFonts w:ascii="Calibri" w:hAnsi="Calibri"/>
          <w:sz w:val="22"/>
          <w:szCs w:val="22"/>
        </w:rPr>
        <w:t xml:space="preserve"> certain types of activity e.g. malware/viruses or violation of terms of service relating to illegal activity</w:t>
      </w:r>
      <w:r>
        <w:rPr>
          <w:rFonts w:ascii="Calibri" w:hAnsi="Calibri"/>
          <w:sz w:val="22"/>
          <w:szCs w:val="22"/>
        </w:rPr>
        <w:t xml:space="preserve">? </w:t>
      </w:r>
    </w:p>
    <w:p w:rsidR="00FE05EE" w:rsidRDefault="00FE05EE" w:rsidP="00FE05EE">
      <w:pPr>
        <w:numPr>
          <w:ilvl w:val="0"/>
          <w:numId w:val="8"/>
        </w:numPr>
        <w:rPr>
          <w:rFonts w:ascii="Calibri" w:hAnsi="Calibri"/>
          <w:sz w:val="22"/>
          <w:szCs w:val="22"/>
        </w:rPr>
      </w:pPr>
      <w:r>
        <w:rPr>
          <w:rFonts w:ascii="Calibri" w:hAnsi="Calibri"/>
          <w:sz w:val="22"/>
          <w:szCs w:val="22"/>
        </w:rPr>
        <w:t>W</w:t>
      </w:r>
      <w:r w:rsidRPr="00102E33">
        <w:rPr>
          <w:rFonts w:ascii="Calibri" w:hAnsi="Calibri"/>
          <w:sz w:val="22"/>
          <w:szCs w:val="22"/>
        </w:rPr>
        <w:t xml:space="preserve">hat (if any) </w:t>
      </w:r>
      <w:r>
        <w:rPr>
          <w:rFonts w:ascii="Calibri" w:hAnsi="Calibri"/>
          <w:sz w:val="22"/>
          <w:szCs w:val="22"/>
        </w:rPr>
        <w:t xml:space="preserve">should the </w:t>
      </w:r>
      <w:r w:rsidRPr="00102E33">
        <w:rPr>
          <w:rFonts w:ascii="Calibri" w:hAnsi="Calibri"/>
          <w:sz w:val="22"/>
          <w:szCs w:val="22"/>
        </w:rPr>
        <w:t>remedies be for unwarranted Publication?</w:t>
      </w:r>
    </w:p>
    <w:p w:rsidR="00FE05EE" w:rsidRPr="00076512" w:rsidRDefault="00FE05EE" w:rsidP="00076512">
      <w:pPr>
        <w:numPr>
          <w:ilvl w:val="0"/>
          <w:numId w:val="8"/>
        </w:numPr>
        <w:rPr>
          <w:rFonts w:ascii="Calibri" w:hAnsi="Calibri"/>
          <w:sz w:val="22"/>
          <w:szCs w:val="22"/>
        </w:rPr>
      </w:pPr>
      <w:r>
        <w:rPr>
          <w:rFonts w:ascii="Calibri" w:hAnsi="Calibri"/>
          <w:sz w:val="22"/>
          <w:szCs w:val="22"/>
        </w:rPr>
        <w:t>Should a similar framework and/or considerations apply to requests made by third parties other than LEA and intellectual property rights-holders?</w:t>
      </w:r>
    </w:p>
    <w:p w:rsidR="00FE05EE" w:rsidRDefault="00FE05EE" w:rsidP="00FE05EE">
      <w:pPr>
        <w:suppressLineNumbers/>
        <w:rPr>
          <w:rFonts w:ascii="Calibri" w:hAnsi="Calibri"/>
          <w:sz w:val="22"/>
          <w:szCs w:val="22"/>
        </w:rPr>
      </w:pPr>
    </w:p>
    <w:p w:rsidR="00FE05EE" w:rsidRPr="00A849BF" w:rsidRDefault="00FE05EE" w:rsidP="00FE05EE">
      <w:pPr>
        <w:suppressLineNumbers/>
        <w:rPr>
          <w:rFonts w:ascii="Calibri" w:hAnsi="Calibri"/>
          <w:b/>
          <w:sz w:val="22"/>
          <w:szCs w:val="22"/>
        </w:rPr>
      </w:pPr>
      <w:r w:rsidRPr="00A849BF">
        <w:rPr>
          <w:rFonts w:ascii="Calibri" w:hAnsi="Calibri"/>
          <w:b/>
          <w:sz w:val="22"/>
          <w:szCs w:val="22"/>
        </w:rPr>
        <w:t>1.3.3</w:t>
      </w:r>
      <w:r w:rsidRPr="00A849BF">
        <w:rPr>
          <w:rFonts w:ascii="Calibri" w:hAnsi="Calibri"/>
          <w:b/>
          <w:sz w:val="22"/>
          <w:szCs w:val="22"/>
        </w:rPr>
        <w:tab/>
      </w:r>
      <w:r>
        <w:rPr>
          <w:rFonts w:ascii="Calibri" w:hAnsi="Calibri"/>
          <w:b/>
          <w:sz w:val="22"/>
          <w:szCs w:val="22"/>
        </w:rPr>
        <w:t>Specific</w:t>
      </w:r>
      <w:r w:rsidRPr="00A849BF">
        <w:rPr>
          <w:rFonts w:ascii="Calibri" w:hAnsi="Calibri"/>
          <w:b/>
          <w:sz w:val="22"/>
          <w:szCs w:val="22"/>
        </w:rPr>
        <w:t xml:space="preserve"> topics on which there </w:t>
      </w:r>
      <w:r>
        <w:rPr>
          <w:rFonts w:ascii="Calibri" w:hAnsi="Calibri"/>
          <w:b/>
          <w:sz w:val="22"/>
          <w:szCs w:val="22"/>
        </w:rPr>
        <w:t xml:space="preserve">is currently no consensus </w:t>
      </w:r>
      <w:r w:rsidRPr="00A849BF">
        <w:rPr>
          <w:rFonts w:ascii="Calibri" w:hAnsi="Calibri"/>
          <w:b/>
          <w:sz w:val="22"/>
          <w:szCs w:val="22"/>
        </w:rPr>
        <w:t>within the WG</w:t>
      </w:r>
    </w:p>
    <w:p w:rsidR="00FE05EE" w:rsidRDefault="00FE05EE" w:rsidP="00FE05EE">
      <w:pPr>
        <w:suppressLineNumbers/>
        <w:rPr>
          <w:rFonts w:ascii="Calibri" w:hAnsi="Calibri"/>
          <w:sz w:val="22"/>
          <w:szCs w:val="22"/>
        </w:rPr>
      </w:pPr>
    </w:p>
    <w:p w:rsidR="00FE05EE" w:rsidRDefault="00FE05EE" w:rsidP="00FE05EE">
      <w:pPr>
        <w:suppressLineNumbers/>
        <w:rPr>
          <w:rFonts w:ascii="Calibri" w:hAnsi="Calibri"/>
          <w:sz w:val="22"/>
          <w:szCs w:val="22"/>
        </w:rPr>
      </w:pPr>
      <w:r>
        <w:rPr>
          <w:rFonts w:ascii="Calibri" w:hAnsi="Calibri"/>
          <w:sz w:val="22"/>
          <w:szCs w:val="22"/>
        </w:rPr>
        <w:t>Although the WG agreed</w:t>
      </w:r>
      <w:r w:rsidRPr="001163DF">
        <w:rPr>
          <w:rFonts w:ascii="Calibri" w:hAnsi="Calibri"/>
          <w:sz w:val="22"/>
          <w:szCs w:val="22"/>
        </w:rPr>
        <w:t xml:space="preserve"> that the mere fact </w:t>
      </w:r>
      <w:r>
        <w:rPr>
          <w:rFonts w:ascii="Calibri" w:hAnsi="Calibri"/>
          <w:sz w:val="22"/>
          <w:szCs w:val="22"/>
        </w:rPr>
        <w:t>that</w:t>
      </w:r>
      <w:r w:rsidRPr="001163DF">
        <w:rPr>
          <w:rFonts w:ascii="Calibri" w:hAnsi="Calibri"/>
          <w:sz w:val="22"/>
          <w:szCs w:val="22"/>
        </w:rPr>
        <w:t xml:space="preserve"> a domain </w:t>
      </w:r>
      <w:r>
        <w:rPr>
          <w:rFonts w:ascii="Calibri" w:hAnsi="Calibri"/>
          <w:sz w:val="22"/>
          <w:szCs w:val="22"/>
        </w:rPr>
        <w:t xml:space="preserve">name is </w:t>
      </w:r>
      <w:r w:rsidRPr="001163DF">
        <w:rPr>
          <w:rFonts w:ascii="Calibri" w:hAnsi="Calibri"/>
          <w:sz w:val="22"/>
          <w:szCs w:val="22"/>
        </w:rPr>
        <w:t>reg</w:t>
      </w:r>
      <w:r>
        <w:rPr>
          <w:rFonts w:ascii="Calibri" w:hAnsi="Calibri"/>
          <w:sz w:val="22"/>
          <w:szCs w:val="22"/>
        </w:rPr>
        <w:t xml:space="preserve">istered by a commercial entity </w:t>
      </w:r>
      <w:r w:rsidRPr="001163DF">
        <w:rPr>
          <w:rFonts w:ascii="Calibri" w:hAnsi="Calibri"/>
          <w:sz w:val="22"/>
          <w:szCs w:val="22"/>
        </w:rPr>
        <w:t>or by anyone conducti</w:t>
      </w:r>
      <w:r>
        <w:rPr>
          <w:rFonts w:ascii="Calibri" w:hAnsi="Calibri"/>
          <w:sz w:val="22"/>
          <w:szCs w:val="22"/>
        </w:rPr>
        <w:t>ng commercial activity</w:t>
      </w:r>
      <w:r w:rsidRPr="001163DF">
        <w:rPr>
          <w:rFonts w:ascii="Calibri" w:hAnsi="Calibri"/>
          <w:sz w:val="22"/>
          <w:szCs w:val="22"/>
        </w:rPr>
        <w:t xml:space="preserve"> should not </w:t>
      </w:r>
      <w:r>
        <w:rPr>
          <w:rFonts w:ascii="Calibri" w:hAnsi="Calibri"/>
          <w:sz w:val="22"/>
          <w:szCs w:val="22"/>
        </w:rPr>
        <w:t>preclude</w:t>
      </w:r>
      <w:r w:rsidRPr="001163DF">
        <w:rPr>
          <w:rFonts w:ascii="Calibri" w:hAnsi="Calibri"/>
          <w:sz w:val="22"/>
          <w:szCs w:val="22"/>
        </w:rPr>
        <w:t xml:space="preserve"> the use of </w:t>
      </w:r>
      <w:r>
        <w:rPr>
          <w:rFonts w:ascii="Calibri" w:hAnsi="Calibri"/>
          <w:sz w:val="22"/>
          <w:szCs w:val="22"/>
        </w:rPr>
        <w:t>P/P</w:t>
      </w:r>
      <w:r w:rsidRPr="001163DF">
        <w:rPr>
          <w:rFonts w:ascii="Calibri" w:hAnsi="Calibri"/>
          <w:sz w:val="22"/>
          <w:szCs w:val="22"/>
        </w:rPr>
        <w:t xml:space="preserve"> services</w:t>
      </w:r>
      <w:r>
        <w:rPr>
          <w:rStyle w:val="FootnoteReference"/>
          <w:rFonts w:ascii="Calibri" w:hAnsi="Calibri"/>
          <w:sz w:val="22"/>
          <w:szCs w:val="22"/>
        </w:rPr>
        <w:footnoteReference w:id="14"/>
      </w:r>
      <w:r>
        <w:rPr>
          <w:rFonts w:ascii="Calibri" w:hAnsi="Calibri"/>
          <w:sz w:val="22"/>
          <w:szCs w:val="22"/>
        </w:rPr>
        <w:t xml:space="preserve">, there was disagreement over whether domain names that are actively used for commercial transactions (e.g. the sale or exchange of goods or services) should be prohibited from using P/P services. While most WG members did not believe such a prohibition is necessary or practical, some members believed that registrants of such domain names </w:t>
      </w:r>
      <w:r w:rsidRPr="001163DF">
        <w:rPr>
          <w:rFonts w:ascii="Calibri" w:hAnsi="Calibri"/>
          <w:sz w:val="22"/>
          <w:szCs w:val="22"/>
        </w:rPr>
        <w:t>should not be able</w:t>
      </w:r>
      <w:r>
        <w:rPr>
          <w:rFonts w:ascii="Calibri" w:hAnsi="Calibri"/>
          <w:sz w:val="22"/>
          <w:szCs w:val="22"/>
        </w:rPr>
        <w:t xml:space="preserve"> to use or continue using proxy or </w:t>
      </w:r>
      <w:r w:rsidRPr="001163DF">
        <w:rPr>
          <w:rFonts w:ascii="Calibri" w:hAnsi="Calibri"/>
          <w:sz w:val="22"/>
          <w:szCs w:val="22"/>
        </w:rPr>
        <w:t xml:space="preserve">privacy services. </w:t>
      </w:r>
      <w:r>
        <w:rPr>
          <w:rFonts w:ascii="Calibri" w:hAnsi="Calibri"/>
          <w:sz w:val="22"/>
          <w:szCs w:val="22"/>
        </w:rPr>
        <w:t>These members</w:t>
      </w:r>
      <w:r w:rsidRPr="0013728E">
        <w:rPr>
          <w:rFonts w:ascii="Calibri" w:hAnsi="Calibri"/>
          <w:sz w:val="22"/>
          <w:szCs w:val="22"/>
        </w:rPr>
        <w:t xml:space="preserve"> noted that businesses in the “offline world” are often required to register with relevant authorities as well as disclose details about their identities and locations. The</w:t>
      </w:r>
      <w:r>
        <w:rPr>
          <w:rFonts w:ascii="Calibri" w:hAnsi="Calibri"/>
          <w:sz w:val="22"/>
          <w:szCs w:val="22"/>
        </w:rPr>
        <w:t>y</w:t>
      </w:r>
      <w:r w:rsidRPr="0013728E">
        <w:rPr>
          <w:rFonts w:ascii="Calibri" w:hAnsi="Calibri"/>
          <w:sz w:val="22"/>
          <w:szCs w:val="22"/>
        </w:rPr>
        <w:t xml:space="preserve">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w:t>
      </w:r>
      <w:r w:rsidRPr="001163DF">
        <w:rPr>
          <w:rFonts w:ascii="Calibri" w:hAnsi="Calibri"/>
          <w:sz w:val="22"/>
          <w:szCs w:val="22"/>
        </w:rPr>
        <w:t>.</w:t>
      </w:r>
    </w:p>
    <w:p w:rsidR="00FE05EE" w:rsidRDefault="00FE05EE" w:rsidP="00FE05EE">
      <w:pPr>
        <w:suppressLineNumbers/>
        <w:rPr>
          <w:rFonts w:ascii="Calibri" w:hAnsi="Calibri"/>
          <w:sz w:val="22"/>
          <w:szCs w:val="22"/>
        </w:rPr>
      </w:pPr>
    </w:p>
    <w:p w:rsidR="00FE05EE" w:rsidRPr="0013728E" w:rsidRDefault="00FE05EE" w:rsidP="00FE05EE">
      <w:pPr>
        <w:suppressLineNumbers/>
        <w:rPr>
          <w:rFonts w:ascii="Calibri" w:hAnsi="Calibri"/>
          <w:sz w:val="22"/>
          <w:szCs w:val="22"/>
        </w:rPr>
      </w:pPr>
      <w:r>
        <w:rPr>
          <w:rFonts w:ascii="Calibri" w:hAnsi="Calibri"/>
          <w:sz w:val="22"/>
          <w:szCs w:val="22"/>
        </w:rPr>
        <w:t xml:space="preserve">The WG chairs suggested that such domains might be more usefully termed “transactional” rather than more generally “commercial” domains. They developed the following suggested definition and potential recommendation to describe the view of some WG members regarding these transactional domains: </w:t>
      </w:r>
      <w:r w:rsidRPr="0013728E">
        <w:rPr>
          <w:rFonts w:ascii="Calibri" w:hAnsi="Calibri"/>
          <w:i/>
          <w:sz w:val="22"/>
          <w:szCs w:val="22"/>
          <w:lang w:val="en-US" w:eastAsia="en-US"/>
        </w:rPr>
        <w:t>“</w:t>
      </w:r>
      <w:r>
        <w:rPr>
          <w:rFonts w:ascii="Calibri" w:hAnsi="Calibri"/>
          <w:i/>
          <w:sz w:val="22"/>
          <w:szCs w:val="22"/>
          <w:lang w:val="en-US" w:eastAsia="en-US"/>
        </w:rPr>
        <w:t>d</w:t>
      </w:r>
      <w:r w:rsidRPr="0013728E">
        <w:rPr>
          <w:rFonts w:ascii="Calibri" w:hAnsi="Calibri"/>
          <w:i/>
          <w:sz w:val="22"/>
          <w:szCs w:val="22"/>
          <w:lang w:val="en-US" w:eastAsia="en-US"/>
        </w:rPr>
        <w:t>omains used for online financial transactions for commercial purpose should be ineligible for privacy and proxy registrations.”</w:t>
      </w:r>
    </w:p>
    <w:p w:rsidR="00FE05EE" w:rsidRDefault="00FE05EE" w:rsidP="00FE05EE">
      <w:pPr>
        <w:rPr>
          <w:rFonts w:ascii="Calibri" w:hAnsi="Calibri"/>
          <w:b/>
          <w:i/>
          <w:sz w:val="22"/>
          <w:szCs w:val="22"/>
        </w:rPr>
      </w:pPr>
    </w:p>
    <w:p w:rsidR="00FE05EE" w:rsidRDefault="00FE05EE" w:rsidP="00FE05EE">
      <w:pPr>
        <w:rPr>
          <w:rFonts w:ascii="Calibri" w:hAnsi="Calibri"/>
          <w:sz w:val="22"/>
          <w:szCs w:val="22"/>
        </w:rPr>
      </w:pPr>
      <w:r>
        <w:rPr>
          <w:rFonts w:ascii="Calibri" w:hAnsi="Calibri"/>
          <w:sz w:val="22"/>
          <w:szCs w:val="22"/>
        </w:rPr>
        <w:t>In addition to comments on the other proposals and recommendations in this report, the community is invited to provide input on the following specific questions:</w:t>
      </w:r>
    </w:p>
    <w:p w:rsidR="00FE05EE" w:rsidRDefault="00FE05EE" w:rsidP="00FE05EE">
      <w:pPr>
        <w:numPr>
          <w:ilvl w:val="0"/>
          <w:numId w:val="11"/>
        </w:numPr>
        <w:rPr>
          <w:rFonts w:ascii="Calibri" w:hAnsi="Calibri"/>
          <w:sz w:val="22"/>
          <w:szCs w:val="22"/>
        </w:rPr>
      </w:pPr>
      <w:r>
        <w:rPr>
          <w:rFonts w:ascii="Calibri" w:hAnsi="Calibri"/>
          <w:sz w:val="22"/>
          <w:szCs w:val="22"/>
        </w:rPr>
        <w:t>Should registrants of domain names associated with commercial activities and which are used for online financial transactions be prohibited from using, or continuing to use, privacy and proxy services</w:t>
      </w:r>
      <w:r w:rsidRPr="001163DF">
        <w:rPr>
          <w:rFonts w:ascii="Calibri" w:hAnsi="Calibri"/>
          <w:sz w:val="22"/>
          <w:szCs w:val="22"/>
        </w:rPr>
        <w:t xml:space="preserve">? </w:t>
      </w:r>
    </w:p>
    <w:p w:rsidR="00FE05EE" w:rsidRDefault="00FE05EE" w:rsidP="00FE05EE">
      <w:pPr>
        <w:numPr>
          <w:ilvl w:val="0"/>
          <w:numId w:val="11"/>
        </w:numPr>
        <w:rPr>
          <w:rFonts w:ascii="Calibri" w:hAnsi="Calibri"/>
          <w:sz w:val="22"/>
          <w:szCs w:val="22"/>
        </w:rPr>
      </w:pPr>
      <w:r w:rsidRPr="001163DF">
        <w:rPr>
          <w:rFonts w:ascii="Calibri" w:hAnsi="Calibri"/>
          <w:sz w:val="22"/>
          <w:szCs w:val="22"/>
        </w:rPr>
        <w:t>Will it be useful to adopt a definition of “commercial” or “transactional” (</w:t>
      </w:r>
      <w:r>
        <w:rPr>
          <w:rFonts w:ascii="Calibri" w:hAnsi="Calibri"/>
          <w:sz w:val="22"/>
          <w:szCs w:val="22"/>
        </w:rPr>
        <w:t xml:space="preserve">and if so, should this be that suggested by the WG Chairs </w:t>
      </w:r>
      <w:r w:rsidRPr="001163DF">
        <w:rPr>
          <w:rFonts w:ascii="Calibri" w:hAnsi="Calibri"/>
          <w:sz w:val="22"/>
          <w:szCs w:val="22"/>
        </w:rPr>
        <w:t>or some other)?</w:t>
      </w:r>
      <w:r>
        <w:rPr>
          <w:rFonts w:ascii="Calibri" w:hAnsi="Calibri"/>
          <w:sz w:val="22"/>
          <w:szCs w:val="22"/>
        </w:rPr>
        <w:t xml:space="preserve"> </w:t>
      </w:r>
    </w:p>
    <w:p w:rsidR="00FE05EE" w:rsidRPr="00DA4DD5" w:rsidRDefault="00FE05EE" w:rsidP="00FE05EE">
      <w:pPr>
        <w:numPr>
          <w:ilvl w:val="0"/>
          <w:numId w:val="11"/>
        </w:numPr>
        <w:rPr>
          <w:rFonts w:ascii="Calibri" w:hAnsi="Calibri"/>
          <w:sz w:val="22"/>
          <w:szCs w:val="22"/>
        </w:rPr>
      </w:pPr>
      <w:r>
        <w:rPr>
          <w:rFonts w:ascii="Calibri" w:hAnsi="Calibri"/>
          <w:sz w:val="22"/>
          <w:szCs w:val="22"/>
        </w:rPr>
        <w:t>Will it be necessary to make a distinction in the WHOIS data fields to be displayed as a result?</w:t>
      </w:r>
    </w:p>
    <w:p w:rsidR="002B4323" w:rsidRDefault="002B4323" w:rsidP="002B4323">
      <w:pPr>
        <w:suppressLineNumbers/>
        <w:rPr>
          <w:rFonts w:asciiTheme="majorHAnsi" w:hAnsiTheme="majorHAnsi"/>
          <w:b/>
          <w:sz w:val="22"/>
          <w:szCs w:val="22"/>
        </w:rPr>
      </w:pPr>
    </w:p>
    <w:p w:rsidR="002B4323" w:rsidRPr="002B4323" w:rsidRDefault="002B4323" w:rsidP="002B4323">
      <w:pPr>
        <w:suppressLineNumbers/>
        <w:rPr>
          <w:rFonts w:asciiTheme="majorHAnsi" w:hAnsiTheme="majorHAnsi"/>
          <w:b/>
          <w:sz w:val="22"/>
          <w:szCs w:val="22"/>
        </w:rPr>
      </w:pPr>
      <w:r w:rsidRPr="002B4323">
        <w:rPr>
          <w:rFonts w:asciiTheme="majorHAnsi" w:hAnsiTheme="majorHAnsi"/>
          <w:b/>
          <w:sz w:val="22"/>
          <w:szCs w:val="22"/>
        </w:rPr>
        <w:t>1.3.4</w:t>
      </w:r>
      <w:r w:rsidRPr="002B4323">
        <w:rPr>
          <w:rFonts w:asciiTheme="majorHAnsi" w:hAnsiTheme="majorHAnsi"/>
          <w:b/>
          <w:sz w:val="22"/>
          <w:szCs w:val="22"/>
        </w:rPr>
        <w:tab/>
        <w:t>General</w:t>
      </w:r>
    </w:p>
    <w:p w:rsidR="002B4323" w:rsidRPr="002B4323" w:rsidRDefault="002B4323" w:rsidP="002B4323">
      <w:pPr>
        <w:suppressLineNumbers/>
        <w:rPr>
          <w:rFonts w:asciiTheme="majorHAnsi" w:hAnsiTheme="majorHAnsi"/>
          <w:sz w:val="22"/>
          <w:szCs w:val="22"/>
        </w:rPr>
      </w:pPr>
    </w:p>
    <w:p w:rsidR="002B4323" w:rsidRPr="002B4323" w:rsidRDefault="002B4323" w:rsidP="002B4323">
      <w:pPr>
        <w:rPr>
          <w:rFonts w:asciiTheme="majorHAnsi" w:hAnsiTheme="majorHAnsi"/>
          <w:sz w:val="22"/>
          <w:szCs w:val="22"/>
        </w:rPr>
      </w:pPr>
      <w:r w:rsidRPr="002B4323">
        <w:rPr>
          <w:rFonts w:asciiTheme="majorHAnsi" w:hAnsiTheme="majorHAnsi"/>
          <w:sz w:val="22"/>
          <w:szCs w:val="22"/>
        </w:rPr>
        <w:t>The WG welcomes community input as to whether its recommendations that certain mandatory provisions be included in a P/P provider’s terms of service are sufficient to ensure adequate protection of P/P customers, particularly in the event of Publication of a customer’s details in WHOIS as a result of termination of P/P service due to the customer’s breach of the terms. Further, the WG has preliminarily concluded that the registrar accreditation model with its multiple steps, governed by the RAA, may not be entirely appropriate for P/P services; however, it is a useful starting point from which relevant portions may be adapted to apply to P/P service providers. It therefore invites community feedback as to the implications of adopting a particular accreditation model, recognizing, however, that this is a feature that will need to be worked out as part of the implementation of its policy recommendations, if adopted.</w:t>
      </w:r>
    </w:p>
    <w:p w:rsidR="00FE05EE" w:rsidRPr="002B4323" w:rsidRDefault="00FE05EE">
      <w:pPr>
        <w:rPr>
          <w:rFonts w:asciiTheme="majorHAnsi" w:hAnsiTheme="majorHAnsi"/>
          <w:sz w:val="22"/>
          <w:szCs w:val="22"/>
        </w:rPr>
      </w:pPr>
    </w:p>
    <w:sectPr w:rsidR="00FE05EE" w:rsidRPr="002B4323"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88" w:rsidRDefault="00CE6488" w:rsidP="00FE05EE">
      <w:pPr>
        <w:spacing w:line="240" w:lineRule="auto"/>
      </w:pPr>
      <w:r>
        <w:separator/>
      </w:r>
    </w:p>
  </w:endnote>
  <w:endnote w:type="continuationSeparator" w:id="0">
    <w:p w:rsidR="00CE6488" w:rsidRDefault="00CE6488" w:rsidP="00FE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88" w:rsidRDefault="00CE6488" w:rsidP="00FE05EE">
      <w:pPr>
        <w:spacing w:line="240" w:lineRule="auto"/>
      </w:pPr>
      <w:r>
        <w:separator/>
      </w:r>
    </w:p>
  </w:footnote>
  <w:footnote w:type="continuationSeparator" w:id="0">
    <w:p w:rsidR="00CE6488" w:rsidRDefault="00CE6488" w:rsidP="00FE05EE">
      <w:pPr>
        <w:spacing w:line="240" w:lineRule="auto"/>
      </w:pPr>
      <w:r>
        <w:continuationSeparator/>
      </w:r>
    </w:p>
  </w:footnote>
  <w:footnote w:id="1">
    <w:p w:rsidR="00CE6488" w:rsidRPr="00014C91" w:rsidRDefault="00CE6488" w:rsidP="00FE05EE">
      <w:pPr>
        <w:pStyle w:val="FootnoteText"/>
        <w:rPr>
          <w:rFonts w:ascii="Calibri" w:hAnsi="Calibri"/>
        </w:rPr>
      </w:pPr>
      <w:r w:rsidRPr="00AF526A">
        <w:rPr>
          <w:rStyle w:val="FootnoteReference"/>
          <w:rFonts w:ascii="Calibri" w:hAnsi="Calibri"/>
        </w:rPr>
        <w:footnoteRef/>
      </w:r>
      <w:r w:rsidRPr="00AF526A">
        <w:rPr>
          <w:rFonts w:ascii="Calibri" w:hAnsi="Calibri"/>
        </w:rPr>
        <w:t xml:space="preserve"> Where specific language, options or recommendations are still under consideration by the WG, these have been indicated by the u</w:t>
      </w:r>
      <w:r w:rsidRPr="00EF01D0">
        <w:rPr>
          <w:rFonts w:ascii="Calibri" w:hAnsi="Calibri"/>
        </w:rPr>
        <w:t>se of square brackets around the relevant text.</w:t>
      </w:r>
    </w:p>
  </w:footnote>
  <w:footnote w:id="2">
    <w:p w:rsidR="00CE6488" w:rsidRPr="004B0833" w:rsidRDefault="00CE6488" w:rsidP="00FE05EE">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Note that while the WG agreed </w:t>
      </w:r>
      <w:r>
        <w:rPr>
          <w:rFonts w:ascii="Calibri" w:hAnsi="Calibri"/>
        </w:rPr>
        <w:t xml:space="preserve">that there is </w:t>
      </w:r>
      <w:r w:rsidRPr="00E1228A">
        <w:rPr>
          <w:rFonts w:ascii="Calibri" w:hAnsi="Calibri"/>
        </w:rPr>
        <w:t xml:space="preserve">no reason to distinguish between commercial and non-commercial registrants simply because of their organizational/entity status, </w:t>
      </w:r>
      <w:r>
        <w:rPr>
          <w:rFonts w:ascii="Calibri" w:hAnsi="Calibri"/>
        </w:rPr>
        <w:t>it has not reached consensus</w:t>
      </w:r>
      <w:r w:rsidRPr="00E1228A">
        <w:rPr>
          <w:rFonts w:ascii="Calibri" w:hAnsi="Calibri"/>
        </w:rPr>
        <w:t xml:space="preserve"> as to whether </w:t>
      </w:r>
      <w:r>
        <w:rPr>
          <w:rFonts w:ascii="Calibri" w:hAnsi="Calibri"/>
        </w:rPr>
        <w:t xml:space="preserve">the use of P/P services for </w:t>
      </w:r>
      <w:r w:rsidRPr="00E1228A">
        <w:rPr>
          <w:rFonts w:ascii="Calibri" w:hAnsi="Calibri"/>
        </w:rPr>
        <w:t xml:space="preserve">certain types of commercial activity </w:t>
      </w:r>
      <w:r>
        <w:rPr>
          <w:rFonts w:ascii="Calibri" w:hAnsi="Calibri"/>
        </w:rPr>
        <w:t xml:space="preserve">associated with a domain name </w:t>
      </w:r>
      <w:r w:rsidRPr="00E1228A">
        <w:rPr>
          <w:rFonts w:ascii="Calibri" w:hAnsi="Calibri"/>
        </w:rPr>
        <w:t>should</w:t>
      </w:r>
      <w:r>
        <w:rPr>
          <w:rFonts w:ascii="Calibri" w:hAnsi="Calibri"/>
        </w:rPr>
        <w:t xml:space="preserve"> be barred (see Section</w:t>
      </w:r>
      <w:r w:rsidRPr="004B0833">
        <w:rPr>
          <w:rFonts w:ascii="Calibri" w:hAnsi="Calibri"/>
        </w:rPr>
        <w:t xml:space="preserve"> 1.3.3 and </w:t>
      </w:r>
      <w:r>
        <w:rPr>
          <w:rFonts w:ascii="Calibri" w:hAnsi="Calibri"/>
        </w:rPr>
        <w:t xml:space="preserve">more generally Section </w:t>
      </w:r>
      <w:r w:rsidRPr="004B0833">
        <w:rPr>
          <w:rFonts w:ascii="Calibri" w:hAnsi="Calibri"/>
        </w:rPr>
        <w:t>7, below).</w:t>
      </w:r>
    </w:p>
  </w:footnote>
  <w:footnote w:id="3">
    <w:p w:rsidR="00CE6488" w:rsidRPr="00E1228A" w:rsidRDefault="00CE6488" w:rsidP="00FE05EE">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r>
        <w:rPr>
          <w:rFonts w:ascii="Calibri" w:hAnsi="Calibri"/>
        </w:rPr>
        <w:t>While this may be possible with existing fields, t</w:t>
      </w:r>
      <w:r w:rsidRPr="00E1228A">
        <w:rPr>
          <w:rFonts w:ascii="Calibri" w:hAnsi="Calibri"/>
        </w:rPr>
        <w:t xml:space="preserve">he WG </w:t>
      </w:r>
      <w:r w:rsidRPr="004B0833">
        <w:rPr>
          <w:rFonts w:ascii="Calibri" w:hAnsi="Calibri"/>
        </w:rPr>
        <w:t xml:space="preserve">has also explored the idea that the label might also be implemented by adding another field to WHOIS, and </w:t>
      </w:r>
      <w:r>
        <w:rPr>
          <w:rFonts w:ascii="Calibri" w:hAnsi="Calibri"/>
        </w:rPr>
        <w:t xml:space="preserve">is aware that </w:t>
      </w:r>
      <w:r w:rsidRPr="004B0833">
        <w:rPr>
          <w:rFonts w:ascii="Calibri" w:hAnsi="Calibri"/>
        </w:rPr>
        <w:t>this may raise</w:t>
      </w:r>
      <w:r>
        <w:rPr>
          <w:rFonts w:ascii="Calibri" w:hAnsi="Calibri"/>
        </w:rPr>
        <w:t xml:space="preserve"> certain questions that should be appropriately considered as part of implementation</w:t>
      </w:r>
      <w:r w:rsidRPr="004B0833">
        <w:rPr>
          <w:rFonts w:ascii="Calibri" w:hAnsi="Calibri"/>
        </w:rPr>
        <w:t>.</w:t>
      </w:r>
    </w:p>
  </w:footnote>
  <w:footnote w:id="4">
    <w:p w:rsidR="00CE6488" w:rsidRDefault="00CE6488" w:rsidP="00FE05EE">
      <w:pPr>
        <w:pStyle w:val="FootnoteText"/>
      </w:pPr>
      <w:r w:rsidRPr="00014C91">
        <w:rPr>
          <w:rStyle w:val="FootnoteReference"/>
          <w:rFonts w:ascii="Calibri" w:hAnsi="Calibri"/>
        </w:rPr>
        <w:footnoteRef/>
      </w:r>
      <w:r w:rsidRPr="00014C91">
        <w:rPr>
          <w:rFonts w:ascii="Calibri" w:hAnsi="Calibri"/>
        </w:rPr>
        <w:t xml:space="preserve"> See </w:t>
      </w:r>
      <w:r w:rsidRPr="00EA5963">
        <w:rPr>
          <w:rFonts w:ascii="Calibri" w:hAnsi="Calibri"/>
        </w:rPr>
        <w:t>Recommendation #1</w:t>
      </w:r>
      <w:r>
        <w:rPr>
          <w:rFonts w:ascii="Calibri" w:hAnsi="Calibri"/>
        </w:rPr>
        <w:t xml:space="preserve">7 </w:t>
      </w:r>
      <w:r w:rsidRPr="00014C91">
        <w:rPr>
          <w:rFonts w:ascii="Calibri" w:hAnsi="Calibri"/>
        </w:rPr>
        <w:t xml:space="preserve">for the WG’s </w:t>
      </w:r>
      <w:r>
        <w:rPr>
          <w:rFonts w:ascii="Calibri" w:hAnsi="Calibri"/>
        </w:rPr>
        <w:t xml:space="preserve">proposed </w:t>
      </w:r>
      <w:r w:rsidRPr="00014C91">
        <w:rPr>
          <w:rFonts w:ascii="Calibri" w:hAnsi="Calibri"/>
        </w:rPr>
        <w:t>definition</w:t>
      </w:r>
      <w:r>
        <w:rPr>
          <w:rFonts w:ascii="Calibri" w:hAnsi="Calibri"/>
        </w:rPr>
        <w:t>s</w:t>
      </w:r>
      <w:r w:rsidRPr="00014C91">
        <w:rPr>
          <w:rFonts w:ascii="Calibri" w:hAnsi="Calibri"/>
        </w:rPr>
        <w:t xml:space="preserve"> of Disclosure and Publication, in relation to what is </w:t>
      </w:r>
      <w:r>
        <w:rPr>
          <w:rFonts w:ascii="Calibri" w:hAnsi="Calibri"/>
        </w:rPr>
        <w:t xml:space="preserve">at present more </w:t>
      </w:r>
      <w:r w:rsidRPr="00014C91">
        <w:rPr>
          <w:rFonts w:ascii="Calibri" w:hAnsi="Calibri"/>
        </w:rPr>
        <w:t>commonly referred to as a “reveal” of registrant or customer contact details.</w:t>
      </w:r>
    </w:p>
  </w:footnote>
  <w:footnote w:id="5">
    <w:p w:rsidR="00CE6488" w:rsidRPr="004B0833" w:rsidRDefault="00CE6488" w:rsidP="00FE05EE">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The WG recognizes that implementation of these recommendations may involve the development of new procedures.</w:t>
      </w:r>
    </w:p>
  </w:footnote>
  <w:footnote w:id="6">
    <w:p w:rsidR="00CE6488" w:rsidRDefault="00CE6488" w:rsidP="00FE05EE">
      <w:pPr>
        <w:pStyle w:val="FootnoteText"/>
      </w:pPr>
      <w:r w:rsidRPr="004B0833">
        <w:rPr>
          <w:rStyle w:val="FootnoteReference"/>
          <w:rFonts w:ascii="Calibri" w:hAnsi="Calibri"/>
        </w:rPr>
        <w:footnoteRef/>
      </w:r>
      <w:r w:rsidRPr="004B0833">
        <w:rPr>
          <w:rFonts w:ascii="Calibri" w:hAnsi="Calibri"/>
        </w:rPr>
        <w:t xml:space="preserve"> The WG discussed, but </w:t>
      </w:r>
      <w:r>
        <w:rPr>
          <w:rFonts w:ascii="Calibri" w:hAnsi="Calibri"/>
        </w:rPr>
        <w:t>did not reach</w:t>
      </w:r>
      <w:r w:rsidRPr="004B0833">
        <w:rPr>
          <w:rFonts w:ascii="Calibri" w:hAnsi="Calibri"/>
        </w:rPr>
        <w:t xml:space="preserve"> consensus on, the possibility of requiring a registrar to also declare its Affiliation (if any) with a P/P provider.</w:t>
      </w:r>
    </w:p>
  </w:footnote>
  <w:footnote w:id="7">
    <w:p w:rsidR="00CE6488" w:rsidRPr="004B0833" w:rsidRDefault="00CE6488" w:rsidP="00FE05EE">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1" w:history="1">
        <w:r w:rsidRPr="004B0833">
          <w:rPr>
            <w:rStyle w:val="Hyperlink"/>
            <w:rFonts w:ascii="Calibri" w:hAnsi="Calibri"/>
          </w:rPr>
          <w:t>http://newgtlds.icann.org/en/applicants/agb/agreement-approved-20nov13-en.pdf</w:t>
        </w:r>
      </w:hyperlink>
      <w:r w:rsidRPr="004B0833">
        <w:rPr>
          <w:rFonts w:ascii="Calibri" w:hAnsi="Calibri"/>
        </w:rPr>
        <w:t>; Section 3 provides that “Registry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p>
  </w:footnote>
  <w:footnote w:id="8">
    <w:p w:rsidR="00CE6488" w:rsidRPr="004B0833" w:rsidRDefault="00CE6488" w:rsidP="00FE05EE">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See </w:t>
      </w:r>
      <w:hyperlink r:id="rId2" w:history="1">
        <w:r w:rsidRPr="004B0833">
          <w:rPr>
            <w:rStyle w:val="Hyperlink"/>
            <w:rFonts w:ascii="Calibri" w:hAnsi="Calibri"/>
          </w:rPr>
          <w:t>https://www.icann.org/en/system/files/correspondence/gac-to-board-11apr13-en.pdf</w:t>
        </w:r>
      </w:hyperlink>
      <w:r w:rsidRPr="004B0833">
        <w:rPr>
          <w:rFonts w:ascii="Calibri" w:hAnsi="Calibri"/>
        </w:rPr>
        <w:t>; Safeguard 2, Annex 1 provides that ““Registry operators will ensure that terms of use for registrants include prohibitions against the distribution of malware, operation of botnets, phishing, piracy, trademark or copyright infringement, fraudulent or deceptive practices, counterfeiting or otherwise engaging in activity contrary to applicable law.”</w:t>
      </w:r>
    </w:p>
  </w:footnote>
  <w:footnote w:id="9">
    <w:p w:rsidR="00CE6488" w:rsidRPr="004B0833" w:rsidRDefault="00CE6488" w:rsidP="00FE05EE">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w:t>
      </w:r>
      <w:r>
        <w:rPr>
          <w:rFonts w:ascii="Calibri" w:hAnsi="Calibri"/>
        </w:rPr>
        <w:t>With the specific exception of Disclosure requests from intellectual property rights holders (see Recommendation #19 below), t</w:t>
      </w:r>
      <w:r w:rsidRPr="00E1228A">
        <w:rPr>
          <w:rFonts w:ascii="Calibri" w:hAnsi="Calibri"/>
        </w:rPr>
        <w:t>he WG discussed but did not finalize the minimum elements that should be included in such a form</w:t>
      </w:r>
      <w:r>
        <w:rPr>
          <w:rFonts w:ascii="Calibri" w:hAnsi="Calibri"/>
        </w:rPr>
        <w:t xml:space="preserve"> in relation to other requests and reports</w:t>
      </w:r>
      <w:r w:rsidRPr="00E1228A">
        <w:rPr>
          <w:rFonts w:ascii="Calibri" w:hAnsi="Calibri"/>
        </w:rPr>
        <w:t>.</w:t>
      </w:r>
      <w:r w:rsidRPr="00DD3782">
        <w:t xml:space="preserve"> </w:t>
      </w:r>
      <w:r w:rsidRPr="004B0833">
        <w:rPr>
          <w:rFonts w:ascii="Calibri" w:hAnsi="Calibri"/>
        </w:rPr>
        <w:t>The WG notes that this recommendation is not intended to prescribe the method by which a provider should make this form available (e.g. through a web-based form) as providers should have the ability to determine the most appropriate method for doing so.</w:t>
      </w:r>
    </w:p>
  </w:footnote>
  <w:footnote w:id="10">
    <w:p w:rsidR="00CE6488" w:rsidRPr="00E1228A" w:rsidRDefault="00CE6488" w:rsidP="00FE05EE">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agrees that emails</w:t>
      </w:r>
      <w:r>
        <w:rPr>
          <w:rFonts w:ascii="Calibri" w:hAnsi="Calibri"/>
        </w:rPr>
        <w:t xml:space="preserve"> and</w:t>
      </w:r>
      <w:r w:rsidRPr="00E1228A">
        <w:rPr>
          <w:rFonts w:ascii="Calibri" w:hAnsi="Calibri"/>
        </w:rPr>
        <w:t xml:space="preserve"> web forms would be considered “electronic communications” whereas human-operated faxes would not. The WG recommends that implementation of the concept of “electronic communications” be sufficiently flexible to accommodate future technological developments.</w:t>
      </w:r>
    </w:p>
  </w:footnote>
  <w:footnote w:id="11">
    <w:p w:rsidR="00CE6488" w:rsidRPr="00E1228A" w:rsidRDefault="00CE6488" w:rsidP="00FE05EE">
      <w:pPr>
        <w:pStyle w:val="FootnoteText"/>
        <w:rPr>
          <w:rFonts w:ascii="Calibri" w:hAnsi="Calibri"/>
        </w:rPr>
      </w:pPr>
      <w:r w:rsidRPr="00E1228A">
        <w:rPr>
          <w:rStyle w:val="FootnoteReference"/>
          <w:rFonts w:ascii="Calibri" w:hAnsi="Calibri"/>
        </w:rPr>
        <w:footnoteRef/>
      </w:r>
      <w:r w:rsidRPr="00E1228A">
        <w:rPr>
          <w:rFonts w:ascii="Calibri" w:hAnsi="Calibri"/>
        </w:rPr>
        <w:t xml:space="preserve"> The WG notes that failure of “delivery” of a communication is not to be equated with the failure of a customer to “respond” to a request, notification or other type of communication. </w:t>
      </w:r>
    </w:p>
  </w:footnote>
  <w:footnote w:id="12">
    <w:p w:rsidR="00CE6488" w:rsidRDefault="00CE6488" w:rsidP="00FE05EE">
      <w:pPr>
        <w:pStyle w:val="FootnoteText"/>
      </w:pPr>
      <w:r w:rsidRPr="00E1228A">
        <w:rPr>
          <w:rStyle w:val="FootnoteReference"/>
          <w:rFonts w:ascii="Calibri" w:hAnsi="Calibri"/>
        </w:rPr>
        <w:footnoteRef/>
      </w:r>
      <w:r w:rsidRPr="00E1228A">
        <w:rPr>
          <w:rFonts w:ascii="Calibri" w:hAnsi="Calibri"/>
        </w:rPr>
        <w:t xml:space="preserve"> Although the WG has agreed on this concept in principle, it welcomes community input on the specific timeframes and number of attempts that would qualify as a persistent delivery failure.</w:t>
      </w:r>
    </w:p>
  </w:footnote>
  <w:footnote w:id="13">
    <w:p w:rsidR="00CE6488" w:rsidRPr="004B0833" w:rsidRDefault="00CE6488" w:rsidP="00FE05EE">
      <w:pPr>
        <w:pStyle w:val="FootnoteText"/>
        <w:rPr>
          <w:rFonts w:ascii="Calibri" w:hAnsi="Calibri"/>
        </w:rPr>
      </w:pPr>
      <w:r w:rsidRPr="004B0833">
        <w:rPr>
          <w:rStyle w:val="FootnoteReference"/>
          <w:rFonts w:ascii="Calibri" w:hAnsi="Calibri"/>
        </w:rPr>
        <w:footnoteRef/>
      </w:r>
      <w:r w:rsidRPr="004B0833">
        <w:rPr>
          <w:rFonts w:ascii="Calibri" w:hAnsi="Calibri"/>
        </w:rPr>
        <w:t xml:space="preserve"> </w:t>
      </w:r>
      <w:r>
        <w:rPr>
          <w:rFonts w:ascii="Calibri" w:hAnsi="Calibri"/>
        </w:rPr>
        <w:t>As</w:t>
      </w:r>
      <w:r w:rsidRPr="004B0833">
        <w:rPr>
          <w:rFonts w:ascii="Calibri" w:hAnsi="Calibri"/>
        </w:rPr>
        <w:t xml:space="preserve"> the single word “reveal” has been used in the WHOIS context to describe the two distinct actions that the WG has defined as “Disclosure” and “Publication”, the WG is using “reveal” within its definitions as part of a more exact description, to clarify which of the two meanings would apply in any specific instance.</w:t>
      </w:r>
    </w:p>
  </w:footnote>
  <w:footnote w:id="14">
    <w:p w:rsidR="00CE6488" w:rsidRDefault="00CE6488" w:rsidP="00FE05EE">
      <w:pPr>
        <w:pStyle w:val="FootnoteText"/>
      </w:pPr>
      <w:r w:rsidRPr="00AF526A">
        <w:rPr>
          <w:rStyle w:val="FootnoteReference"/>
          <w:rFonts w:ascii="Calibri" w:hAnsi="Calibri"/>
        </w:rPr>
        <w:footnoteRef/>
      </w:r>
      <w:r w:rsidRPr="00AF526A">
        <w:rPr>
          <w:rFonts w:ascii="Calibri" w:hAnsi="Calibri"/>
        </w:rPr>
        <w:t xml:space="preserve"> The WG notes that the WHOIS RT had specifically acknowledged that </w:t>
      </w:r>
      <w:r>
        <w:rPr>
          <w:rFonts w:ascii="Calibri" w:hAnsi="Calibri"/>
        </w:rPr>
        <w:t>P/P</w:t>
      </w:r>
      <w:r w:rsidRPr="00AF526A">
        <w:rPr>
          <w:rFonts w:ascii="Calibri" w:hAnsi="Calibri"/>
        </w:rPr>
        <w:t xml:space="preserve"> services can be and are used to address legitimate interests, both commercial and non-commercial.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E09"/>
    <w:multiLevelType w:val="hybridMultilevel"/>
    <w:tmpl w:val="904AE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7078E6"/>
    <w:multiLevelType w:val="hybridMultilevel"/>
    <w:tmpl w:val="BA0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E115C"/>
    <w:multiLevelType w:val="hybridMultilevel"/>
    <w:tmpl w:val="57C0E9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64319A"/>
    <w:multiLevelType w:val="hybridMultilevel"/>
    <w:tmpl w:val="6D501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E04A05"/>
    <w:multiLevelType w:val="hybridMultilevel"/>
    <w:tmpl w:val="D5E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9420D"/>
    <w:multiLevelType w:val="hybridMultilevel"/>
    <w:tmpl w:val="5EC41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2F38BC"/>
    <w:multiLevelType w:val="hybridMultilevel"/>
    <w:tmpl w:val="6E9C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B06E7E"/>
    <w:multiLevelType w:val="hybridMultilevel"/>
    <w:tmpl w:val="3C54F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1A012C"/>
    <w:multiLevelType w:val="hybridMultilevel"/>
    <w:tmpl w:val="593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6B2944"/>
    <w:multiLevelType w:val="hybridMultilevel"/>
    <w:tmpl w:val="AA70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8131A"/>
    <w:multiLevelType w:val="hybridMultilevel"/>
    <w:tmpl w:val="FC329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E95AB4"/>
    <w:multiLevelType w:val="hybridMultilevel"/>
    <w:tmpl w:val="D0A6F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AD6E5F"/>
    <w:multiLevelType w:val="hybridMultilevel"/>
    <w:tmpl w:val="FDE2691E"/>
    <w:lvl w:ilvl="0" w:tplc="FC0865C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0"/>
  </w:num>
  <w:num w:numId="6">
    <w:abstractNumId w:val="11"/>
  </w:num>
  <w:num w:numId="7">
    <w:abstractNumId w:val="10"/>
  </w:num>
  <w:num w:numId="8">
    <w:abstractNumId w:val="1"/>
  </w:num>
  <w:num w:numId="9">
    <w:abstractNumId w:val="9"/>
  </w:num>
  <w:num w:numId="10">
    <w:abstractNumId w:val="12"/>
  </w:num>
  <w:num w:numId="11">
    <w:abstractNumId w:val="4"/>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5EE"/>
    <w:rsid w:val="00076512"/>
    <w:rsid w:val="002B4323"/>
    <w:rsid w:val="003812DF"/>
    <w:rsid w:val="00A4643E"/>
    <w:rsid w:val="00A9584F"/>
    <w:rsid w:val="00CE6488"/>
    <w:rsid w:val="00D16ED3"/>
    <w:rsid w:val="00FE0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5EE"/>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05EE"/>
    <w:rPr>
      <w:color w:val="0000FF"/>
      <w:u w:val="single"/>
    </w:rPr>
  </w:style>
  <w:style w:type="paragraph" w:styleId="FootnoteText">
    <w:name w:val="footnote text"/>
    <w:basedOn w:val="Normal"/>
    <w:link w:val="FootnoteTextChar"/>
    <w:uiPriority w:val="99"/>
    <w:rsid w:val="00FE05EE"/>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uiPriority w:val="99"/>
    <w:rsid w:val="00FE05EE"/>
    <w:rPr>
      <w:rFonts w:ascii="Times New Roman" w:eastAsia="Times New Roman" w:hAnsi="Times New Roman" w:cs="Times New Roman"/>
      <w:sz w:val="20"/>
      <w:szCs w:val="20"/>
    </w:rPr>
  </w:style>
  <w:style w:type="character" w:styleId="FootnoteReference">
    <w:name w:val="footnote reference"/>
    <w:uiPriority w:val="99"/>
    <w:rsid w:val="00FE05EE"/>
    <w:rPr>
      <w:vertAlign w:val="superscript"/>
    </w:rPr>
  </w:style>
  <w:style w:type="paragraph" w:styleId="ListParagraph">
    <w:name w:val="List Paragraph"/>
    <w:basedOn w:val="Normal"/>
    <w:uiPriority w:val="34"/>
    <w:qFormat/>
    <w:rsid w:val="00FE05EE"/>
    <w:pPr>
      <w:widowControl w:val="0"/>
      <w:suppressAutoHyphens w:val="0"/>
      <w:spacing w:line="240" w:lineRule="auto"/>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5EE"/>
    <w:pPr>
      <w:suppressAutoHyphens/>
      <w:spacing w:line="360" w:lineRule="auto"/>
    </w:pPr>
    <w:rPr>
      <w:rFonts w:ascii="Garamond" w:eastAsia="Times New Roman" w:hAnsi="Garamond" w:cs="Times New Roman"/>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05EE"/>
    <w:rPr>
      <w:color w:val="0000FF"/>
      <w:u w:val="single"/>
    </w:rPr>
  </w:style>
  <w:style w:type="paragraph" w:styleId="FootnoteText">
    <w:name w:val="footnote text"/>
    <w:basedOn w:val="Normal"/>
    <w:link w:val="FootnoteTextChar"/>
    <w:uiPriority w:val="99"/>
    <w:rsid w:val="00FE05EE"/>
    <w:pPr>
      <w:suppressAutoHyphens w:val="0"/>
      <w:spacing w:line="240" w:lineRule="auto"/>
    </w:pPr>
    <w:rPr>
      <w:rFonts w:ascii="Times New Roman" w:hAnsi="Times New Roman"/>
      <w:sz w:val="20"/>
      <w:lang w:val="en-US" w:eastAsia="en-US"/>
    </w:rPr>
  </w:style>
  <w:style w:type="character" w:customStyle="1" w:styleId="FootnoteTextChar">
    <w:name w:val="Footnote Text Char"/>
    <w:basedOn w:val="DefaultParagraphFont"/>
    <w:link w:val="FootnoteText"/>
    <w:uiPriority w:val="99"/>
    <w:rsid w:val="00FE05EE"/>
    <w:rPr>
      <w:rFonts w:ascii="Times New Roman" w:eastAsia="Times New Roman" w:hAnsi="Times New Roman" w:cs="Times New Roman"/>
      <w:sz w:val="20"/>
      <w:szCs w:val="20"/>
    </w:rPr>
  </w:style>
  <w:style w:type="character" w:styleId="FootnoteReference">
    <w:name w:val="footnote reference"/>
    <w:uiPriority w:val="99"/>
    <w:rsid w:val="00FE05EE"/>
    <w:rPr>
      <w:vertAlign w:val="superscript"/>
    </w:rPr>
  </w:style>
  <w:style w:type="paragraph" w:styleId="ListParagraph">
    <w:name w:val="List Paragraph"/>
    <w:basedOn w:val="Normal"/>
    <w:uiPriority w:val="34"/>
    <w:qFormat/>
    <w:rsid w:val="00FE05EE"/>
    <w:pPr>
      <w:widowControl w:val="0"/>
      <w:suppressAutoHyphens w:val="0"/>
      <w:spacing w:line="240" w:lineRule="auto"/>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errp-2013-02-28-en" TargetMode="External"/><Relationship Id="rId9" Type="http://schemas.openxmlformats.org/officeDocument/2006/relationships/hyperlink" Target="https://www.icann.org/resources/pages/approved-with-specs-2013-09-17-en" TargetMode="External"/><Relationship Id="rId10" Type="http://schemas.openxmlformats.org/officeDocument/2006/relationships/hyperlink" Target="https://www.icann.org/resources/pages/policy-2012-03-07-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ewgtlds.icann.org/en/applicants/agb/agreement-approved-20nov13-en.pdf" TargetMode="External"/><Relationship Id="rId2" Type="http://schemas.openxmlformats.org/officeDocument/2006/relationships/hyperlink" Target="https://www.icann.org/en/system/files/correspondence/gac-to-board-11ap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3034</Words>
  <Characters>17295</Characters>
  <Application>Microsoft Macintosh Word</Application>
  <DocSecurity>0</DocSecurity>
  <Lines>144</Lines>
  <Paragraphs>40</Paragraphs>
  <ScaleCrop>false</ScaleCrop>
  <Company>ICANN</Company>
  <LinksUpToDate>false</LinksUpToDate>
  <CharactersWithSpaces>20289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2015-04-23T22:13:00Z</dcterms:created>
  <dcterms:modified xsi:type="dcterms:W3CDTF">2015-04-23T22:13:00Z</dcterms:modified>
</cp:coreProperties>
</file>