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7"/>
        <w:gridCol w:w="2218"/>
        <w:gridCol w:w="2268"/>
        <w:gridCol w:w="2293"/>
      </w:tblGrid>
      <w:tr w:rsidR="009D2099">
        <w:tc>
          <w:tcPr>
            <w:tcW w:w="1899" w:type="dxa"/>
            <w:shd w:val="clear" w:color="auto" w:fill="BFBFBF" w:themeFill="background1" w:themeFillShade="BF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Current Situation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Situation if Preliminary Conclusions Adopted</w:t>
            </w:r>
          </w:p>
        </w:tc>
        <w:tc>
          <w:tcPr>
            <w:tcW w:w="2309" w:type="dxa"/>
            <w:shd w:val="clear" w:color="auto" w:fill="BFBFBF" w:themeFill="background1" w:themeFillShade="BF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WG Comments / Questions</w:t>
            </w:r>
          </w:p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Whois Labeling</w:t>
            </w:r>
          </w:p>
        </w:tc>
        <w:tc>
          <w:tcPr>
            <w:tcW w:w="2311" w:type="dxa"/>
          </w:tcPr>
          <w:p w:rsidR="009D2099" w:rsidRDefault="00F1509E">
            <w:r>
              <w:t xml:space="preserve">No required label/other indication in Whois for domains registered through P/P services </w:t>
            </w:r>
          </w:p>
          <w:p w:rsidR="009D2099" w:rsidRDefault="009D2099"/>
        </w:tc>
        <w:tc>
          <w:tcPr>
            <w:tcW w:w="2337" w:type="dxa"/>
          </w:tcPr>
          <w:p w:rsidR="009D2099" w:rsidRDefault="00F1509E">
            <w:r>
              <w:t>P/P registrations to be clearly labeled as such in Whois</w:t>
            </w:r>
          </w:p>
        </w:tc>
        <w:tc>
          <w:tcPr>
            <w:tcW w:w="2309" w:type="dxa"/>
          </w:tcPr>
          <w:p w:rsidR="009D2099" w:rsidRDefault="009D2099"/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Validation / Verification of Customer Information</w:t>
            </w:r>
          </w:p>
        </w:tc>
        <w:tc>
          <w:tcPr>
            <w:tcW w:w="2311" w:type="dxa"/>
          </w:tcPr>
          <w:p w:rsidR="009D2099" w:rsidRDefault="00F1509E">
            <w:r>
              <w:t xml:space="preserve">No obligation on P/P providers to validate/verify accuracy of customer contact information </w:t>
            </w:r>
          </w:p>
        </w:tc>
        <w:tc>
          <w:tcPr>
            <w:tcW w:w="2337" w:type="dxa"/>
          </w:tcPr>
          <w:p w:rsidR="009D2099" w:rsidRDefault="00F1509E">
            <w:r>
              <w:t>Accredited P/P providers to validate/verify per procedures in the RAA Whois Accuracy Specification (no obligation to revalidate/re-verify if Registrar has done so for the identical information in the same period)</w:t>
            </w:r>
          </w:p>
          <w:p w:rsidR="009D2099" w:rsidRDefault="009D2099"/>
        </w:tc>
        <w:tc>
          <w:tcPr>
            <w:tcW w:w="2309" w:type="dxa"/>
          </w:tcPr>
          <w:p w:rsidR="009D2099" w:rsidRDefault="009D2099"/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Customer Data Reminder</w:t>
            </w:r>
          </w:p>
        </w:tc>
        <w:tc>
          <w:tcPr>
            <w:tcW w:w="2311" w:type="dxa"/>
          </w:tcPr>
          <w:p w:rsidR="009D2099" w:rsidRDefault="00F1509E">
            <w:r>
              <w:t xml:space="preserve">No obligation for P/P providers to conduct data reminders </w:t>
            </w:r>
          </w:p>
        </w:tc>
        <w:tc>
          <w:tcPr>
            <w:tcW w:w="2337" w:type="dxa"/>
          </w:tcPr>
          <w:p w:rsidR="009D2099" w:rsidRDefault="00F1509E">
            <w:r>
              <w:t>Accredited P/P providers to follow procedures in the Whois Data Reminder Policy</w:t>
            </w:r>
          </w:p>
          <w:p w:rsidR="009D2099" w:rsidRDefault="009D2099"/>
        </w:tc>
        <w:tc>
          <w:tcPr>
            <w:tcW w:w="2309" w:type="dxa"/>
          </w:tcPr>
          <w:p w:rsidR="009D2099" w:rsidRDefault="009D2099"/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Customer / Provider Rights, Responsibilities, &amp; Obligations</w:t>
            </w:r>
          </w:p>
        </w:tc>
        <w:tc>
          <w:tcPr>
            <w:tcW w:w="2311" w:type="dxa"/>
          </w:tcPr>
          <w:p w:rsidR="009D2099" w:rsidRDefault="00F1509E" w:rsidP="00DB50CF">
            <w:r>
              <w:t>Covered Providers</w:t>
            </w:r>
            <w:r>
              <w:rPr>
                <w:rStyle w:val="FootnoteReference"/>
              </w:rPr>
              <w:footnoteReference w:id="1"/>
            </w:r>
            <w:r>
              <w:t xml:space="preserve"> required to publish and abide by Terms of Service </w:t>
            </w:r>
          </w:p>
        </w:tc>
        <w:tc>
          <w:tcPr>
            <w:tcW w:w="2337" w:type="dxa"/>
          </w:tcPr>
          <w:p w:rsidR="009D2099" w:rsidRDefault="00F1509E">
            <w:r>
              <w:t xml:space="preserve">Provider / customer rights, responsibilities and obligations to be clearly spelt out in agreement, including termination of P/P </w:t>
            </w:r>
            <w:r>
              <w:lastRenderedPageBreak/>
              <w:t>service in event of transfer of domain name</w:t>
            </w:r>
          </w:p>
          <w:p w:rsidR="009D2099" w:rsidRDefault="009D2099"/>
        </w:tc>
        <w:tc>
          <w:tcPr>
            <w:tcW w:w="2309" w:type="dxa"/>
          </w:tcPr>
          <w:p w:rsidR="009D2099" w:rsidRDefault="00F1509E">
            <w:r>
              <w:lastRenderedPageBreak/>
              <w:t>TBD: Should there be a requirement to update customer details (similar to RAA Section 3.2.2)?</w:t>
            </w:r>
          </w:p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lastRenderedPageBreak/>
              <w:t>Commercial / Non-commercial Customers</w:t>
            </w:r>
          </w:p>
        </w:tc>
        <w:tc>
          <w:tcPr>
            <w:tcW w:w="2311" w:type="dxa"/>
          </w:tcPr>
          <w:p w:rsidR="009D2099" w:rsidRDefault="00F1509E">
            <w:r>
              <w:t>No distinction required between commercial and non-commercial customers</w:t>
            </w:r>
          </w:p>
        </w:tc>
        <w:tc>
          <w:tcPr>
            <w:tcW w:w="2337" w:type="dxa"/>
          </w:tcPr>
          <w:p w:rsidR="009D2099" w:rsidRDefault="00F1509E">
            <w:r>
              <w:t>No distinction required between commercial and non-commercial customers</w:t>
            </w:r>
          </w:p>
          <w:p w:rsidR="009D2099" w:rsidRDefault="009D2099"/>
        </w:tc>
        <w:tc>
          <w:tcPr>
            <w:tcW w:w="2309" w:type="dxa"/>
          </w:tcPr>
          <w:p w:rsidR="009D2099" w:rsidRDefault="009D2099"/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Commercial / Non-commercial Uses</w:t>
            </w:r>
          </w:p>
        </w:tc>
        <w:tc>
          <w:tcPr>
            <w:tcW w:w="2311" w:type="dxa"/>
          </w:tcPr>
          <w:p w:rsidR="009D2099" w:rsidRDefault="00F1509E">
            <w:r>
              <w:t>No distinction required between commercial and non-commercial uses of a domain name</w:t>
            </w:r>
          </w:p>
        </w:tc>
        <w:tc>
          <w:tcPr>
            <w:tcW w:w="2337" w:type="dxa"/>
          </w:tcPr>
          <w:p w:rsidR="009D2099" w:rsidRDefault="00F1509E">
            <w:r>
              <w:t xml:space="preserve">Majority view - no distinction </w:t>
            </w:r>
          </w:p>
          <w:p w:rsidR="009D2099" w:rsidRDefault="009D2099"/>
          <w:p w:rsidR="009D2099" w:rsidRDefault="00F1509E">
            <w:r>
              <w:t>Minority view – distinction for domain names used for online commercial transactions</w:t>
            </w:r>
          </w:p>
          <w:p w:rsidR="009D2099" w:rsidRDefault="009D2099"/>
        </w:tc>
        <w:tc>
          <w:tcPr>
            <w:tcW w:w="2309" w:type="dxa"/>
          </w:tcPr>
          <w:p w:rsidR="009D2099" w:rsidRDefault="00F1509E">
            <w:r>
              <w:t>TBD: what does “transactional” mean, and should this preliminary conclusion be revised?</w:t>
            </w:r>
          </w:p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Provider Listing</w:t>
            </w:r>
          </w:p>
        </w:tc>
        <w:tc>
          <w:tcPr>
            <w:tcW w:w="2311" w:type="dxa"/>
          </w:tcPr>
          <w:p w:rsidR="009D2099" w:rsidRDefault="00F1509E">
            <w:r>
              <w:t>No published list of P/P providers</w:t>
            </w:r>
          </w:p>
        </w:tc>
        <w:tc>
          <w:tcPr>
            <w:tcW w:w="2337" w:type="dxa"/>
          </w:tcPr>
          <w:p w:rsidR="009D2099" w:rsidRDefault="00F1509E">
            <w:r>
              <w:t xml:space="preserve">ICANN to publish list of accredited P/P providers </w:t>
            </w:r>
          </w:p>
          <w:p w:rsidR="009D2099" w:rsidRDefault="009D2099"/>
          <w:p w:rsidR="009D2099" w:rsidRDefault="00F1509E">
            <w:r>
              <w:t>Registrars to provide web link to P/P services run by them or their Affiliates</w:t>
            </w:r>
          </w:p>
          <w:p w:rsidR="009D2099" w:rsidRDefault="009D2099"/>
          <w:p w:rsidR="009D2099" w:rsidRDefault="00F1509E">
            <w:r>
              <w:t>P/P providers to declare Affiliation (if any) with a Registrar as part of accreditation</w:t>
            </w:r>
          </w:p>
          <w:p w:rsidR="009D2099" w:rsidRDefault="009D2099"/>
        </w:tc>
        <w:tc>
          <w:tcPr>
            <w:tcW w:w="2309" w:type="dxa"/>
          </w:tcPr>
          <w:p w:rsidR="009D2099" w:rsidRDefault="009D2099"/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General Abuse Point of Contact</w:t>
            </w:r>
          </w:p>
        </w:tc>
        <w:tc>
          <w:tcPr>
            <w:tcW w:w="2311" w:type="dxa"/>
          </w:tcPr>
          <w:p w:rsidR="009D2099" w:rsidRDefault="00F1509E">
            <w:r>
              <w:t>Covered Providers to maintain point of contact for reporting abuse or TM/rights infringement</w:t>
            </w:r>
          </w:p>
          <w:p w:rsidR="009D2099" w:rsidRDefault="009D2099"/>
          <w:p w:rsidR="009D2099" w:rsidRDefault="00F1509E">
            <w:r>
              <w:t xml:space="preserve">Registrar to maintain a general </w:t>
            </w:r>
            <w:r>
              <w:lastRenderedPageBreak/>
              <w:t>abuse point of contact maintained by Registrar, who has duty to be “reasonable and prompt” in investigating and to “respond appropriately” (RAA Section 3.18.1)</w:t>
            </w:r>
          </w:p>
          <w:p w:rsidR="009D2099" w:rsidRDefault="009D2099"/>
        </w:tc>
        <w:tc>
          <w:tcPr>
            <w:tcW w:w="2337" w:type="dxa"/>
          </w:tcPr>
          <w:p w:rsidR="009D2099" w:rsidRDefault="00F1509E">
            <w:r>
              <w:lastRenderedPageBreak/>
              <w:t>Accredited P/P providers to have “designated” abuse points of contact</w:t>
            </w:r>
          </w:p>
        </w:tc>
        <w:tc>
          <w:tcPr>
            <w:tcW w:w="2309" w:type="dxa"/>
          </w:tcPr>
          <w:p w:rsidR="009D2099" w:rsidRDefault="00F1509E">
            <w:r>
              <w:t xml:space="preserve">TBD: should point of contact be “capable and authorized” (per TEAC policy); relevance of RAA “reasonable and prompt” standard; should WG also </w:t>
            </w:r>
            <w:r>
              <w:lastRenderedPageBreak/>
              <w:t>consider types of abuse complaints permitted and reporting methods other than email?</w:t>
            </w:r>
          </w:p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lastRenderedPageBreak/>
              <w:t>Dedicated Abuse Point of Contact for LEAs</w:t>
            </w:r>
          </w:p>
        </w:tc>
        <w:tc>
          <w:tcPr>
            <w:tcW w:w="2311" w:type="dxa"/>
          </w:tcPr>
          <w:p w:rsidR="009D2099" w:rsidRDefault="00F1509E">
            <w:r>
              <w:t>None for P/P providers</w:t>
            </w:r>
          </w:p>
          <w:p w:rsidR="009D2099" w:rsidRDefault="009D2099"/>
          <w:p w:rsidR="009D2099" w:rsidRDefault="00F1509E">
            <w:r>
              <w:t>Registrar to maintain dedicated abuse point of contact for 24/7 reporting by LEA, consumer protection and quasi-govt’l authorities in Registrar’s jurisdiction; “well founded” reports of Illegal Activity to be investigated within 24 hours by designated person (RAA Section 3.18.2)</w:t>
            </w:r>
          </w:p>
          <w:p w:rsidR="009D2099" w:rsidRDefault="009D2099"/>
        </w:tc>
        <w:tc>
          <w:tcPr>
            <w:tcW w:w="2337" w:type="dxa"/>
          </w:tcPr>
          <w:p w:rsidR="009D2099" w:rsidRDefault="00F1509E">
            <w:r>
              <w:t>Not required</w:t>
            </w:r>
          </w:p>
        </w:tc>
        <w:tc>
          <w:tcPr>
            <w:tcW w:w="2309" w:type="dxa"/>
          </w:tcPr>
          <w:p w:rsidR="009D2099" w:rsidRDefault="00F1509E">
            <w:r>
              <w:t>TBD?</w:t>
            </w:r>
          </w:p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Handling of Abuse Reports</w:t>
            </w:r>
          </w:p>
        </w:tc>
        <w:tc>
          <w:tcPr>
            <w:tcW w:w="2311" w:type="dxa"/>
          </w:tcPr>
          <w:p w:rsidR="009D2099" w:rsidRDefault="00DB50CF">
            <w:r>
              <w:t xml:space="preserve">Covered Providers </w:t>
            </w:r>
            <w:r w:rsidR="00F1509E">
              <w:t xml:space="preserve">to publish </w:t>
            </w:r>
            <w:r>
              <w:t>(</w:t>
            </w:r>
            <w:r w:rsidR="00F1509E">
              <w:t>and abide by</w:t>
            </w:r>
            <w:r>
              <w:t>)</w:t>
            </w:r>
            <w:r w:rsidR="00F1509E">
              <w:t xml:space="preserve"> procedures for reporting abuse and infringement</w:t>
            </w:r>
          </w:p>
          <w:p w:rsidR="009D2099" w:rsidRDefault="009D2099"/>
          <w:p w:rsidR="009D2099" w:rsidRDefault="00F1509E">
            <w:r>
              <w:t xml:space="preserve">Registrar to publish procedures for tracking, handling and </w:t>
            </w:r>
            <w:r>
              <w:lastRenderedPageBreak/>
              <w:t>responding to abuse reports on website (RAA Section 3.18.3)</w:t>
            </w:r>
          </w:p>
          <w:p w:rsidR="009D2099" w:rsidRDefault="009D2099"/>
        </w:tc>
        <w:tc>
          <w:tcPr>
            <w:tcW w:w="2337" w:type="dxa"/>
          </w:tcPr>
          <w:p w:rsidR="009D2099" w:rsidRDefault="009D2099"/>
        </w:tc>
        <w:tc>
          <w:tcPr>
            <w:tcW w:w="2309" w:type="dxa"/>
          </w:tcPr>
          <w:p w:rsidR="009D2099" w:rsidRDefault="00F1509E">
            <w:r>
              <w:t>Not listed as a Charter question</w:t>
            </w:r>
          </w:p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lastRenderedPageBreak/>
              <w:t>Contactability of Provider</w:t>
            </w:r>
          </w:p>
        </w:tc>
        <w:tc>
          <w:tcPr>
            <w:tcW w:w="2311" w:type="dxa"/>
          </w:tcPr>
          <w:p w:rsidR="009D2099" w:rsidRDefault="00DB50CF">
            <w:r>
              <w:t xml:space="preserve">Covered Providers </w:t>
            </w:r>
            <w:r w:rsidR="00F1509E">
              <w:t>to publish business contact information on its (or Registrar’s) website</w:t>
            </w:r>
          </w:p>
          <w:p w:rsidR="009D2099" w:rsidRDefault="009D2099"/>
        </w:tc>
        <w:tc>
          <w:tcPr>
            <w:tcW w:w="2337" w:type="dxa"/>
          </w:tcPr>
          <w:p w:rsidR="009D2099" w:rsidRDefault="00F1509E">
            <w:r>
              <w:t>Accredited P/P providers should be fully contactable</w:t>
            </w:r>
          </w:p>
        </w:tc>
        <w:tc>
          <w:tcPr>
            <w:tcW w:w="2309" w:type="dxa"/>
          </w:tcPr>
          <w:p w:rsidR="009D2099" w:rsidRDefault="00F1509E">
            <w:r>
              <w:t>TBD: is current specification sufficient?</w:t>
            </w:r>
          </w:p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Malicious Conduct to be Reported</w:t>
            </w:r>
          </w:p>
        </w:tc>
        <w:tc>
          <w:tcPr>
            <w:tcW w:w="2311" w:type="dxa"/>
          </w:tcPr>
          <w:p w:rsidR="009D2099" w:rsidRDefault="00F1509E" w:rsidP="00DB50CF">
            <w:r>
              <w:t>Not defined (</w:t>
            </w:r>
            <w:r w:rsidR="00DB50CF">
              <w:t xml:space="preserve">interim </w:t>
            </w:r>
            <w:r>
              <w:t xml:space="preserve">specification </w:t>
            </w:r>
            <w:r w:rsidR="00DB50CF">
              <w:t xml:space="preserve">specifies </w:t>
            </w:r>
            <w:r>
              <w:t>abuse and TM/rights infringement)</w:t>
            </w:r>
          </w:p>
        </w:tc>
        <w:tc>
          <w:tcPr>
            <w:tcW w:w="2337" w:type="dxa"/>
          </w:tcPr>
          <w:p w:rsidR="009D2099" w:rsidRDefault="00F1509E">
            <w:r>
              <w:t>Include flexible list of malicious conduct (use PICs and GAC Safeguards as reference point)</w:t>
            </w:r>
          </w:p>
          <w:p w:rsidR="009D2099" w:rsidRDefault="009D2099"/>
          <w:p w:rsidR="009D2099" w:rsidRDefault="00F1509E">
            <w:r>
              <w:t>Standard form for requests and reports (to include space for free form text)</w:t>
            </w:r>
          </w:p>
          <w:p w:rsidR="009D2099" w:rsidRDefault="009D2099"/>
        </w:tc>
        <w:tc>
          <w:tcPr>
            <w:tcW w:w="2309" w:type="dxa"/>
          </w:tcPr>
          <w:p w:rsidR="009D2099" w:rsidRDefault="00F1509E">
            <w:r>
              <w:t>TBD: overlap/distinction with “Illegal Activity”?</w:t>
            </w:r>
          </w:p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Definition of “Illegal Activity”</w:t>
            </w:r>
          </w:p>
        </w:tc>
        <w:tc>
          <w:tcPr>
            <w:tcW w:w="2311" w:type="dxa"/>
          </w:tcPr>
          <w:p w:rsidR="009D2099" w:rsidRDefault="00F1509E">
            <w:r>
              <w:t xml:space="preserve">“Illegal Activity” means conduct involving use of a Registered Name sponsored by Registrar that is prohibited by applicable law and/or exploitation of Registrar’s domain name resolution or registration services in furtherance of conduct involving the use of a Registered Name sponsored by Registrar that is prohibited by </w:t>
            </w:r>
            <w:r>
              <w:lastRenderedPageBreak/>
              <w:t xml:space="preserve">applicable law </w:t>
            </w:r>
            <w:r w:rsidR="00DB50CF">
              <w:t>(</w:t>
            </w:r>
            <w:r>
              <w:t xml:space="preserve">RAA </w:t>
            </w:r>
            <w:r w:rsidR="00DB50CF">
              <w:t>S</w:t>
            </w:r>
            <w:r>
              <w:t>ection 1.13</w:t>
            </w:r>
            <w:r w:rsidR="00DB50CF">
              <w:t>)</w:t>
            </w:r>
          </w:p>
          <w:p w:rsidR="009D2099" w:rsidRDefault="009D2099"/>
        </w:tc>
        <w:tc>
          <w:tcPr>
            <w:tcW w:w="2337" w:type="dxa"/>
          </w:tcPr>
          <w:p w:rsidR="009D2099" w:rsidRDefault="009D2099"/>
        </w:tc>
        <w:tc>
          <w:tcPr>
            <w:tcW w:w="2309" w:type="dxa"/>
          </w:tcPr>
          <w:p w:rsidR="009D2099" w:rsidRDefault="00F1509E">
            <w:r>
              <w:t>See “malicious conduct” (above)</w:t>
            </w:r>
          </w:p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lastRenderedPageBreak/>
              <w:t>Mandatory Relay</w:t>
            </w:r>
          </w:p>
        </w:tc>
        <w:tc>
          <w:tcPr>
            <w:tcW w:w="2311" w:type="dxa"/>
          </w:tcPr>
          <w:p w:rsidR="009D2099" w:rsidRDefault="00F1509E" w:rsidP="00DB50CF">
            <w:r>
              <w:t xml:space="preserve">None specified; </w:t>
            </w:r>
            <w:r w:rsidR="00DB50CF">
              <w:t>C</w:t>
            </w:r>
            <w:r>
              <w:t xml:space="preserve">overed </w:t>
            </w:r>
            <w:r w:rsidR="00DB50CF">
              <w:t xml:space="preserve">Providers </w:t>
            </w:r>
            <w:r>
              <w:t xml:space="preserve">only required to publish </w:t>
            </w:r>
            <w:r w:rsidR="00DB50CF">
              <w:t>(</w:t>
            </w:r>
            <w:r>
              <w:t>and abide by</w:t>
            </w:r>
            <w:r w:rsidR="00DB50CF">
              <w:t>)</w:t>
            </w:r>
            <w:r>
              <w:t xml:space="preserve"> circumstances under which it relays requests</w:t>
            </w:r>
          </w:p>
        </w:tc>
        <w:tc>
          <w:tcPr>
            <w:tcW w:w="2337" w:type="dxa"/>
          </w:tcPr>
          <w:p w:rsidR="009D2099" w:rsidRDefault="00F1509E">
            <w:r>
              <w:t>Mandatory for all [electronic] communications required under the RAA or ICANN Consensus Policies</w:t>
            </w:r>
          </w:p>
          <w:p w:rsidR="009D2099" w:rsidRDefault="009D2099"/>
          <w:p w:rsidR="009D2099" w:rsidRDefault="00F1509E">
            <w:r>
              <w:t>Mandatory mechanism to be maintained for requestor follow up or escalation</w:t>
            </w:r>
          </w:p>
          <w:p w:rsidR="009D2099" w:rsidRDefault="009D2099"/>
          <w:p w:rsidR="009D2099" w:rsidRDefault="00F1509E">
            <w:r>
              <w:t>Standard form and other mechanisms (e.g. ability to specify type of abuse and use of drop down menus) for easier identification / action</w:t>
            </w:r>
          </w:p>
          <w:p w:rsidR="009D2099" w:rsidRDefault="009D2099"/>
        </w:tc>
        <w:tc>
          <w:tcPr>
            <w:tcW w:w="2309" w:type="dxa"/>
          </w:tcPr>
          <w:p w:rsidR="009D2099" w:rsidRDefault="009D2099"/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Relay of Other Electronic Communications</w:t>
            </w:r>
          </w:p>
        </w:tc>
        <w:tc>
          <w:tcPr>
            <w:tcW w:w="2311" w:type="dxa"/>
          </w:tcPr>
          <w:p w:rsidR="009D2099" w:rsidRDefault="00F1509E">
            <w:r>
              <w:t xml:space="preserve">None specified; see above </w:t>
            </w:r>
          </w:p>
        </w:tc>
        <w:tc>
          <w:tcPr>
            <w:tcW w:w="2337" w:type="dxa"/>
          </w:tcPr>
          <w:p w:rsidR="009D2099" w:rsidRDefault="00F1509E">
            <w:r>
              <w:t>Option to either forward all with appropriate [e.g. anti-spam] safeguards, or forward all requests concerning domain name abuse</w:t>
            </w:r>
          </w:p>
          <w:p w:rsidR="009D2099" w:rsidRDefault="009D2099"/>
        </w:tc>
        <w:tc>
          <w:tcPr>
            <w:tcW w:w="2309" w:type="dxa"/>
          </w:tcPr>
          <w:p w:rsidR="009D2099" w:rsidRDefault="009D2099"/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Relay of Non-electronic Communications</w:t>
            </w:r>
          </w:p>
        </w:tc>
        <w:tc>
          <w:tcPr>
            <w:tcW w:w="2311" w:type="dxa"/>
          </w:tcPr>
          <w:p w:rsidR="009D2099" w:rsidRDefault="00F1509E">
            <w:r>
              <w:t>None specified; see above</w:t>
            </w:r>
          </w:p>
        </w:tc>
        <w:tc>
          <w:tcPr>
            <w:tcW w:w="2337" w:type="dxa"/>
          </w:tcPr>
          <w:p w:rsidR="009D2099" w:rsidRDefault="009D2099"/>
        </w:tc>
        <w:tc>
          <w:tcPr>
            <w:tcW w:w="2309" w:type="dxa"/>
          </w:tcPr>
          <w:p w:rsidR="009D2099" w:rsidRDefault="00F1509E">
            <w:r>
              <w:t>TBD (including question of cost)</w:t>
            </w:r>
          </w:p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Definition of “Reveal”</w:t>
            </w:r>
          </w:p>
        </w:tc>
        <w:tc>
          <w:tcPr>
            <w:tcW w:w="2311" w:type="dxa"/>
          </w:tcPr>
          <w:p w:rsidR="009D2099" w:rsidRDefault="00F1509E">
            <w:r>
              <w:t>None</w:t>
            </w:r>
          </w:p>
        </w:tc>
        <w:tc>
          <w:tcPr>
            <w:tcW w:w="2337" w:type="dxa"/>
          </w:tcPr>
          <w:p w:rsidR="009D2099" w:rsidRDefault="00F1509E">
            <w:r>
              <w:t>Definitions for “Publication” vs. “Disclosure”</w:t>
            </w:r>
          </w:p>
          <w:p w:rsidR="009D2099" w:rsidRDefault="009D2099"/>
        </w:tc>
        <w:tc>
          <w:tcPr>
            <w:tcW w:w="2309" w:type="dxa"/>
          </w:tcPr>
          <w:p w:rsidR="009D2099" w:rsidRDefault="009D2099"/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When Reveal is Triggered</w:t>
            </w:r>
          </w:p>
        </w:tc>
        <w:tc>
          <w:tcPr>
            <w:tcW w:w="2311" w:type="dxa"/>
          </w:tcPr>
          <w:p w:rsidR="009D2099" w:rsidRDefault="00F1509E" w:rsidP="00DB50CF">
            <w:r>
              <w:t xml:space="preserve">None specified; </w:t>
            </w:r>
            <w:r w:rsidR="00DB50CF">
              <w:t>C</w:t>
            </w:r>
            <w:r>
              <w:t xml:space="preserve">overed </w:t>
            </w:r>
            <w:r w:rsidR="00DB50CF">
              <w:t xml:space="preserve">Providers </w:t>
            </w:r>
            <w:r>
              <w:lastRenderedPageBreak/>
              <w:t>only required to publish (and abide by) circumstances under which it Reveals (either disclosing or publishing) customer details</w:t>
            </w:r>
          </w:p>
        </w:tc>
        <w:tc>
          <w:tcPr>
            <w:tcW w:w="2337" w:type="dxa"/>
          </w:tcPr>
          <w:p w:rsidR="009D2099" w:rsidRDefault="00F1509E">
            <w:r>
              <w:lastRenderedPageBreak/>
              <w:t xml:space="preserve">Accredited P/P providers to specify </w:t>
            </w:r>
            <w:r>
              <w:lastRenderedPageBreak/>
              <w:t>grounds for Disclosure and Publication, and to specify consequences of Publication</w:t>
            </w:r>
          </w:p>
          <w:p w:rsidR="009D2099" w:rsidRDefault="009D2099"/>
        </w:tc>
        <w:tc>
          <w:tcPr>
            <w:tcW w:w="2309" w:type="dxa"/>
          </w:tcPr>
          <w:p w:rsidR="009D2099" w:rsidRDefault="00F1509E">
            <w:r>
              <w:lastRenderedPageBreak/>
              <w:t xml:space="preserve">Further requirements TBD </w:t>
            </w:r>
          </w:p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lastRenderedPageBreak/>
              <w:t>When P/P Service is Suspended / Terminated</w:t>
            </w:r>
          </w:p>
        </w:tc>
        <w:tc>
          <w:tcPr>
            <w:tcW w:w="2311" w:type="dxa"/>
          </w:tcPr>
          <w:p w:rsidR="009D2099" w:rsidRDefault="00F1509E">
            <w:r>
              <w:t>Covered Provider</w:t>
            </w:r>
            <w:r w:rsidR="00DB50CF">
              <w:t>s</w:t>
            </w:r>
            <w:r>
              <w:t xml:space="preserve"> required to publish circumstances under which service will be suspended or terminated</w:t>
            </w:r>
          </w:p>
        </w:tc>
        <w:tc>
          <w:tcPr>
            <w:tcW w:w="2337" w:type="dxa"/>
          </w:tcPr>
          <w:p w:rsidR="009D2099" w:rsidRDefault="009D2099"/>
        </w:tc>
        <w:tc>
          <w:tcPr>
            <w:tcW w:w="2309" w:type="dxa"/>
          </w:tcPr>
          <w:p w:rsidR="009D2099" w:rsidRDefault="00F1509E">
            <w:r>
              <w:t>WG observed that in practice this seemed to be used mostly where a customer has breached its contractual obligations (and not when a reveal request is complied with)</w:t>
            </w:r>
          </w:p>
          <w:p w:rsidR="009D2099" w:rsidRDefault="009D2099"/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 xml:space="preserve">Customer Notification </w:t>
            </w:r>
          </w:p>
        </w:tc>
        <w:tc>
          <w:tcPr>
            <w:tcW w:w="2311" w:type="dxa"/>
          </w:tcPr>
          <w:p w:rsidR="009D2099" w:rsidRDefault="00F1509E" w:rsidP="00DB50CF">
            <w:r>
              <w:t xml:space="preserve">None, except as specified in published policy for </w:t>
            </w:r>
            <w:r w:rsidR="00DB50CF">
              <w:t>C</w:t>
            </w:r>
            <w:r>
              <w:t xml:space="preserve">overed </w:t>
            </w:r>
            <w:r w:rsidR="00DB50CF">
              <w:t>P</w:t>
            </w:r>
            <w:r>
              <w:t>rovider</w:t>
            </w:r>
            <w:r w:rsidR="00DB50CF">
              <w:t>s</w:t>
            </w:r>
            <w:r>
              <w:t xml:space="preserve"> </w:t>
            </w:r>
          </w:p>
        </w:tc>
        <w:tc>
          <w:tcPr>
            <w:tcW w:w="2337" w:type="dxa"/>
          </w:tcPr>
          <w:p w:rsidR="009D2099" w:rsidRDefault="00F1509E">
            <w:r>
              <w:t>Accredited P/P providers to specify whether and when customers are notified of a Reveal request</w:t>
            </w:r>
          </w:p>
          <w:p w:rsidR="009D2099" w:rsidRDefault="009D2099"/>
          <w:p w:rsidR="009D2099" w:rsidRDefault="00F1509E">
            <w:r>
              <w:t>Accredited P/P providers to specify whether customer may opt to cancel domain name registration in lieu of Publication</w:t>
            </w:r>
          </w:p>
          <w:p w:rsidR="009D2099" w:rsidRDefault="009D2099"/>
        </w:tc>
        <w:tc>
          <w:tcPr>
            <w:tcW w:w="2309" w:type="dxa"/>
          </w:tcPr>
          <w:p w:rsidR="009D2099" w:rsidRDefault="009D2099"/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t>Requestor Notification</w:t>
            </w:r>
          </w:p>
        </w:tc>
        <w:tc>
          <w:tcPr>
            <w:tcW w:w="2311" w:type="dxa"/>
          </w:tcPr>
          <w:p w:rsidR="009D2099" w:rsidRDefault="00F1509E" w:rsidP="00DB50CF">
            <w:r>
              <w:t xml:space="preserve">None, except as specified in published policy for </w:t>
            </w:r>
            <w:r w:rsidR="00DB50CF">
              <w:t>C</w:t>
            </w:r>
            <w:r>
              <w:t xml:space="preserve">overed </w:t>
            </w:r>
            <w:r w:rsidR="00DB50CF">
              <w:t>P</w:t>
            </w:r>
            <w:r>
              <w:t>rovider</w:t>
            </w:r>
            <w:r w:rsidR="00DB50CF">
              <w:t>s</w:t>
            </w:r>
            <w:r>
              <w:t xml:space="preserve"> </w:t>
            </w:r>
          </w:p>
        </w:tc>
        <w:tc>
          <w:tcPr>
            <w:tcW w:w="2337" w:type="dxa"/>
          </w:tcPr>
          <w:p w:rsidR="009D2099" w:rsidRDefault="00F1509E">
            <w:r>
              <w:t>Accredited P/P providers to notify requestor if it also notifies customer</w:t>
            </w:r>
          </w:p>
          <w:p w:rsidR="009D2099" w:rsidRDefault="009D2099"/>
          <w:p w:rsidR="009D2099" w:rsidRDefault="00F1509E">
            <w:r>
              <w:t xml:space="preserve">Accredited P/P providers to notify requestor as to whether it will comply with </w:t>
            </w:r>
            <w:r>
              <w:lastRenderedPageBreak/>
              <w:t>request</w:t>
            </w:r>
          </w:p>
          <w:p w:rsidR="009D2099" w:rsidRDefault="009D2099"/>
        </w:tc>
        <w:tc>
          <w:tcPr>
            <w:tcW w:w="2309" w:type="dxa"/>
          </w:tcPr>
          <w:p w:rsidR="009D2099" w:rsidRDefault="009D2099"/>
        </w:tc>
      </w:tr>
      <w:tr w:rsidR="009D2099">
        <w:tc>
          <w:tcPr>
            <w:tcW w:w="1899" w:type="dxa"/>
          </w:tcPr>
          <w:p w:rsidR="009D2099" w:rsidRDefault="00F1509E">
            <w:pPr>
              <w:rPr>
                <w:b/>
              </w:rPr>
            </w:pPr>
            <w:r>
              <w:rPr>
                <w:b/>
              </w:rPr>
              <w:lastRenderedPageBreak/>
              <w:t>Other Reveal Issues</w:t>
            </w:r>
          </w:p>
        </w:tc>
        <w:tc>
          <w:tcPr>
            <w:tcW w:w="2311" w:type="dxa"/>
          </w:tcPr>
          <w:p w:rsidR="009D2099" w:rsidRDefault="00F1509E">
            <w:r>
              <w:t>None</w:t>
            </w:r>
          </w:p>
        </w:tc>
        <w:tc>
          <w:tcPr>
            <w:tcW w:w="2337" w:type="dxa"/>
          </w:tcPr>
          <w:p w:rsidR="009D2099" w:rsidRDefault="00F1509E">
            <w:r>
              <w:t>Accredited P/P providers to use standard form or include list of specific criteria for requests</w:t>
            </w:r>
          </w:p>
          <w:p w:rsidR="009D2099" w:rsidRDefault="009D2099"/>
          <w:p w:rsidR="009D2099" w:rsidRDefault="00F1509E">
            <w:r>
              <w:t>Provider’s decision whether to comply with a reveal request not to be conditioned on there having first been a relay request</w:t>
            </w:r>
          </w:p>
          <w:p w:rsidR="009D2099" w:rsidRDefault="009D2099"/>
        </w:tc>
        <w:tc>
          <w:tcPr>
            <w:tcW w:w="2309" w:type="dxa"/>
          </w:tcPr>
          <w:p w:rsidR="009D2099" w:rsidRDefault="009D2099"/>
        </w:tc>
      </w:tr>
    </w:tbl>
    <w:p w:rsidR="009D2099" w:rsidRDefault="009D2099"/>
    <w:sectPr w:rsidR="009D2099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CF" w:rsidRDefault="00DB50CF">
      <w:r>
        <w:separator/>
      </w:r>
    </w:p>
  </w:endnote>
  <w:endnote w:type="continuationSeparator" w:id="0">
    <w:p w:rsidR="00DB50CF" w:rsidRDefault="00DB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0CF" w:rsidRDefault="00DB50CF" w:rsidP="00DB50CF">
    <w:pPr>
      <w:pStyle w:val="DocID"/>
      <w:ind w:left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CF" w:rsidRDefault="00DB50CF">
      <w:r>
        <w:separator/>
      </w:r>
    </w:p>
  </w:footnote>
  <w:footnote w:type="continuationSeparator" w:id="0">
    <w:p w:rsidR="00DB50CF" w:rsidRDefault="00DB50CF">
      <w:r>
        <w:continuationSeparator/>
      </w:r>
    </w:p>
  </w:footnote>
  <w:footnote w:id="1">
    <w:p w:rsidR="00DB50CF" w:rsidRDefault="00DB50CF">
      <w:pPr>
        <w:pStyle w:val="FootnoteText"/>
      </w:pPr>
      <w:r>
        <w:rPr>
          <w:rStyle w:val="FootnoteReference"/>
        </w:rPr>
        <w:footnoteRef/>
      </w:r>
      <w:r>
        <w:t xml:space="preserve"> In this document, the term “Covered Providers” </w:t>
      </w:r>
      <w:r w:rsidR="00196750">
        <w:t xml:space="preserve">is used to </w:t>
      </w:r>
      <w:bookmarkStart w:id="0" w:name="_GoBack"/>
      <w:bookmarkEnd w:id="0"/>
      <w:r>
        <w:t>mean those P/P providers covered by the current interim P/P specification in the 2013 RAA (i.e. P/P services offered by Registrar or its Affiliates, including through Resellers (each as defined in the 2013 RAA)).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99"/>
    <w:rsid w:val="00196750"/>
    <w:rsid w:val="009D2099"/>
    <w:rsid w:val="00DB50CF"/>
    <w:rsid w:val="00F1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ocID">
    <w:name w:val="DocID"/>
    <w:basedOn w:val="Normal"/>
    <w:next w:val="Normal"/>
    <w:link w:val="DocIDChar"/>
    <w:pPr>
      <w:ind w:left="-1037"/>
    </w:pPr>
    <w:rPr>
      <w:rFonts w:ascii="Trebuchet MS" w:hAnsi="Trebuchet MS"/>
      <w:color w:val="000000"/>
      <w:sz w:val="16"/>
    </w:rPr>
  </w:style>
  <w:style w:type="character" w:customStyle="1" w:styleId="DocIDChar">
    <w:name w:val="DocID Char"/>
    <w:basedOn w:val="DefaultParagraphFont"/>
    <w:link w:val="DocID"/>
    <w:rPr>
      <w:rFonts w:ascii="Trebuchet MS" w:hAnsi="Trebuchet MS"/>
      <w:color w:val="000000"/>
      <w:sz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1509E"/>
  </w:style>
  <w:style w:type="character" w:customStyle="1" w:styleId="FootnoteTextChar">
    <w:name w:val="Footnote Text Char"/>
    <w:basedOn w:val="DefaultParagraphFont"/>
    <w:link w:val="FootnoteText"/>
    <w:uiPriority w:val="99"/>
    <w:rsid w:val="00F1509E"/>
  </w:style>
  <w:style w:type="character" w:styleId="FootnoteReference">
    <w:name w:val="footnote reference"/>
    <w:basedOn w:val="DefaultParagraphFont"/>
    <w:uiPriority w:val="99"/>
    <w:unhideWhenUsed/>
    <w:rsid w:val="00F1509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ocID">
    <w:name w:val="DocID"/>
    <w:basedOn w:val="Normal"/>
    <w:next w:val="Normal"/>
    <w:link w:val="DocIDChar"/>
    <w:pPr>
      <w:ind w:left="-1037"/>
    </w:pPr>
    <w:rPr>
      <w:rFonts w:ascii="Trebuchet MS" w:hAnsi="Trebuchet MS"/>
      <w:color w:val="000000"/>
      <w:sz w:val="16"/>
    </w:rPr>
  </w:style>
  <w:style w:type="character" w:customStyle="1" w:styleId="DocIDChar">
    <w:name w:val="DocID Char"/>
    <w:basedOn w:val="DefaultParagraphFont"/>
    <w:link w:val="DocID"/>
    <w:rPr>
      <w:rFonts w:ascii="Trebuchet MS" w:hAnsi="Trebuchet MS"/>
      <w:color w:val="000000"/>
      <w:sz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1509E"/>
  </w:style>
  <w:style w:type="character" w:customStyle="1" w:styleId="FootnoteTextChar">
    <w:name w:val="Footnote Text Char"/>
    <w:basedOn w:val="DefaultParagraphFont"/>
    <w:link w:val="FootnoteText"/>
    <w:uiPriority w:val="99"/>
    <w:rsid w:val="00F1509E"/>
  </w:style>
  <w:style w:type="character" w:styleId="FootnoteReference">
    <w:name w:val="footnote reference"/>
    <w:basedOn w:val="DefaultParagraphFont"/>
    <w:uiPriority w:val="99"/>
    <w:unhideWhenUsed/>
    <w:rsid w:val="00F15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968</Words>
  <Characters>5524</Characters>
  <Application>Microsoft Macintosh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Tabular Comparison - 20 Oct 2014.docx w/redline (6447625).DOCX</vt:lpstr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Wong</cp:lastModifiedBy>
  <cp:revision>2</cp:revision>
  <dcterms:created xsi:type="dcterms:W3CDTF">2014-10-22T16:11:00Z</dcterms:created>
  <dcterms:modified xsi:type="dcterms:W3CDTF">2014-10-22T16:11:00Z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6447625.1/40541-00001</vt:lpwstr>
  </property>
</Properties>
</file>