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4F" w:rsidRPr="00EC1AE8" w:rsidRDefault="00A9584F">
      <w:pPr>
        <w:rPr>
          <w:rFonts w:asciiTheme="majorHAnsi" w:hAnsiTheme="majorHAnsi"/>
          <w:sz w:val="22"/>
          <w:szCs w:val="22"/>
        </w:rPr>
      </w:pPr>
    </w:p>
    <w:p w:rsidR="00B11FA3" w:rsidRDefault="00B11FA3" w:rsidP="003A4B77">
      <w:pPr>
        <w:rPr>
          <w:rFonts w:asciiTheme="majorHAnsi" w:hAnsiTheme="majorHAnsi"/>
          <w:b/>
          <w:sz w:val="22"/>
          <w:szCs w:val="22"/>
        </w:rPr>
      </w:pPr>
      <w:r>
        <w:rPr>
          <w:rFonts w:asciiTheme="majorHAnsi" w:hAnsiTheme="majorHAnsi"/>
          <w:b/>
          <w:sz w:val="22"/>
          <w:szCs w:val="22"/>
        </w:rPr>
        <w:t>General:</w:t>
      </w:r>
    </w:p>
    <w:p w:rsidR="00B11FA3" w:rsidRDefault="00B11FA3" w:rsidP="003A4B77">
      <w:pPr>
        <w:rPr>
          <w:rFonts w:asciiTheme="majorHAnsi" w:hAnsiTheme="majorHAnsi"/>
          <w:b/>
          <w:sz w:val="22"/>
          <w:szCs w:val="22"/>
        </w:rPr>
      </w:pPr>
    </w:p>
    <w:p w:rsidR="00B11FA3" w:rsidRPr="00B11FA3" w:rsidRDefault="00B11FA3" w:rsidP="00B11FA3">
      <w:pPr>
        <w:pStyle w:val="ListParagraph"/>
        <w:numPr>
          <w:ilvl w:val="0"/>
          <w:numId w:val="2"/>
        </w:numPr>
        <w:rPr>
          <w:rFonts w:asciiTheme="majorHAnsi" w:hAnsiTheme="majorHAnsi"/>
          <w:sz w:val="22"/>
          <w:szCs w:val="22"/>
        </w:rPr>
      </w:pPr>
      <w:r>
        <w:rPr>
          <w:rFonts w:asciiTheme="majorHAnsi" w:hAnsiTheme="majorHAnsi"/>
          <w:sz w:val="22"/>
          <w:szCs w:val="22"/>
        </w:rPr>
        <w:t>Footnote 8 (Executive Summary): change text to</w:t>
      </w:r>
      <w:r w:rsidRPr="00B11FA3">
        <w:rPr>
          <w:rFonts w:asciiTheme="majorHAnsi" w:hAnsiTheme="majorHAnsi"/>
          <w:sz w:val="22"/>
          <w:szCs w:val="22"/>
        </w:rPr>
        <w:t xml:space="preserve"> “</w:t>
      </w:r>
      <w:r w:rsidRPr="00B11FA3">
        <w:rPr>
          <w:rFonts w:ascii="Calibri" w:hAnsi="Calibri" w:cs="Calibri"/>
          <w:sz w:val="22"/>
          <w:szCs w:val="22"/>
        </w:rPr>
        <w:t>Square brackets in this document generally indicate alternative formulations on the same topic that are under consideration by the Working Group.  Commenters are encouraged to specify which formulation they prefer, and why.” (Steve)</w:t>
      </w:r>
    </w:p>
    <w:p w:rsidR="00B11FA3" w:rsidRDefault="00B11FA3" w:rsidP="00B11FA3">
      <w:pPr>
        <w:rPr>
          <w:rFonts w:asciiTheme="majorHAnsi" w:hAnsiTheme="majorHAnsi"/>
          <w:sz w:val="22"/>
          <w:szCs w:val="22"/>
        </w:rPr>
      </w:pPr>
    </w:p>
    <w:p w:rsidR="00B11FA3" w:rsidRPr="003A4B77" w:rsidRDefault="00B11FA3" w:rsidP="00B11FA3">
      <w:pPr>
        <w:pStyle w:val="ListParagraph"/>
        <w:numPr>
          <w:ilvl w:val="0"/>
          <w:numId w:val="1"/>
        </w:numPr>
        <w:rPr>
          <w:rFonts w:asciiTheme="majorHAnsi" w:hAnsiTheme="majorHAnsi"/>
          <w:sz w:val="22"/>
          <w:szCs w:val="22"/>
        </w:rPr>
      </w:pPr>
      <w:r w:rsidRPr="003A4B77">
        <w:rPr>
          <w:rFonts w:asciiTheme="majorHAnsi" w:hAnsiTheme="majorHAnsi"/>
          <w:sz w:val="22"/>
          <w:szCs w:val="22"/>
        </w:rPr>
        <w:t xml:space="preserve">Delete all references to “reveal” </w:t>
      </w:r>
      <w:r>
        <w:rPr>
          <w:rFonts w:asciiTheme="majorHAnsi" w:hAnsiTheme="majorHAnsi"/>
          <w:sz w:val="22"/>
          <w:szCs w:val="22"/>
        </w:rPr>
        <w:t xml:space="preserve">(Holly) </w:t>
      </w:r>
      <w:r w:rsidRPr="003A4B77">
        <w:rPr>
          <w:rFonts w:asciiTheme="majorHAnsi" w:hAnsiTheme="majorHAnsi"/>
          <w:sz w:val="22"/>
          <w:szCs w:val="22"/>
        </w:rPr>
        <w:t>(</w:t>
      </w:r>
      <w:r w:rsidR="0076370B">
        <w:rPr>
          <w:rFonts w:asciiTheme="majorHAnsi" w:hAnsiTheme="majorHAnsi"/>
          <w:sz w:val="22"/>
          <w:szCs w:val="22"/>
        </w:rPr>
        <w:t>s</w:t>
      </w:r>
      <w:r w:rsidRPr="003A4B77">
        <w:rPr>
          <w:rFonts w:asciiTheme="majorHAnsi" w:hAnsiTheme="majorHAnsi"/>
          <w:sz w:val="22"/>
          <w:szCs w:val="22"/>
        </w:rPr>
        <w:t xml:space="preserve">taff </w:t>
      </w:r>
      <w:r w:rsidR="0076370B">
        <w:rPr>
          <w:rFonts w:asciiTheme="majorHAnsi" w:hAnsiTheme="majorHAnsi"/>
          <w:sz w:val="22"/>
          <w:szCs w:val="22"/>
        </w:rPr>
        <w:t>response</w:t>
      </w:r>
      <w:r w:rsidRPr="003A4B77">
        <w:rPr>
          <w:rFonts w:asciiTheme="majorHAnsi" w:hAnsiTheme="majorHAnsi"/>
          <w:sz w:val="22"/>
          <w:szCs w:val="22"/>
        </w:rPr>
        <w:t xml:space="preserve"> – </w:t>
      </w:r>
      <w:r w:rsidR="0076370B">
        <w:rPr>
          <w:rFonts w:asciiTheme="majorHAnsi" w:hAnsiTheme="majorHAnsi"/>
          <w:sz w:val="22"/>
          <w:szCs w:val="22"/>
        </w:rPr>
        <w:t>suggest</w:t>
      </w:r>
      <w:r w:rsidRPr="003A4B77">
        <w:rPr>
          <w:rFonts w:asciiTheme="majorHAnsi" w:hAnsiTheme="majorHAnsi"/>
          <w:sz w:val="22"/>
          <w:szCs w:val="22"/>
        </w:rPr>
        <w:t xml:space="preserve"> retain</w:t>
      </w:r>
      <w:r w:rsidR="0076370B">
        <w:rPr>
          <w:rFonts w:asciiTheme="majorHAnsi" w:hAnsiTheme="majorHAnsi"/>
          <w:sz w:val="22"/>
          <w:szCs w:val="22"/>
        </w:rPr>
        <w:t>ing</w:t>
      </w:r>
      <w:r w:rsidRPr="003A4B77">
        <w:rPr>
          <w:rFonts w:asciiTheme="majorHAnsi" w:hAnsiTheme="majorHAnsi"/>
          <w:sz w:val="22"/>
          <w:szCs w:val="22"/>
        </w:rPr>
        <w:t xml:space="preserve"> at least one initial mention, to make clear that we have developed definitions and hence are no longer using the hitherto-common word)</w:t>
      </w:r>
    </w:p>
    <w:p w:rsidR="00B11FA3" w:rsidRPr="00EC1AE8" w:rsidRDefault="00B11FA3" w:rsidP="00B11FA3">
      <w:pPr>
        <w:rPr>
          <w:rFonts w:asciiTheme="majorHAnsi" w:hAnsiTheme="majorHAnsi"/>
          <w:sz w:val="22"/>
          <w:szCs w:val="22"/>
        </w:rPr>
      </w:pPr>
    </w:p>
    <w:p w:rsidR="00B11FA3" w:rsidRPr="003A4B77" w:rsidRDefault="00B11FA3" w:rsidP="00B11FA3">
      <w:pPr>
        <w:pStyle w:val="ListParagraph"/>
        <w:numPr>
          <w:ilvl w:val="0"/>
          <w:numId w:val="1"/>
        </w:numPr>
        <w:rPr>
          <w:rFonts w:asciiTheme="majorHAnsi" w:hAnsiTheme="majorHAnsi"/>
          <w:sz w:val="22"/>
          <w:szCs w:val="22"/>
        </w:rPr>
      </w:pPr>
      <w:r w:rsidRPr="003A4B77">
        <w:rPr>
          <w:rFonts w:asciiTheme="majorHAnsi" w:hAnsiTheme="majorHAnsi"/>
          <w:sz w:val="22"/>
          <w:szCs w:val="22"/>
        </w:rPr>
        <w:t>Standardize use of “P/P services”, Provider etc.</w:t>
      </w:r>
      <w:r>
        <w:rPr>
          <w:rFonts w:asciiTheme="majorHAnsi" w:hAnsiTheme="majorHAnsi"/>
          <w:sz w:val="22"/>
          <w:szCs w:val="22"/>
        </w:rPr>
        <w:t xml:space="preserve"> (Darcy)</w:t>
      </w:r>
    </w:p>
    <w:p w:rsidR="00B11FA3" w:rsidRPr="00EC1AE8" w:rsidRDefault="00B11FA3" w:rsidP="00B11FA3">
      <w:pPr>
        <w:rPr>
          <w:rFonts w:asciiTheme="majorHAnsi" w:hAnsiTheme="majorHAnsi"/>
          <w:sz w:val="22"/>
          <w:szCs w:val="22"/>
        </w:rPr>
      </w:pPr>
    </w:p>
    <w:p w:rsidR="00B11FA3" w:rsidRDefault="0076370B" w:rsidP="0076370B">
      <w:pPr>
        <w:pStyle w:val="ListParagraph"/>
        <w:numPr>
          <w:ilvl w:val="0"/>
          <w:numId w:val="2"/>
        </w:numPr>
        <w:rPr>
          <w:rFonts w:asciiTheme="majorHAnsi" w:hAnsiTheme="majorHAnsi" w:cs="Consolas"/>
          <w:sz w:val="22"/>
          <w:szCs w:val="22"/>
        </w:rPr>
      </w:pPr>
      <w:r w:rsidRPr="003A4B77">
        <w:rPr>
          <w:rFonts w:asciiTheme="majorHAnsi" w:hAnsiTheme="majorHAnsi" w:cs="Consolas"/>
          <w:sz w:val="22"/>
          <w:szCs w:val="22"/>
        </w:rPr>
        <w:t>Standardize spelling (either “requester” or “requestor”)</w:t>
      </w:r>
      <w:r>
        <w:rPr>
          <w:rFonts w:asciiTheme="majorHAnsi" w:hAnsiTheme="majorHAnsi" w:cs="Consolas"/>
          <w:sz w:val="22"/>
          <w:szCs w:val="22"/>
        </w:rPr>
        <w:t xml:space="preserve"> (Darcy)</w:t>
      </w:r>
    </w:p>
    <w:p w:rsidR="00A22AE6" w:rsidRDefault="00A22AE6" w:rsidP="00A22AE6">
      <w:pPr>
        <w:rPr>
          <w:rFonts w:asciiTheme="majorHAnsi" w:hAnsiTheme="majorHAnsi" w:cs="Consolas"/>
          <w:sz w:val="22"/>
          <w:szCs w:val="22"/>
        </w:rPr>
      </w:pPr>
    </w:p>
    <w:p w:rsidR="00A22AE6" w:rsidRPr="00A22AE6" w:rsidRDefault="00A22AE6" w:rsidP="00A22AE6">
      <w:pPr>
        <w:pStyle w:val="ListParagraph"/>
        <w:numPr>
          <w:ilvl w:val="0"/>
          <w:numId w:val="2"/>
        </w:numPr>
        <w:rPr>
          <w:rFonts w:asciiTheme="majorHAnsi" w:hAnsiTheme="majorHAnsi" w:cs="Consolas"/>
          <w:sz w:val="22"/>
          <w:szCs w:val="22"/>
        </w:rPr>
      </w:pPr>
      <w:r>
        <w:rPr>
          <w:rFonts w:asciiTheme="majorHAnsi" w:hAnsiTheme="majorHAnsi" w:cs="Consolas"/>
          <w:sz w:val="22"/>
          <w:szCs w:val="22"/>
        </w:rPr>
        <w:t>Consider using page numbers (Kathy)</w:t>
      </w:r>
    </w:p>
    <w:p w:rsidR="00B11FA3" w:rsidRDefault="00B11FA3" w:rsidP="003A4B77">
      <w:pPr>
        <w:rPr>
          <w:rFonts w:asciiTheme="majorHAnsi" w:hAnsiTheme="majorHAnsi"/>
          <w:b/>
          <w:sz w:val="22"/>
          <w:szCs w:val="22"/>
        </w:rPr>
      </w:pPr>
    </w:p>
    <w:p w:rsidR="00FF696F" w:rsidRPr="003A4B77" w:rsidRDefault="00FF696F" w:rsidP="003A4B77">
      <w:pPr>
        <w:rPr>
          <w:rFonts w:asciiTheme="majorHAnsi" w:hAnsiTheme="majorHAnsi"/>
          <w:b/>
          <w:sz w:val="22"/>
          <w:szCs w:val="22"/>
        </w:rPr>
      </w:pPr>
      <w:r w:rsidRPr="003A4B77">
        <w:rPr>
          <w:rFonts w:asciiTheme="majorHAnsi" w:hAnsiTheme="majorHAnsi"/>
          <w:b/>
          <w:sz w:val="22"/>
          <w:szCs w:val="22"/>
        </w:rPr>
        <w:t>Section 1.3.1:</w:t>
      </w:r>
    </w:p>
    <w:p w:rsidR="00FF696F" w:rsidRPr="00EC1AE8" w:rsidRDefault="00FF696F">
      <w:pPr>
        <w:rPr>
          <w:rFonts w:asciiTheme="majorHAnsi" w:hAnsiTheme="majorHAnsi"/>
          <w:sz w:val="22"/>
          <w:szCs w:val="22"/>
        </w:rPr>
      </w:pPr>
    </w:p>
    <w:p w:rsidR="00FF696F" w:rsidRPr="003A4B77" w:rsidRDefault="00FF696F" w:rsidP="003A4B77">
      <w:pPr>
        <w:pStyle w:val="ListParagraph"/>
        <w:numPr>
          <w:ilvl w:val="0"/>
          <w:numId w:val="1"/>
        </w:numPr>
        <w:rPr>
          <w:rFonts w:asciiTheme="majorHAnsi" w:hAnsiTheme="majorHAnsi"/>
          <w:sz w:val="22"/>
          <w:szCs w:val="22"/>
        </w:rPr>
      </w:pPr>
      <w:r w:rsidRPr="003A4B77">
        <w:rPr>
          <w:rFonts w:asciiTheme="majorHAnsi" w:hAnsiTheme="majorHAnsi"/>
          <w:sz w:val="22"/>
          <w:szCs w:val="22"/>
        </w:rPr>
        <w:t>Move definitions (Disclosure, Publication) up to front in Section 1.3 (Executive Summary)</w:t>
      </w:r>
    </w:p>
    <w:p w:rsidR="00FF696F" w:rsidRPr="00EC1AE8" w:rsidRDefault="00FF696F">
      <w:pPr>
        <w:rPr>
          <w:rFonts w:asciiTheme="majorHAnsi" w:hAnsiTheme="majorHAnsi"/>
          <w:sz w:val="22"/>
          <w:szCs w:val="22"/>
        </w:rPr>
      </w:pPr>
    </w:p>
    <w:p w:rsidR="00FF696F" w:rsidRPr="003A4B77" w:rsidRDefault="00FF696F" w:rsidP="003A4B77">
      <w:pPr>
        <w:pStyle w:val="ListParagraph"/>
        <w:numPr>
          <w:ilvl w:val="0"/>
          <w:numId w:val="1"/>
        </w:numPr>
        <w:rPr>
          <w:rFonts w:asciiTheme="majorHAnsi" w:hAnsiTheme="majorHAnsi" w:cs="Consolas"/>
          <w:sz w:val="22"/>
          <w:szCs w:val="22"/>
        </w:rPr>
      </w:pPr>
      <w:r w:rsidRPr="003A4B77">
        <w:rPr>
          <w:rFonts w:asciiTheme="majorHAnsi" w:hAnsiTheme="majorHAnsi" w:cs="Consolas"/>
          <w:sz w:val="22"/>
          <w:szCs w:val="22"/>
        </w:rPr>
        <w:t>Add the term “requestor” to mean the individual/organization requesting contact details for the customer (Holly)</w:t>
      </w:r>
    </w:p>
    <w:p w:rsidR="00FF696F" w:rsidRPr="00EC1AE8" w:rsidRDefault="00FF696F">
      <w:pPr>
        <w:rPr>
          <w:rFonts w:asciiTheme="majorHAnsi" w:hAnsiTheme="majorHAnsi" w:cs="Consolas"/>
          <w:sz w:val="22"/>
          <w:szCs w:val="22"/>
        </w:rPr>
      </w:pPr>
    </w:p>
    <w:p w:rsidR="00FF696F" w:rsidRPr="003A4B77" w:rsidRDefault="00FF696F" w:rsidP="003A4B77">
      <w:pPr>
        <w:pStyle w:val="ListParagraph"/>
        <w:numPr>
          <w:ilvl w:val="0"/>
          <w:numId w:val="1"/>
        </w:numPr>
        <w:rPr>
          <w:rFonts w:asciiTheme="majorHAnsi" w:hAnsiTheme="majorHAnsi"/>
          <w:sz w:val="22"/>
          <w:szCs w:val="22"/>
        </w:rPr>
      </w:pPr>
      <w:r w:rsidRPr="003A4B77">
        <w:rPr>
          <w:rFonts w:asciiTheme="majorHAnsi" w:hAnsiTheme="majorHAnsi" w:cs="Consolas"/>
          <w:sz w:val="22"/>
          <w:szCs w:val="22"/>
        </w:rPr>
        <w:t>Add definition of “relay” to mean the P/P provider notifying the customer that the requestor is trying to contact the customer (Holly)</w:t>
      </w:r>
    </w:p>
    <w:p w:rsidR="00FF696F" w:rsidRPr="00EC1AE8" w:rsidRDefault="00FF696F">
      <w:pPr>
        <w:rPr>
          <w:rFonts w:asciiTheme="majorHAnsi" w:hAnsiTheme="majorHAnsi"/>
          <w:sz w:val="22"/>
          <w:szCs w:val="22"/>
        </w:rPr>
      </w:pPr>
    </w:p>
    <w:p w:rsidR="00EC1AE8" w:rsidRDefault="00EC1AE8" w:rsidP="003A4B77">
      <w:pPr>
        <w:pStyle w:val="ListParagraph"/>
        <w:numPr>
          <w:ilvl w:val="0"/>
          <w:numId w:val="1"/>
        </w:numPr>
        <w:rPr>
          <w:rFonts w:asciiTheme="majorHAnsi" w:hAnsiTheme="majorHAnsi"/>
          <w:sz w:val="22"/>
          <w:szCs w:val="22"/>
        </w:rPr>
      </w:pPr>
      <w:r w:rsidRPr="003A4B77">
        <w:rPr>
          <w:rFonts w:asciiTheme="majorHAnsi" w:hAnsiTheme="majorHAnsi"/>
          <w:sz w:val="22"/>
          <w:szCs w:val="22"/>
        </w:rPr>
        <w:t>Rec 4: Is the intention here that the P/P provider can rely on its Affiliated Registrar’s validation/verification? (Darcy)</w:t>
      </w:r>
    </w:p>
    <w:p w:rsidR="003A4B77" w:rsidRPr="003A4B77" w:rsidRDefault="003A4B77" w:rsidP="003A4B77">
      <w:pPr>
        <w:rPr>
          <w:rFonts w:asciiTheme="majorHAnsi" w:hAnsiTheme="majorHAnsi"/>
          <w:sz w:val="22"/>
          <w:szCs w:val="22"/>
        </w:rPr>
      </w:pPr>
    </w:p>
    <w:p w:rsidR="003A4B77" w:rsidRPr="003A4B77" w:rsidRDefault="003A4B77" w:rsidP="003A4B77">
      <w:pPr>
        <w:pStyle w:val="ListParagraph"/>
        <w:numPr>
          <w:ilvl w:val="0"/>
          <w:numId w:val="1"/>
        </w:numPr>
        <w:rPr>
          <w:rFonts w:asciiTheme="majorHAnsi" w:hAnsiTheme="majorHAnsi"/>
          <w:sz w:val="22"/>
          <w:szCs w:val="22"/>
        </w:rPr>
      </w:pPr>
      <w:r>
        <w:rPr>
          <w:rFonts w:asciiTheme="majorHAnsi" w:hAnsiTheme="majorHAnsi"/>
          <w:sz w:val="22"/>
          <w:szCs w:val="22"/>
        </w:rPr>
        <w:t>Rec 5-7:</w:t>
      </w:r>
      <w:r w:rsidRPr="003A4B77">
        <w:rPr>
          <w:rFonts w:asciiTheme="majorHAnsi" w:hAnsiTheme="majorHAnsi"/>
          <w:sz w:val="22"/>
          <w:szCs w:val="22"/>
        </w:rPr>
        <w:t xml:space="preserve"> </w:t>
      </w:r>
      <w:r w:rsidRPr="003A4B77">
        <w:rPr>
          <w:rStyle w:val="CommentReference"/>
          <w:rFonts w:asciiTheme="majorHAnsi" w:hAnsiTheme="majorHAnsi"/>
          <w:sz w:val="22"/>
          <w:szCs w:val="22"/>
        </w:rPr>
        <w:t>Should we require P/P providers’ terms of service to utilize the same definitions of Publish and Disclose as defined in the accreditation program?</w:t>
      </w:r>
      <w:r w:rsidR="0076370B">
        <w:rPr>
          <w:rStyle w:val="CommentReference"/>
          <w:rFonts w:asciiTheme="majorHAnsi" w:hAnsiTheme="majorHAnsi"/>
          <w:sz w:val="22"/>
          <w:szCs w:val="22"/>
        </w:rPr>
        <w:t xml:space="preserve"> (Darcy) (</w:t>
      </w:r>
      <w:proofErr w:type="gramStart"/>
      <w:r w:rsidR="0076370B">
        <w:rPr>
          <w:rStyle w:val="CommentReference"/>
          <w:rFonts w:asciiTheme="majorHAnsi" w:hAnsiTheme="majorHAnsi"/>
          <w:sz w:val="22"/>
          <w:szCs w:val="22"/>
        </w:rPr>
        <w:t>s</w:t>
      </w:r>
      <w:r>
        <w:rPr>
          <w:rStyle w:val="CommentReference"/>
          <w:rFonts w:asciiTheme="majorHAnsi" w:hAnsiTheme="majorHAnsi"/>
          <w:sz w:val="22"/>
          <w:szCs w:val="22"/>
        </w:rPr>
        <w:t>taff</w:t>
      </w:r>
      <w:proofErr w:type="gramEnd"/>
      <w:r>
        <w:rPr>
          <w:rStyle w:val="CommentReference"/>
          <w:rFonts w:asciiTheme="majorHAnsi" w:hAnsiTheme="majorHAnsi"/>
          <w:sz w:val="22"/>
          <w:szCs w:val="22"/>
        </w:rPr>
        <w:t xml:space="preserve"> comment – yes, does this need to be made clearer?)</w:t>
      </w:r>
    </w:p>
    <w:p w:rsidR="00EC1AE8" w:rsidRPr="003A4B77" w:rsidRDefault="00EC1AE8">
      <w:pPr>
        <w:rPr>
          <w:rFonts w:asciiTheme="majorHAnsi" w:hAnsiTheme="majorHAnsi"/>
          <w:sz w:val="22"/>
          <w:szCs w:val="22"/>
        </w:rPr>
      </w:pPr>
    </w:p>
    <w:p w:rsidR="00FF696F" w:rsidRPr="003A4B77" w:rsidRDefault="00FF696F" w:rsidP="003A4B77">
      <w:pPr>
        <w:pStyle w:val="ListParagraph"/>
        <w:widowControl w:val="0"/>
        <w:numPr>
          <w:ilvl w:val="0"/>
          <w:numId w:val="1"/>
        </w:numPr>
        <w:autoSpaceDE w:val="0"/>
        <w:autoSpaceDN w:val="0"/>
        <w:adjustRightInd w:val="0"/>
        <w:rPr>
          <w:rFonts w:asciiTheme="majorHAnsi" w:hAnsiTheme="majorHAnsi" w:cs="Consolas"/>
          <w:sz w:val="22"/>
          <w:szCs w:val="22"/>
        </w:rPr>
      </w:pPr>
      <w:r w:rsidRPr="003A4B77">
        <w:rPr>
          <w:rFonts w:asciiTheme="majorHAnsi" w:hAnsiTheme="majorHAnsi" w:cs="Consolas"/>
          <w:sz w:val="22"/>
          <w:szCs w:val="22"/>
        </w:rPr>
        <w:t>Rec 7, 3</w:t>
      </w:r>
      <w:r w:rsidRPr="003A4B77">
        <w:rPr>
          <w:rFonts w:asciiTheme="majorHAnsi" w:hAnsiTheme="majorHAnsi" w:cs="Consolas"/>
          <w:sz w:val="22"/>
          <w:szCs w:val="22"/>
          <w:vertAlign w:val="superscript"/>
        </w:rPr>
        <w:t>rd</w:t>
      </w:r>
      <w:r w:rsidRPr="003A4B77">
        <w:rPr>
          <w:rFonts w:asciiTheme="majorHAnsi" w:hAnsiTheme="majorHAnsi" w:cs="Consolas"/>
          <w:sz w:val="22"/>
          <w:szCs w:val="22"/>
        </w:rPr>
        <w:t xml:space="preserve"> bullet point: Why would a customer not be told when the provider has received a disclosure or publication request? (Holly) Possible answer: this may be the case for some requests, e.g. LEA (Darcy)</w:t>
      </w:r>
    </w:p>
    <w:p w:rsidR="00FF696F" w:rsidRPr="00EC1AE8" w:rsidRDefault="00FF696F" w:rsidP="00FF696F">
      <w:pPr>
        <w:widowControl w:val="0"/>
        <w:autoSpaceDE w:val="0"/>
        <w:autoSpaceDN w:val="0"/>
        <w:adjustRightInd w:val="0"/>
        <w:rPr>
          <w:rFonts w:asciiTheme="majorHAnsi" w:hAnsiTheme="majorHAnsi" w:cs="Consolas"/>
          <w:sz w:val="22"/>
          <w:szCs w:val="22"/>
        </w:rPr>
      </w:pPr>
    </w:p>
    <w:p w:rsidR="00FF696F" w:rsidRDefault="00FF696F" w:rsidP="003A4B77">
      <w:pPr>
        <w:pStyle w:val="ListParagraph"/>
        <w:widowControl w:val="0"/>
        <w:numPr>
          <w:ilvl w:val="0"/>
          <w:numId w:val="1"/>
        </w:numPr>
        <w:autoSpaceDE w:val="0"/>
        <w:autoSpaceDN w:val="0"/>
        <w:adjustRightInd w:val="0"/>
        <w:rPr>
          <w:rFonts w:asciiTheme="majorHAnsi" w:hAnsiTheme="majorHAnsi" w:cs="Consolas"/>
          <w:sz w:val="22"/>
          <w:szCs w:val="22"/>
        </w:rPr>
      </w:pPr>
      <w:r w:rsidRPr="003A4B77">
        <w:rPr>
          <w:rFonts w:asciiTheme="majorHAnsi" w:hAnsiTheme="majorHAnsi" w:cs="Consolas"/>
          <w:sz w:val="22"/>
          <w:szCs w:val="22"/>
        </w:rPr>
        <w:t>Rec 7, 3</w:t>
      </w:r>
      <w:r w:rsidRPr="003A4B77">
        <w:rPr>
          <w:rFonts w:asciiTheme="majorHAnsi" w:hAnsiTheme="majorHAnsi" w:cs="Consolas"/>
          <w:sz w:val="22"/>
          <w:szCs w:val="22"/>
          <w:vertAlign w:val="superscript"/>
        </w:rPr>
        <w:t>rd</w:t>
      </w:r>
      <w:r w:rsidRPr="003A4B77">
        <w:rPr>
          <w:rFonts w:asciiTheme="majorHAnsi" w:hAnsiTheme="majorHAnsi" w:cs="Consolas"/>
          <w:sz w:val="22"/>
          <w:szCs w:val="22"/>
        </w:rPr>
        <w:t xml:space="preserve"> bullet point: Not clear why that dot point implies that a customer might not choose to cancel its registration for both a disclosure and publication request (Holly)</w:t>
      </w:r>
    </w:p>
    <w:p w:rsidR="00B11FA3" w:rsidRPr="00B11FA3" w:rsidRDefault="00B11FA3" w:rsidP="00B11FA3">
      <w:pPr>
        <w:widowControl w:val="0"/>
        <w:autoSpaceDE w:val="0"/>
        <w:autoSpaceDN w:val="0"/>
        <w:adjustRightInd w:val="0"/>
        <w:rPr>
          <w:rFonts w:asciiTheme="majorHAnsi" w:hAnsiTheme="majorHAnsi" w:cs="Consolas"/>
          <w:sz w:val="22"/>
          <w:szCs w:val="22"/>
        </w:rPr>
      </w:pPr>
    </w:p>
    <w:p w:rsidR="00B11FA3" w:rsidRPr="003A4B77" w:rsidRDefault="00B11FA3" w:rsidP="003A4B77">
      <w:pPr>
        <w:pStyle w:val="ListParagraph"/>
        <w:widowControl w:val="0"/>
        <w:numPr>
          <w:ilvl w:val="0"/>
          <w:numId w:val="1"/>
        </w:numPr>
        <w:autoSpaceDE w:val="0"/>
        <w:autoSpaceDN w:val="0"/>
        <w:adjustRightInd w:val="0"/>
        <w:rPr>
          <w:rFonts w:asciiTheme="majorHAnsi" w:hAnsiTheme="majorHAnsi" w:cs="Consolas"/>
          <w:sz w:val="22"/>
          <w:szCs w:val="22"/>
        </w:rPr>
      </w:pPr>
      <w:r>
        <w:rPr>
          <w:rFonts w:asciiTheme="majorHAnsi" w:hAnsiTheme="majorHAnsi" w:cs="Consolas"/>
          <w:sz w:val="22"/>
          <w:szCs w:val="22"/>
        </w:rPr>
        <w:t>Rec 7, 3</w:t>
      </w:r>
      <w:r w:rsidRPr="00B11FA3">
        <w:rPr>
          <w:rFonts w:asciiTheme="majorHAnsi" w:hAnsiTheme="majorHAnsi" w:cs="Consolas"/>
          <w:sz w:val="22"/>
          <w:szCs w:val="22"/>
          <w:vertAlign w:val="superscript"/>
        </w:rPr>
        <w:t>rd</w:t>
      </w:r>
      <w:r>
        <w:rPr>
          <w:rFonts w:asciiTheme="majorHAnsi" w:hAnsiTheme="majorHAnsi" w:cs="Consolas"/>
          <w:sz w:val="22"/>
          <w:szCs w:val="22"/>
        </w:rPr>
        <w:t xml:space="preserve"> bullet point: Remove redundant/repetitive reference to Customer (Steve)</w:t>
      </w:r>
    </w:p>
    <w:p w:rsidR="00FF696F" w:rsidRPr="00EC1AE8" w:rsidRDefault="00FF696F" w:rsidP="00FF696F">
      <w:pPr>
        <w:widowControl w:val="0"/>
        <w:autoSpaceDE w:val="0"/>
        <w:autoSpaceDN w:val="0"/>
        <w:adjustRightInd w:val="0"/>
        <w:rPr>
          <w:rFonts w:asciiTheme="majorHAnsi" w:hAnsiTheme="majorHAnsi" w:cs="Consolas"/>
          <w:sz w:val="22"/>
          <w:szCs w:val="22"/>
        </w:rPr>
      </w:pPr>
    </w:p>
    <w:p w:rsidR="00FF696F" w:rsidRPr="003A4B77" w:rsidRDefault="00FF696F" w:rsidP="003A4B77">
      <w:pPr>
        <w:pStyle w:val="ListParagraph"/>
        <w:widowControl w:val="0"/>
        <w:numPr>
          <w:ilvl w:val="0"/>
          <w:numId w:val="1"/>
        </w:numPr>
        <w:autoSpaceDE w:val="0"/>
        <w:autoSpaceDN w:val="0"/>
        <w:adjustRightInd w:val="0"/>
        <w:rPr>
          <w:rFonts w:asciiTheme="majorHAnsi" w:hAnsiTheme="majorHAnsi" w:cs="Consolas"/>
          <w:sz w:val="22"/>
          <w:szCs w:val="22"/>
        </w:rPr>
      </w:pPr>
      <w:r w:rsidRPr="003A4B77">
        <w:rPr>
          <w:rFonts w:asciiTheme="majorHAnsi" w:hAnsiTheme="majorHAnsi" w:cs="Consolas"/>
          <w:sz w:val="22"/>
          <w:szCs w:val="22"/>
        </w:rPr>
        <w:t>Rec 8, 1</w:t>
      </w:r>
      <w:r w:rsidRPr="003A4B77">
        <w:rPr>
          <w:rFonts w:asciiTheme="majorHAnsi" w:hAnsiTheme="majorHAnsi" w:cs="Consolas"/>
          <w:sz w:val="22"/>
          <w:szCs w:val="22"/>
          <w:vertAlign w:val="superscript"/>
        </w:rPr>
        <w:t>st</w:t>
      </w:r>
      <w:r w:rsidRPr="003A4B77">
        <w:rPr>
          <w:rFonts w:asciiTheme="majorHAnsi" w:hAnsiTheme="majorHAnsi" w:cs="Consolas"/>
          <w:sz w:val="22"/>
          <w:szCs w:val="22"/>
        </w:rPr>
        <w:t xml:space="preserve"> bullet point: Correct “transfers to another P/P service” to “transfers to another registrar”</w:t>
      </w:r>
    </w:p>
    <w:p w:rsidR="00FF696F" w:rsidRPr="00EC1AE8" w:rsidRDefault="00FF696F" w:rsidP="00FF696F">
      <w:pPr>
        <w:widowControl w:val="0"/>
        <w:autoSpaceDE w:val="0"/>
        <w:autoSpaceDN w:val="0"/>
        <w:adjustRightInd w:val="0"/>
        <w:rPr>
          <w:rFonts w:asciiTheme="majorHAnsi" w:hAnsiTheme="majorHAnsi" w:cs="Consolas"/>
          <w:sz w:val="22"/>
          <w:szCs w:val="22"/>
        </w:rPr>
      </w:pPr>
    </w:p>
    <w:p w:rsidR="00FF696F" w:rsidRDefault="00FF696F" w:rsidP="003A4B77">
      <w:pPr>
        <w:pStyle w:val="ListParagraph"/>
        <w:widowControl w:val="0"/>
        <w:numPr>
          <w:ilvl w:val="0"/>
          <w:numId w:val="1"/>
        </w:numPr>
        <w:autoSpaceDE w:val="0"/>
        <w:autoSpaceDN w:val="0"/>
        <w:adjustRightInd w:val="0"/>
        <w:rPr>
          <w:rFonts w:asciiTheme="majorHAnsi" w:hAnsiTheme="majorHAnsi" w:cs="Consolas"/>
          <w:sz w:val="22"/>
          <w:szCs w:val="22"/>
        </w:rPr>
      </w:pPr>
      <w:r w:rsidRPr="003A4B77">
        <w:rPr>
          <w:rFonts w:asciiTheme="majorHAnsi" w:hAnsiTheme="majorHAnsi" w:cs="Consolas"/>
          <w:sz w:val="22"/>
          <w:szCs w:val="22"/>
        </w:rPr>
        <w:t>Rec 16, 1</w:t>
      </w:r>
      <w:r w:rsidRPr="003A4B77">
        <w:rPr>
          <w:rFonts w:asciiTheme="majorHAnsi" w:hAnsiTheme="majorHAnsi" w:cs="Consolas"/>
          <w:sz w:val="22"/>
          <w:szCs w:val="22"/>
          <w:vertAlign w:val="superscript"/>
        </w:rPr>
        <w:t>st</w:t>
      </w:r>
      <w:r w:rsidRPr="003A4B77">
        <w:rPr>
          <w:rFonts w:asciiTheme="majorHAnsi" w:hAnsiTheme="majorHAnsi" w:cs="Consolas"/>
          <w:sz w:val="22"/>
          <w:szCs w:val="22"/>
        </w:rPr>
        <w:t xml:space="preserve"> bullet point:  I’m not sure about the use of the term ‘abuse’ in the first sentence.  I think I know what is meant, but maybe something a bit less harsh such as ‘misuse or abuse’ (Holly)</w:t>
      </w:r>
    </w:p>
    <w:p w:rsidR="00B11FA3" w:rsidRPr="00B11FA3" w:rsidRDefault="00B11FA3" w:rsidP="00B11FA3">
      <w:pPr>
        <w:widowControl w:val="0"/>
        <w:autoSpaceDE w:val="0"/>
        <w:autoSpaceDN w:val="0"/>
        <w:adjustRightInd w:val="0"/>
        <w:rPr>
          <w:rFonts w:asciiTheme="majorHAnsi" w:hAnsiTheme="majorHAnsi" w:cs="Consolas"/>
          <w:sz w:val="22"/>
          <w:szCs w:val="22"/>
        </w:rPr>
      </w:pPr>
    </w:p>
    <w:p w:rsidR="00B11FA3" w:rsidRPr="003A4B77" w:rsidRDefault="00B11FA3" w:rsidP="003A4B77">
      <w:pPr>
        <w:pStyle w:val="ListParagraph"/>
        <w:widowControl w:val="0"/>
        <w:numPr>
          <w:ilvl w:val="0"/>
          <w:numId w:val="1"/>
        </w:numPr>
        <w:autoSpaceDE w:val="0"/>
        <w:autoSpaceDN w:val="0"/>
        <w:adjustRightInd w:val="0"/>
        <w:rPr>
          <w:rFonts w:asciiTheme="majorHAnsi" w:hAnsiTheme="majorHAnsi" w:cs="Consolas"/>
          <w:sz w:val="22"/>
          <w:szCs w:val="22"/>
        </w:rPr>
      </w:pPr>
      <w:r>
        <w:rPr>
          <w:rFonts w:asciiTheme="majorHAnsi" w:hAnsiTheme="majorHAnsi" w:cs="Consolas"/>
          <w:sz w:val="22"/>
          <w:szCs w:val="22"/>
        </w:rPr>
        <w:t>Rec 16, 3</w:t>
      </w:r>
      <w:r w:rsidRPr="00B11FA3">
        <w:rPr>
          <w:rFonts w:asciiTheme="majorHAnsi" w:hAnsiTheme="majorHAnsi" w:cs="Consolas"/>
          <w:sz w:val="22"/>
          <w:szCs w:val="22"/>
          <w:vertAlign w:val="superscript"/>
        </w:rPr>
        <w:t>rd</w:t>
      </w:r>
      <w:r>
        <w:rPr>
          <w:rFonts w:asciiTheme="majorHAnsi" w:hAnsiTheme="majorHAnsi" w:cs="Consolas"/>
          <w:sz w:val="22"/>
          <w:szCs w:val="22"/>
        </w:rPr>
        <w:t xml:space="preserve"> bullet point: Add “where the provider becomes aware” to beginning of sentence for clarification (Steve)</w:t>
      </w:r>
    </w:p>
    <w:p w:rsidR="00FF696F" w:rsidRPr="00EC1AE8" w:rsidRDefault="00FF696F" w:rsidP="00FF696F">
      <w:pPr>
        <w:widowControl w:val="0"/>
        <w:autoSpaceDE w:val="0"/>
        <w:autoSpaceDN w:val="0"/>
        <w:adjustRightInd w:val="0"/>
        <w:rPr>
          <w:rFonts w:asciiTheme="majorHAnsi" w:hAnsiTheme="majorHAnsi" w:cs="Consolas"/>
          <w:sz w:val="22"/>
          <w:szCs w:val="22"/>
        </w:rPr>
      </w:pPr>
    </w:p>
    <w:p w:rsidR="00FF696F" w:rsidRPr="003A4B77" w:rsidRDefault="00FF696F" w:rsidP="003A4B77">
      <w:pPr>
        <w:pStyle w:val="ListParagraph"/>
        <w:widowControl w:val="0"/>
        <w:numPr>
          <w:ilvl w:val="0"/>
          <w:numId w:val="1"/>
        </w:numPr>
        <w:autoSpaceDE w:val="0"/>
        <w:autoSpaceDN w:val="0"/>
        <w:adjustRightInd w:val="0"/>
        <w:rPr>
          <w:rFonts w:asciiTheme="majorHAnsi" w:hAnsiTheme="majorHAnsi" w:cs="Consolas"/>
          <w:sz w:val="22"/>
          <w:szCs w:val="22"/>
        </w:rPr>
      </w:pPr>
      <w:r w:rsidRPr="003A4B77">
        <w:rPr>
          <w:rFonts w:asciiTheme="majorHAnsi" w:hAnsiTheme="majorHAnsi" w:cs="Consolas"/>
          <w:sz w:val="22"/>
          <w:szCs w:val="22"/>
        </w:rPr>
        <w:t>Rec 17, definition of “LEA”: insert reference to RAA, specifically Section 3.18.2 (Darcy)</w:t>
      </w:r>
    </w:p>
    <w:p w:rsidR="00FF696F" w:rsidRPr="00EC1AE8" w:rsidRDefault="00FF696F" w:rsidP="00FF696F">
      <w:pPr>
        <w:widowControl w:val="0"/>
        <w:autoSpaceDE w:val="0"/>
        <w:autoSpaceDN w:val="0"/>
        <w:adjustRightInd w:val="0"/>
        <w:rPr>
          <w:rFonts w:asciiTheme="majorHAnsi" w:hAnsiTheme="majorHAnsi" w:cs="Consolas"/>
          <w:sz w:val="22"/>
          <w:szCs w:val="22"/>
        </w:rPr>
      </w:pPr>
    </w:p>
    <w:p w:rsidR="00FF696F" w:rsidRPr="003A4B77" w:rsidRDefault="00FF696F" w:rsidP="003A4B77">
      <w:pPr>
        <w:pStyle w:val="ListParagraph"/>
        <w:numPr>
          <w:ilvl w:val="0"/>
          <w:numId w:val="1"/>
        </w:numPr>
        <w:rPr>
          <w:rFonts w:asciiTheme="majorHAnsi" w:hAnsiTheme="majorHAnsi" w:cs="Consolas"/>
          <w:sz w:val="22"/>
          <w:szCs w:val="22"/>
        </w:rPr>
      </w:pPr>
      <w:r w:rsidRPr="003A4B77">
        <w:rPr>
          <w:rFonts w:asciiTheme="majorHAnsi" w:hAnsiTheme="majorHAnsi" w:cs="Consolas"/>
          <w:sz w:val="22"/>
          <w:szCs w:val="22"/>
        </w:rPr>
        <w:t xml:space="preserve">Rec 20:  Is there agreement on the process of de-accreditation of a p/p provider?  This assumes that there is, but </w:t>
      </w:r>
      <w:proofErr w:type="spellStart"/>
      <w:r w:rsidRPr="003A4B77">
        <w:rPr>
          <w:rFonts w:asciiTheme="majorHAnsi" w:hAnsiTheme="majorHAnsi" w:cs="Consolas"/>
          <w:sz w:val="22"/>
          <w:szCs w:val="22"/>
        </w:rPr>
        <w:t>I”m</w:t>
      </w:r>
      <w:proofErr w:type="spellEnd"/>
      <w:r w:rsidRPr="003A4B77">
        <w:rPr>
          <w:rFonts w:asciiTheme="majorHAnsi" w:hAnsiTheme="majorHAnsi" w:cs="Consolas"/>
          <w:sz w:val="22"/>
          <w:szCs w:val="22"/>
        </w:rPr>
        <w:t xml:space="preserve"> not sure we have agreed on what is meant.  Will a p/p provider be monitored for compliance, or will compliance with this specification be complaints driven?  Have we come to agreement on what to do when a complaint is upheld - about what, and what will be </w:t>
      </w:r>
      <w:proofErr w:type="gramStart"/>
      <w:r w:rsidRPr="003A4B77">
        <w:rPr>
          <w:rFonts w:asciiTheme="majorHAnsi" w:hAnsiTheme="majorHAnsi" w:cs="Consolas"/>
          <w:sz w:val="22"/>
          <w:szCs w:val="22"/>
        </w:rPr>
        <w:t>done.</w:t>
      </w:r>
      <w:proofErr w:type="gramEnd"/>
      <w:r w:rsidRPr="003A4B77">
        <w:rPr>
          <w:rFonts w:asciiTheme="majorHAnsi" w:hAnsiTheme="majorHAnsi" w:cs="Consolas"/>
          <w:sz w:val="22"/>
          <w:szCs w:val="22"/>
        </w:rPr>
        <w:t>  The text does mention that ICANN Compliance will have a role - which is? (Holly) (</w:t>
      </w:r>
      <w:r w:rsidR="0076370B">
        <w:rPr>
          <w:rFonts w:asciiTheme="majorHAnsi" w:hAnsiTheme="majorHAnsi" w:cs="Consolas"/>
          <w:sz w:val="22"/>
          <w:szCs w:val="22"/>
        </w:rPr>
        <w:t>s</w:t>
      </w:r>
      <w:r w:rsidRPr="003A4B77">
        <w:rPr>
          <w:rFonts w:asciiTheme="majorHAnsi" w:hAnsiTheme="majorHAnsi" w:cs="Consolas"/>
          <w:sz w:val="22"/>
          <w:szCs w:val="22"/>
        </w:rPr>
        <w:t xml:space="preserve">taff comment: </w:t>
      </w:r>
      <w:r w:rsidR="0076370B">
        <w:rPr>
          <w:rFonts w:asciiTheme="majorHAnsi" w:hAnsiTheme="majorHAnsi" w:cs="Consolas"/>
          <w:sz w:val="22"/>
          <w:szCs w:val="22"/>
        </w:rPr>
        <w:t xml:space="preserve">is this </w:t>
      </w:r>
      <w:r w:rsidRPr="003A4B77">
        <w:rPr>
          <w:rFonts w:asciiTheme="majorHAnsi" w:hAnsiTheme="majorHAnsi" w:cs="Consolas"/>
          <w:sz w:val="22"/>
          <w:szCs w:val="22"/>
        </w:rPr>
        <w:t>beyond WG scope?)</w:t>
      </w:r>
    </w:p>
    <w:p w:rsidR="00FF696F" w:rsidRPr="00EC1AE8" w:rsidRDefault="00FF696F" w:rsidP="00FF696F">
      <w:pPr>
        <w:rPr>
          <w:rFonts w:asciiTheme="majorHAnsi" w:hAnsiTheme="majorHAnsi" w:cs="Consolas"/>
          <w:sz w:val="22"/>
          <w:szCs w:val="22"/>
        </w:rPr>
      </w:pPr>
    </w:p>
    <w:p w:rsidR="00FF696F" w:rsidRPr="003A4B77" w:rsidRDefault="00FF696F" w:rsidP="003A4B77">
      <w:pPr>
        <w:pStyle w:val="ListParagraph"/>
        <w:numPr>
          <w:ilvl w:val="0"/>
          <w:numId w:val="1"/>
        </w:numPr>
        <w:rPr>
          <w:rFonts w:asciiTheme="majorHAnsi" w:hAnsiTheme="majorHAnsi" w:cs="Consolas"/>
          <w:sz w:val="22"/>
          <w:szCs w:val="22"/>
        </w:rPr>
      </w:pPr>
      <w:r w:rsidRPr="003A4B77">
        <w:rPr>
          <w:rFonts w:asciiTheme="majorHAnsi" w:hAnsiTheme="majorHAnsi" w:cs="Consolas"/>
          <w:sz w:val="22"/>
          <w:szCs w:val="22"/>
        </w:rPr>
        <w:t xml:space="preserve">Rec 20, finding a gaining provider: Will ICANN </w:t>
      </w:r>
      <w:proofErr w:type="gramStart"/>
      <w:r w:rsidRPr="003A4B77">
        <w:rPr>
          <w:rFonts w:asciiTheme="majorHAnsi" w:hAnsiTheme="majorHAnsi" w:cs="Consolas"/>
          <w:sz w:val="22"/>
          <w:szCs w:val="22"/>
        </w:rPr>
        <w:t>need</w:t>
      </w:r>
      <w:proofErr w:type="gramEnd"/>
      <w:r w:rsidRPr="003A4B77">
        <w:rPr>
          <w:rFonts w:asciiTheme="majorHAnsi" w:hAnsiTheme="majorHAnsi" w:cs="Consolas"/>
          <w:sz w:val="22"/>
          <w:szCs w:val="22"/>
        </w:rPr>
        <w:t xml:space="preserve"> to approve this, per current registrar model? (Darcy)</w:t>
      </w:r>
    </w:p>
    <w:p w:rsidR="00FF696F" w:rsidRPr="00EC1AE8" w:rsidRDefault="00FF696F" w:rsidP="00FF696F">
      <w:pPr>
        <w:rPr>
          <w:rFonts w:asciiTheme="majorHAnsi" w:hAnsiTheme="majorHAnsi" w:cs="Consolas"/>
          <w:sz w:val="22"/>
          <w:szCs w:val="22"/>
        </w:rPr>
      </w:pPr>
    </w:p>
    <w:p w:rsidR="00FF696F" w:rsidRPr="003A4B77" w:rsidRDefault="00FF696F" w:rsidP="003A4B77">
      <w:pPr>
        <w:rPr>
          <w:rFonts w:asciiTheme="majorHAnsi" w:hAnsiTheme="majorHAnsi" w:cs="Consolas"/>
          <w:b/>
          <w:sz w:val="22"/>
          <w:szCs w:val="22"/>
        </w:rPr>
      </w:pPr>
      <w:r w:rsidRPr="003A4B77">
        <w:rPr>
          <w:rFonts w:asciiTheme="majorHAnsi" w:hAnsiTheme="majorHAnsi" w:cs="Consolas"/>
          <w:b/>
          <w:sz w:val="22"/>
          <w:szCs w:val="22"/>
        </w:rPr>
        <w:t>Section 1.3.2:</w:t>
      </w:r>
    </w:p>
    <w:p w:rsidR="00FF696F" w:rsidRPr="00EC1AE8" w:rsidRDefault="00FF696F" w:rsidP="00FF696F">
      <w:pPr>
        <w:rPr>
          <w:rFonts w:asciiTheme="majorHAnsi" w:hAnsiTheme="majorHAnsi" w:cs="Consolas"/>
          <w:sz w:val="22"/>
          <w:szCs w:val="22"/>
        </w:rPr>
      </w:pPr>
    </w:p>
    <w:p w:rsidR="00FF696F" w:rsidRPr="003A4B77" w:rsidRDefault="00FF696F" w:rsidP="003A4B77">
      <w:pPr>
        <w:pStyle w:val="ListParagraph"/>
        <w:numPr>
          <w:ilvl w:val="0"/>
          <w:numId w:val="1"/>
        </w:numPr>
        <w:rPr>
          <w:rFonts w:asciiTheme="majorHAnsi" w:hAnsiTheme="majorHAnsi" w:cs="Consolas"/>
          <w:sz w:val="22"/>
          <w:szCs w:val="22"/>
        </w:rPr>
      </w:pPr>
      <w:r w:rsidRPr="003A4B77">
        <w:rPr>
          <w:rFonts w:asciiTheme="majorHAnsi" w:hAnsiTheme="majorHAnsi" w:cs="Consolas"/>
          <w:sz w:val="22"/>
          <w:szCs w:val="22"/>
        </w:rPr>
        <w:t>LEA section, remedies for unwarranted Publication: whose remedies? Registrants? (Darcy)</w:t>
      </w:r>
    </w:p>
    <w:p w:rsidR="00FF696F" w:rsidRDefault="00FF696F" w:rsidP="00FF696F">
      <w:pPr>
        <w:rPr>
          <w:rFonts w:asciiTheme="majorHAnsi" w:hAnsiTheme="majorHAnsi" w:cs="Consolas"/>
          <w:sz w:val="22"/>
          <w:szCs w:val="22"/>
        </w:rPr>
      </w:pPr>
    </w:p>
    <w:p w:rsidR="00A22AE6" w:rsidRPr="00A22AE6" w:rsidRDefault="00A22AE6" w:rsidP="00FF696F">
      <w:pPr>
        <w:rPr>
          <w:rFonts w:asciiTheme="majorHAnsi" w:hAnsiTheme="majorHAnsi" w:cs="Consolas"/>
          <w:b/>
          <w:sz w:val="22"/>
          <w:szCs w:val="22"/>
        </w:rPr>
      </w:pPr>
      <w:r w:rsidRPr="00A22AE6">
        <w:rPr>
          <w:rFonts w:asciiTheme="majorHAnsi" w:hAnsiTheme="majorHAnsi" w:cs="Consolas"/>
          <w:b/>
          <w:sz w:val="22"/>
          <w:szCs w:val="22"/>
        </w:rPr>
        <w:t>Section 1.3.3</w:t>
      </w:r>
    </w:p>
    <w:p w:rsidR="00A22AE6" w:rsidRDefault="00A22AE6" w:rsidP="00FF696F">
      <w:pPr>
        <w:rPr>
          <w:rFonts w:asciiTheme="majorHAnsi" w:hAnsiTheme="majorHAnsi" w:cs="Consolas"/>
          <w:sz w:val="22"/>
          <w:szCs w:val="22"/>
        </w:rPr>
      </w:pPr>
    </w:p>
    <w:p w:rsidR="00A22AE6" w:rsidRPr="00A22AE6" w:rsidRDefault="00A22AE6" w:rsidP="00A22AE6">
      <w:pPr>
        <w:pStyle w:val="ListParagraph"/>
        <w:numPr>
          <w:ilvl w:val="0"/>
          <w:numId w:val="1"/>
        </w:numPr>
        <w:rPr>
          <w:rFonts w:asciiTheme="majorHAnsi" w:hAnsiTheme="majorHAnsi" w:cs="Consolas"/>
          <w:sz w:val="22"/>
          <w:szCs w:val="22"/>
        </w:rPr>
      </w:pPr>
      <w:r>
        <w:rPr>
          <w:rFonts w:asciiTheme="majorHAnsi" w:hAnsiTheme="majorHAnsi" w:cs="Consolas"/>
          <w:sz w:val="22"/>
          <w:szCs w:val="22"/>
        </w:rPr>
        <w:t>See separate note sent by Kathy</w:t>
      </w:r>
      <w:bookmarkStart w:id="0" w:name="_GoBack"/>
      <w:bookmarkEnd w:id="0"/>
    </w:p>
    <w:p w:rsidR="00A22AE6" w:rsidRPr="00EC1AE8" w:rsidRDefault="00A22AE6" w:rsidP="00FF696F">
      <w:pPr>
        <w:rPr>
          <w:rFonts w:asciiTheme="majorHAnsi" w:hAnsiTheme="majorHAnsi" w:cs="Consolas"/>
          <w:sz w:val="22"/>
          <w:szCs w:val="22"/>
        </w:rPr>
      </w:pPr>
    </w:p>
    <w:p w:rsidR="00FF696F" w:rsidRPr="003A4B77" w:rsidRDefault="00EC1AE8" w:rsidP="003A4B77">
      <w:pPr>
        <w:rPr>
          <w:rFonts w:asciiTheme="majorHAnsi" w:hAnsiTheme="majorHAnsi" w:cs="Consolas"/>
          <w:b/>
          <w:sz w:val="22"/>
          <w:szCs w:val="22"/>
        </w:rPr>
      </w:pPr>
      <w:r w:rsidRPr="003A4B77">
        <w:rPr>
          <w:rFonts w:asciiTheme="majorHAnsi" w:hAnsiTheme="majorHAnsi" w:cs="Consolas"/>
          <w:b/>
          <w:sz w:val="22"/>
          <w:szCs w:val="22"/>
        </w:rPr>
        <w:t>Section 7:</w:t>
      </w:r>
    </w:p>
    <w:p w:rsidR="00EC1AE8" w:rsidRPr="00EC1AE8" w:rsidRDefault="00EC1AE8" w:rsidP="00FF696F">
      <w:pPr>
        <w:rPr>
          <w:rFonts w:asciiTheme="majorHAnsi" w:hAnsiTheme="majorHAnsi" w:cs="Consolas"/>
          <w:sz w:val="22"/>
          <w:szCs w:val="22"/>
        </w:rPr>
      </w:pPr>
    </w:p>
    <w:p w:rsidR="00EC1AE8" w:rsidRPr="003A4B77" w:rsidRDefault="00EC1AE8" w:rsidP="003A4B77">
      <w:pPr>
        <w:pStyle w:val="ListParagraph"/>
        <w:numPr>
          <w:ilvl w:val="0"/>
          <w:numId w:val="1"/>
        </w:numPr>
        <w:rPr>
          <w:rFonts w:asciiTheme="majorHAnsi" w:hAnsiTheme="majorHAnsi" w:cs="Consolas"/>
          <w:sz w:val="22"/>
          <w:szCs w:val="22"/>
        </w:rPr>
      </w:pPr>
      <w:r w:rsidRPr="003A4B77">
        <w:rPr>
          <w:rFonts w:asciiTheme="majorHAnsi" w:hAnsiTheme="majorHAnsi" w:cs="Consolas"/>
          <w:sz w:val="22"/>
          <w:szCs w:val="22"/>
        </w:rPr>
        <w:t xml:space="preserve">Page 69 (intro to Cat G): </w:t>
      </w:r>
      <w:r w:rsidRPr="003A4B77">
        <w:rPr>
          <w:rStyle w:val="CommentReference"/>
          <w:rFonts w:asciiTheme="majorHAnsi" w:hAnsiTheme="majorHAnsi"/>
          <w:sz w:val="22"/>
          <w:szCs w:val="22"/>
        </w:rPr>
        <w:t>Should we start this with a statement about the WG addressing P/P service suspension/cancelation in the “WG Notes on Category G” that follows?  It seems like we are jumping right to a different subject here.</w:t>
      </w:r>
    </w:p>
    <w:p w:rsidR="00FF696F" w:rsidRPr="00EC1AE8" w:rsidRDefault="00FF696F" w:rsidP="00FF696F">
      <w:pPr>
        <w:rPr>
          <w:rFonts w:asciiTheme="majorHAnsi" w:hAnsiTheme="majorHAnsi" w:cs="Consolas"/>
          <w:sz w:val="22"/>
          <w:szCs w:val="22"/>
        </w:rPr>
      </w:pPr>
    </w:p>
    <w:p w:rsidR="00FF696F" w:rsidRPr="003A4B77" w:rsidRDefault="00EC1AE8" w:rsidP="003A4B77">
      <w:pPr>
        <w:rPr>
          <w:rFonts w:asciiTheme="majorHAnsi" w:hAnsiTheme="majorHAnsi"/>
          <w:b/>
          <w:sz w:val="22"/>
          <w:szCs w:val="22"/>
        </w:rPr>
      </w:pPr>
      <w:r w:rsidRPr="003A4B77">
        <w:rPr>
          <w:rFonts w:asciiTheme="majorHAnsi" w:hAnsiTheme="majorHAnsi"/>
          <w:b/>
          <w:sz w:val="22"/>
          <w:szCs w:val="22"/>
        </w:rPr>
        <w:t>Annex E:</w:t>
      </w:r>
    </w:p>
    <w:p w:rsidR="00EC1AE8" w:rsidRPr="00EC1AE8" w:rsidRDefault="00EC1AE8" w:rsidP="00FF696F">
      <w:pPr>
        <w:rPr>
          <w:rFonts w:asciiTheme="majorHAnsi" w:hAnsiTheme="majorHAnsi"/>
          <w:sz w:val="22"/>
          <w:szCs w:val="22"/>
        </w:rPr>
      </w:pPr>
    </w:p>
    <w:p w:rsidR="00EC1AE8" w:rsidRPr="003A4B77" w:rsidRDefault="00EC1AE8" w:rsidP="003A4B77">
      <w:pPr>
        <w:pStyle w:val="ListParagraph"/>
        <w:numPr>
          <w:ilvl w:val="0"/>
          <w:numId w:val="1"/>
        </w:numPr>
        <w:rPr>
          <w:rFonts w:asciiTheme="majorHAnsi" w:hAnsiTheme="majorHAnsi"/>
          <w:sz w:val="22"/>
          <w:szCs w:val="22"/>
        </w:rPr>
      </w:pPr>
      <w:r w:rsidRPr="003A4B77">
        <w:rPr>
          <w:rFonts w:asciiTheme="majorHAnsi" w:hAnsiTheme="majorHAnsi"/>
          <w:sz w:val="22"/>
          <w:szCs w:val="22"/>
        </w:rPr>
        <w:t>Clarify that “Request Templates” in this document refers only to requests for Disclosure (Darcy)</w:t>
      </w:r>
    </w:p>
    <w:p w:rsidR="0076370B" w:rsidRPr="0076370B" w:rsidRDefault="0076370B" w:rsidP="0076370B">
      <w:pPr>
        <w:rPr>
          <w:rFonts w:asciiTheme="majorHAnsi" w:hAnsiTheme="majorHAnsi"/>
          <w:sz w:val="22"/>
          <w:szCs w:val="22"/>
        </w:rPr>
      </w:pPr>
    </w:p>
    <w:p w:rsidR="0076370B" w:rsidRDefault="0076370B" w:rsidP="003A4B77">
      <w:pPr>
        <w:pStyle w:val="ListParagraph"/>
        <w:numPr>
          <w:ilvl w:val="0"/>
          <w:numId w:val="1"/>
        </w:numPr>
        <w:rPr>
          <w:rFonts w:asciiTheme="majorHAnsi" w:hAnsiTheme="majorHAnsi"/>
          <w:sz w:val="22"/>
          <w:szCs w:val="22"/>
        </w:rPr>
      </w:pPr>
      <w:r>
        <w:rPr>
          <w:rFonts w:asciiTheme="majorHAnsi" w:hAnsiTheme="majorHAnsi"/>
          <w:sz w:val="22"/>
          <w:szCs w:val="22"/>
        </w:rPr>
        <w:t>Remove references to German notarized document as the English phrasing sufficiently describes the concept (David)</w:t>
      </w:r>
    </w:p>
    <w:p w:rsidR="0076370B" w:rsidRPr="0076370B" w:rsidRDefault="0076370B" w:rsidP="0076370B">
      <w:pPr>
        <w:rPr>
          <w:rFonts w:asciiTheme="majorHAnsi" w:hAnsiTheme="majorHAnsi"/>
          <w:sz w:val="22"/>
          <w:szCs w:val="22"/>
        </w:rPr>
      </w:pPr>
    </w:p>
    <w:p w:rsidR="0076370B" w:rsidRDefault="0076370B" w:rsidP="003A4B77">
      <w:pPr>
        <w:pStyle w:val="ListParagraph"/>
        <w:numPr>
          <w:ilvl w:val="0"/>
          <w:numId w:val="1"/>
        </w:numPr>
        <w:rPr>
          <w:rFonts w:asciiTheme="majorHAnsi" w:hAnsiTheme="majorHAnsi"/>
          <w:sz w:val="22"/>
          <w:szCs w:val="22"/>
        </w:rPr>
      </w:pPr>
      <w:r>
        <w:rPr>
          <w:rFonts w:asciiTheme="majorHAnsi" w:hAnsiTheme="majorHAnsi"/>
          <w:sz w:val="22"/>
          <w:szCs w:val="22"/>
        </w:rPr>
        <w:t>Section III.B: Specifically call out for public comment the need to state a certain number of days (David)</w:t>
      </w:r>
    </w:p>
    <w:p w:rsidR="0076370B" w:rsidRPr="0076370B" w:rsidRDefault="0076370B" w:rsidP="0076370B">
      <w:pPr>
        <w:rPr>
          <w:rFonts w:asciiTheme="majorHAnsi" w:hAnsiTheme="majorHAnsi"/>
          <w:sz w:val="22"/>
          <w:szCs w:val="22"/>
        </w:rPr>
      </w:pPr>
    </w:p>
    <w:p w:rsidR="0076370B" w:rsidRPr="0076370B" w:rsidRDefault="0076370B" w:rsidP="0076370B">
      <w:pPr>
        <w:pStyle w:val="ListParagraph"/>
        <w:numPr>
          <w:ilvl w:val="0"/>
          <w:numId w:val="1"/>
        </w:numPr>
        <w:rPr>
          <w:rFonts w:asciiTheme="majorHAnsi" w:hAnsiTheme="majorHAnsi"/>
          <w:sz w:val="22"/>
          <w:szCs w:val="22"/>
        </w:rPr>
      </w:pPr>
      <w:r w:rsidRPr="003A4B77">
        <w:rPr>
          <w:rFonts w:asciiTheme="majorHAnsi" w:hAnsiTheme="majorHAnsi"/>
          <w:sz w:val="22"/>
          <w:szCs w:val="22"/>
        </w:rPr>
        <w:t>Section III.F: Is this supposed to still be bracketed language? (Darcy)</w:t>
      </w:r>
    </w:p>
    <w:sectPr w:rsidR="0076370B" w:rsidRPr="0076370B"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75F07"/>
    <w:multiLevelType w:val="hybridMultilevel"/>
    <w:tmpl w:val="5B60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171240"/>
    <w:multiLevelType w:val="hybridMultilevel"/>
    <w:tmpl w:val="BC2C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6F"/>
    <w:rsid w:val="003A4B77"/>
    <w:rsid w:val="0076370B"/>
    <w:rsid w:val="00A22AE6"/>
    <w:rsid w:val="00A9584F"/>
    <w:rsid w:val="00B11FA3"/>
    <w:rsid w:val="00D16ED3"/>
    <w:rsid w:val="00EC1AE8"/>
    <w:rsid w:val="00FF6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EC1AE8"/>
    <w:rPr>
      <w:sz w:val="16"/>
      <w:szCs w:val="16"/>
    </w:rPr>
  </w:style>
  <w:style w:type="paragraph" w:styleId="ListParagraph">
    <w:name w:val="List Paragraph"/>
    <w:basedOn w:val="Normal"/>
    <w:uiPriority w:val="34"/>
    <w:qFormat/>
    <w:rsid w:val="003A4B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EC1AE8"/>
    <w:rPr>
      <w:sz w:val="16"/>
      <w:szCs w:val="16"/>
    </w:rPr>
  </w:style>
  <w:style w:type="paragraph" w:styleId="ListParagraph">
    <w:name w:val="List Paragraph"/>
    <w:basedOn w:val="Normal"/>
    <w:uiPriority w:val="34"/>
    <w:qFormat/>
    <w:rsid w:val="003A4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3209</Characters>
  <Application>Microsoft Macintosh Word</Application>
  <DocSecurity>0</DocSecurity>
  <Lines>26</Lines>
  <Paragraphs>7</Paragraphs>
  <ScaleCrop>false</ScaleCrop>
  <Company>ICANN</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cp:lastPrinted>2015-04-28T13:10:00Z</cp:lastPrinted>
  <dcterms:created xsi:type="dcterms:W3CDTF">2015-04-28T13:46:00Z</dcterms:created>
  <dcterms:modified xsi:type="dcterms:W3CDTF">2015-04-28T13:46:00Z</dcterms:modified>
</cp:coreProperties>
</file>