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509D2" w14:textId="77777777" w:rsidR="003F7A6A" w:rsidRDefault="0064220B" w:rsidP="003F7A6A">
      <w:pPr>
        <w:widowControl w:val="0"/>
        <w:suppressAutoHyphens/>
        <w:rPr>
          <w:rFonts w:ascii="Calibri" w:hAnsi="Calibri" w:cs="Calibri"/>
          <w:b/>
          <w:bCs/>
          <w:color w:val="000000"/>
          <w:sz w:val="22"/>
          <w:szCs w:val="22"/>
        </w:rPr>
      </w:pPr>
      <w:r>
        <w:rPr>
          <w:rFonts w:ascii="Calibri" w:hAnsi="Calibri"/>
          <w:b/>
          <w:sz w:val="22"/>
        </w:rPr>
        <w:t xml:space="preserve">PPSAI – Category </w:t>
      </w:r>
      <w:r w:rsidR="003F7A6A">
        <w:rPr>
          <w:rFonts w:ascii="Calibri" w:hAnsi="Calibri"/>
          <w:b/>
          <w:sz w:val="22"/>
        </w:rPr>
        <w:t xml:space="preserve">D - </w:t>
      </w:r>
      <w:r w:rsidR="003F7A6A">
        <w:rPr>
          <w:rFonts w:ascii="Calibri" w:hAnsi="Calibri" w:cs="Calibri"/>
          <w:b/>
          <w:bCs/>
          <w:color w:val="000000"/>
          <w:sz w:val="22"/>
          <w:szCs w:val="22"/>
        </w:rPr>
        <w:t>CONTACT</w:t>
      </w:r>
      <w:r w:rsidR="003F7A6A" w:rsidRPr="003C79F8">
        <w:rPr>
          <w:rFonts w:ascii="Calibri" w:hAnsi="Calibri" w:cs="Calibri"/>
          <w:b/>
          <w:bCs/>
          <w:color w:val="000000"/>
          <w:sz w:val="22"/>
          <w:szCs w:val="22"/>
        </w:rPr>
        <w:t xml:space="preserve"> point provided by each privacy/proxy service</w:t>
      </w:r>
      <w:r w:rsidR="003F7A6A">
        <w:rPr>
          <w:rFonts w:ascii="Calibri" w:hAnsi="Calibri" w:cs="Calibri"/>
          <w:b/>
          <w:bCs/>
          <w:color w:val="000000"/>
          <w:sz w:val="22"/>
          <w:szCs w:val="22"/>
        </w:rPr>
        <w:t xml:space="preserve"> </w:t>
      </w:r>
    </w:p>
    <w:p w14:paraId="4036A3A4" w14:textId="77777777" w:rsidR="00EC7DD9" w:rsidRDefault="003F7A6A" w:rsidP="003F7A6A">
      <w:pPr>
        <w:widowControl w:val="0"/>
        <w:pBdr>
          <w:bottom w:val="single" w:sz="4" w:space="1" w:color="auto"/>
        </w:pBdr>
        <w:suppressAutoHyphens/>
        <w:rPr>
          <w:rFonts w:ascii="Calibri" w:hAnsi="Calibri"/>
          <w:b/>
          <w:sz w:val="22"/>
        </w:rPr>
      </w:pPr>
      <w:r>
        <w:rPr>
          <w:rFonts w:ascii="Calibri" w:hAnsi="Calibri" w:cs="Calibri"/>
          <w:b/>
          <w:bCs/>
          <w:color w:val="000000"/>
          <w:sz w:val="22"/>
          <w:szCs w:val="22"/>
        </w:rPr>
        <w:t xml:space="preserve">Question 1 - </w:t>
      </w:r>
      <w:r>
        <w:rPr>
          <w:rFonts w:ascii="Calibri" w:hAnsi="Calibri" w:cs="Calibri"/>
          <w:sz w:val="22"/>
          <w:szCs w:val="22"/>
        </w:rPr>
        <w:t xml:space="preserve">What measures should be taken to ensure </w:t>
      </w:r>
      <w:proofErr w:type="spellStart"/>
      <w:r>
        <w:rPr>
          <w:rFonts w:ascii="Calibri" w:hAnsi="Calibri" w:cs="Calibri"/>
          <w:sz w:val="22"/>
          <w:szCs w:val="22"/>
        </w:rPr>
        <w:t>contactability</w:t>
      </w:r>
      <w:proofErr w:type="spellEnd"/>
      <w:r>
        <w:rPr>
          <w:rFonts w:ascii="Calibri" w:hAnsi="Calibri" w:cs="Calibri"/>
          <w:sz w:val="22"/>
          <w:szCs w:val="22"/>
        </w:rPr>
        <w:t xml:space="preserve"> and responsiveness of the providers? </w:t>
      </w:r>
    </w:p>
    <w:p w14:paraId="0B30A937" w14:textId="77777777" w:rsidR="00EC7DD9" w:rsidRDefault="00EC7DD9" w:rsidP="003F7A6A">
      <w:pPr>
        <w:contextualSpacing/>
        <w:rPr>
          <w:rFonts w:ascii="Calibri" w:hAnsi="Calibri"/>
          <w:b/>
          <w:sz w:val="22"/>
        </w:rPr>
      </w:pPr>
    </w:p>
    <w:p w14:paraId="64D86644" w14:textId="77777777" w:rsidR="008464FD" w:rsidRDefault="008464FD" w:rsidP="009D16AA">
      <w:pPr>
        <w:contextualSpacing/>
        <w:rPr>
          <w:rFonts w:ascii="Calibri" w:hAnsi="Calibri"/>
          <w:b/>
          <w:sz w:val="22"/>
        </w:rPr>
      </w:pPr>
      <w:r>
        <w:rPr>
          <w:rFonts w:ascii="Calibri" w:hAnsi="Calibri"/>
          <w:b/>
          <w:sz w:val="22"/>
        </w:rPr>
        <w:t>Background information relevant to this question:</w:t>
      </w:r>
    </w:p>
    <w:p w14:paraId="5CD81CE3" w14:textId="77777777" w:rsidR="008464FD" w:rsidRDefault="008464FD" w:rsidP="009D16AA">
      <w:pPr>
        <w:ind w:left="360"/>
        <w:contextualSpacing/>
        <w:rPr>
          <w:rFonts w:ascii="Calibri" w:hAnsi="Calibri"/>
          <w:sz w:val="22"/>
        </w:rPr>
      </w:pPr>
    </w:p>
    <w:p w14:paraId="69D916AA" w14:textId="77777777" w:rsidR="008464FD" w:rsidRDefault="008464FD" w:rsidP="009D16AA">
      <w:pPr>
        <w:contextualSpacing/>
        <w:rPr>
          <w:rFonts w:ascii="Calibri" w:hAnsi="Calibri"/>
          <w:b/>
          <w:sz w:val="22"/>
        </w:rPr>
      </w:pPr>
      <w:r w:rsidRPr="008464FD">
        <w:rPr>
          <w:rFonts w:ascii="Calibri" w:hAnsi="Calibri"/>
          <w:b/>
          <w:sz w:val="22"/>
        </w:rPr>
        <w:t>Information from the Whois Studies</w:t>
      </w:r>
    </w:p>
    <w:p w14:paraId="48476EAB" w14:textId="77777777" w:rsidR="009D16AA" w:rsidRPr="00AB442E" w:rsidRDefault="009D16AA" w:rsidP="009D16AA">
      <w:pPr>
        <w:widowControl w:val="0"/>
        <w:autoSpaceDE w:val="0"/>
        <w:autoSpaceDN w:val="0"/>
        <w:adjustRightInd w:val="0"/>
        <w:rPr>
          <w:rFonts w:ascii="Calibri" w:eastAsia="ＭＳ 明朝" w:hAnsi="Calibri"/>
          <w:i/>
          <w:sz w:val="22"/>
          <w:szCs w:val="22"/>
        </w:rPr>
      </w:pPr>
      <w:r w:rsidRPr="00AB442E">
        <w:rPr>
          <w:rFonts w:ascii="Calibri" w:eastAsia="ＭＳ 明朝" w:hAnsi="Calibri"/>
          <w:i/>
          <w:sz w:val="22"/>
          <w:szCs w:val="22"/>
        </w:rPr>
        <w:t>WHOIS Proxy/Privacy Reveal &amp; Relay Feasibility Survey Report:</w:t>
      </w:r>
    </w:p>
    <w:p w14:paraId="776D7A13" w14:textId="0BBDFB38" w:rsidR="00277722" w:rsidRDefault="0002707B" w:rsidP="009003D0">
      <w:pPr>
        <w:widowControl w:val="0"/>
        <w:numPr>
          <w:ilvl w:val="0"/>
          <w:numId w:val="10"/>
        </w:numPr>
        <w:autoSpaceDE w:val="0"/>
        <w:autoSpaceDN w:val="0"/>
        <w:adjustRightInd w:val="0"/>
        <w:rPr>
          <w:rFonts w:ascii="Calibri" w:eastAsia="ＭＳ 明朝" w:hAnsi="Calibri"/>
          <w:sz w:val="22"/>
          <w:szCs w:val="22"/>
        </w:rPr>
      </w:pPr>
      <w:r>
        <w:rPr>
          <w:rFonts w:ascii="Calibri" w:eastAsia="ＭＳ 明朝" w:hAnsi="Calibri"/>
          <w:sz w:val="22"/>
          <w:szCs w:val="22"/>
        </w:rPr>
        <w:t xml:space="preserve">4.2.2. Interviewee observations: </w:t>
      </w:r>
      <w:r w:rsidR="009D16AA" w:rsidRPr="00AB442E">
        <w:rPr>
          <w:rFonts w:ascii="Calibri" w:eastAsia="ＭＳ 明朝" w:hAnsi="Calibri"/>
          <w:sz w:val="22"/>
          <w:szCs w:val="22"/>
        </w:rPr>
        <w:t>Processes for responding to requests appear to be ad-hoc and performed manually on a case</w:t>
      </w:r>
      <w:r w:rsidR="001E2FDC">
        <w:rPr>
          <w:rFonts w:ascii="Calibri" w:eastAsia="ＭＳ 明朝" w:hAnsi="Calibri"/>
          <w:sz w:val="22"/>
          <w:szCs w:val="22"/>
        </w:rPr>
        <w:t>-</w:t>
      </w:r>
      <w:r w:rsidR="009D16AA" w:rsidRPr="00AB442E">
        <w:rPr>
          <w:rFonts w:ascii="Calibri" w:eastAsia="ＭＳ 明朝" w:hAnsi="Calibri"/>
          <w:sz w:val="22"/>
          <w:szCs w:val="22"/>
        </w:rPr>
        <w:t xml:space="preserve">by-case basis. Responders said that they automatically co-operate with local law enforcement but have trouble authenticating requests from overseas. Those initiating requests expressed </w:t>
      </w:r>
      <w:r w:rsidR="009D16AA" w:rsidRPr="00AB442E">
        <w:rPr>
          <w:rFonts w:ascii="Calibri" w:eastAsia="ＭＳ 明朝" w:hAnsi="Calibri" w:cs="pÙøì$5'74¡Ç¨Å©@"/>
          <w:sz w:val="22"/>
          <w:szCs w:val="22"/>
        </w:rPr>
        <w:t>dissatisfaction with providers’ responsiveness. It is not clear if the reported inconsistency</w:t>
      </w:r>
      <w:r w:rsidR="009D16AA" w:rsidRPr="00AB442E">
        <w:rPr>
          <w:rFonts w:ascii="Calibri" w:eastAsia="ＭＳ 明朝" w:hAnsi="Calibri"/>
          <w:sz w:val="22"/>
          <w:szCs w:val="22"/>
        </w:rPr>
        <w:t xml:space="preserve"> between those on the supply and demand side of relay and reveal requests is caused by structural problems or process/communications failures.</w:t>
      </w:r>
    </w:p>
    <w:p w14:paraId="3DF11095" w14:textId="77777777" w:rsidR="0002707B" w:rsidRPr="0002707B" w:rsidRDefault="0002707B" w:rsidP="0002707B">
      <w:pPr>
        <w:widowControl w:val="0"/>
        <w:numPr>
          <w:ilvl w:val="0"/>
          <w:numId w:val="10"/>
        </w:numPr>
        <w:autoSpaceDE w:val="0"/>
        <w:autoSpaceDN w:val="0"/>
        <w:adjustRightInd w:val="0"/>
        <w:rPr>
          <w:rFonts w:asciiTheme="majorHAnsi" w:eastAsia="ＭＳ 明朝" w:hAnsiTheme="majorHAnsi"/>
          <w:sz w:val="22"/>
          <w:szCs w:val="22"/>
        </w:rPr>
      </w:pPr>
      <w:r>
        <w:rPr>
          <w:rFonts w:asciiTheme="majorHAnsi" w:eastAsia="ＭＳ 明朝" w:hAnsiTheme="majorHAnsi"/>
          <w:sz w:val="22"/>
          <w:szCs w:val="22"/>
        </w:rPr>
        <w:t xml:space="preserve">5.1.1. </w:t>
      </w:r>
      <w:r w:rsidRPr="0002707B">
        <w:rPr>
          <w:rFonts w:asciiTheme="majorHAnsi" w:eastAsia="ＭＳ 明朝" w:hAnsiTheme="majorHAnsi"/>
          <w:sz w:val="22"/>
          <w:szCs w:val="22"/>
        </w:rPr>
        <w:t xml:space="preserve">Recruiting Participants: </w:t>
      </w:r>
      <w:proofErr w:type="gramStart"/>
      <w:r w:rsidRPr="0002707B">
        <w:rPr>
          <w:rFonts w:asciiTheme="majorHAnsi" w:eastAsia="ＭＳ 明朝" w:hAnsiTheme="majorHAnsi"/>
          <w:sz w:val="22"/>
          <w:szCs w:val="22"/>
        </w:rPr>
        <w:t>Considerable effort was expended by the survey team</w:t>
      </w:r>
      <w:proofErr w:type="gramEnd"/>
      <w:r w:rsidRPr="0002707B">
        <w:rPr>
          <w:rFonts w:asciiTheme="majorHAnsi" w:eastAsia="ＭＳ 明朝" w:hAnsiTheme="majorHAnsi"/>
          <w:sz w:val="22"/>
          <w:szCs w:val="22"/>
        </w:rPr>
        <w:t xml:space="preserve"> in the last week of October to contact privacy and proxy providers. This proved to be a challenging and painstaking task. There is no central register of these providers or their contact details. ICANN staff helped locate a breakdown of providers and the number of domain names they serve.14 This list was supplemented by provider names known to the survey team and others arising from earlier research by NORC.15</w:t>
      </w:r>
    </w:p>
    <w:p w14:paraId="6415EA56" w14:textId="77777777" w:rsidR="009003D0" w:rsidRPr="0002707B" w:rsidRDefault="0002707B" w:rsidP="0002707B">
      <w:pPr>
        <w:widowControl w:val="0"/>
        <w:autoSpaceDE w:val="0"/>
        <w:autoSpaceDN w:val="0"/>
        <w:adjustRightInd w:val="0"/>
        <w:ind w:left="720"/>
        <w:rPr>
          <w:rFonts w:asciiTheme="majorHAnsi" w:eastAsia="ＭＳ 明朝" w:hAnsiTheme="majorHAnsi"/>
          <w:sz w:val="22"/>
          <w:szCs w:val="22"/>
        </w:rPr>
      </w:pPr>
      <w:r w:rsidRPr="0002707B">
        <w:rPr>
          <w:rFonts w:asciiTheme="majorHAnsi" w:eastAsia="ＭＳ 明朝" w:hAnsiTheme="majorHAnsi"/>
          <w:sz w:val="22"/>
          <w:szCs w:val="22"/>
        </w:rPr>
        <w:t xml:space="preserve">The web sites of the 50 largest providers were located and manually checked. Some sites provided no contact details at all. Others offered web forms for requesting information or technical support, usually protected by CAPTCHA mechanisms. Where these forms were available, invitations to take part in the survey were sent manually. Many of these web forms </w:t>
      </w:r>
      <w:r w:rsidR="009003D0" w:rsidRPr="0002707B">
        <w:rPr>
          <w:rFonts w:asciiTheme="majorHAnsi" w:eastAsia="ＭＳ 明朝" w:hAnsiTheme="majorHAnsi"/>
          <w:sz w:val="22"/>
          <w:szCs w:val="22"/>
        </w:rPr>
        <w:t>require users to choose from a predefined list of request categories—e.g., sales inquiries or technical support—that did not fit well with a notification about the survey, and it is not clear how effective that communication channel was. Further attempts were made to contact privacy and proxy providers. The WHOIS entries for their domain names were checked and email was sent to the published Technical and Administrative Contacts inviting them to participate. (Ironically, almost all of those Contacts were themselves obscured by the use of privacy and proxy services.) Many of the privacy and proxy providers identified by this outreach effort were either operated by or had close business relationships with ICANN-accredited registrars. Although all of those emails were successfully delivered, it is not known if they were read or acted upon. The feasibility survey design did not include correlation of individual outreach efforts with subsequent participation in the survey, so it is not possible to quantify the impact of those efforts on survey participation.</w:t>
      </w:r>
    </w:p>
    <w:p w14:paraId="37CBC6A6" w14:textId="77777777" w:rsidR="009D16AA" w:rsidRDefault="009D16AA" w:rsidP="009D16AA">
      <w:pPr>
        <w:contextualSpacing/>
        <w:rPr>
          <w:rFonts w:ascii="Calibri" w:hAnsi="Calibri"/>
          <w:b/>
          <w:sz w:val="22"/>
        </w:rPr>
      </w:pPr>
    </w:p>
    <w:p w14:paraId="1F90AD3E" w14:textId="77777777" w:rsidR="00277722" w:rsidRDefault="00277722" w:rsidP="009D16AA">
      <w:pPr>
        <w:contextualSpacing/>
        <w:rPr>
          <w:rFonts w:ascii="Calibri" w:hAnsi="Calibri"/>
          <w:b/>
          <w:sz w:val="22"/>
        </w:rPr>
      </w:pPr>
      <w:r>
        <w:rPr>
          <w:rFonts w:ascii="Calibri" w:hAnsi="Calibri"/>
          <w:b/>
          <w:sz w:val="22"/>
        </w:rPr>
        <w:t>Information from the EWG Survey</w:t>
      </w:r>
    </w:p>
    <w:p w14:paraId="0C52DC53" w14:textId="77777777" w:rsidR="00277722" w:rsidRPr="00AB442E" w:rsidRDefault="00277722" w:rsidP="009D16AA">
      <w:pPr>
        <w:widowControl w:val="0"/>
        <w:autoSpaceDE w:val="0"/>
        <w:autoSpaceDN w:val="0"/>
        <w:adjustRightInd w:val="0"/>
        <w:rPr>
          <w:rFonts w:ascii="Calibri" w:eastAsia="ＭＳ 明朝" w:hAnsi="Calibri"/>
          <w:color w:val="4F82BE"/>
          <w:sz w:val="22"/>
          <w:szCs w:val="22"/>
        </w:rPr>
      </w:pPr>
      <w:r w:rsidRPr="00AB442E">
        <w:rPr>
          <w:rFonts w:ascii="Calibri" w:eastAsia="ＭＳ 明朝" w:hAnsi="Calibri"/>
          <w:color w:val="4F82BE"/>
          <w:sz w:val="22"/>
          <w:szCs w:val="22"/>
        </w:rPr>
        <w:t>P/P Service Contracts and Customer Support</w:t>
      </w:r>
    </w:p>
    <w:p w14:paraId="61DB037D" w14:textId="77777777" w:rsidR="00277722" w:rsidRPr="00AB442E" w:rsidRDefault="00277722" w:rsidP="009D16AA">
      <w:pPr>
        <w:widowControl w:val="0"/>
        <w:autoSpaceDE w:val="0"/>
        <w:autoSpaceDN w:val="0"/>
        <w:adjustRightInd w:val="0"/>
        <w:rPr>
          <w:rFonts w:ascii="Calibri" w:eastAsia="ＭＳ 明朝" w:hAnsi="Calibri"/>
          <w:color w:val="000000"/>
          <w:sz w:val="22"/>
          <w:szCs w:val="22"/>
        </w:rPr>
      </w:pPr>
      <w:r w:rsidRPr="00AB442E">
        <w:rPr>
          <w:rFonts w:ascii="Calibri" w:eastAsia="ＭＳ 明朝" w:hAnsi="Calibri"/>
          <w:color w:val="000000"/>
          <w:sz w:val="22"/>
          <w:szCs w:val="22"/>
        </w:rPr>
        <w:t xml:space="preserve">7 providers published customer contact information on their website, but just two of those explicitly included a phone number. One said that </w:t>
      </w:r>
      <w:r w:rsidRPr="00AB442E">
        <w:rPr>
          <w:rFonts w:ascii="Calibri" w:eastAsia="ＭＳ 明朝" w:hAnsi="Calibri"/>
          <w:color w:val="000000"/>
          <w:sz w:val="22"/>
          <w:szCs w:val="22"/>
        </w:rPr>
        <w:lastRenderedPageBreak/>
        <w:t xml:space="preserve">contacts were not published because they varied by TLD and customer, while another explained, </w:t>
      </w:r>
      <w:r w:rsidRPr="00AB442E">
        <w:rPr>
          <w:rFonts w:ascii="Calibri" w:eastAsia="ＭＳ 明朝" w:hAnsi="Calibri" w:cs="pÙøì$5'74¡Ç¨Å©@"/>
          <w:color w:val="000000"/>
          <w:sz w:val="22"/>
          <w:szCs w:val="22"/>
        </w:rPr>
        <w:t>“</w:t>
      </w:r>
      <w:r w:rsidRPr="00AB442E">
        <w:rPr>
          <w:rFonts w:ascii="Calibri" w:eastAsia="ＭＳ 明朝" w:hAnsi="Calibri"/>
          <w:color w:val="000000"/>
          <w:sz w:val="22"/>
          <w:szCs w:val="22"/>
        </w:rPr>
        <w:t>P/P Provider contact information constantly changes and is not posted on the website for that reason</w:t>
      </w:r>
      <w:r w:rsidRPr="00AB442E">
        <w:rPr>
          <w:rFonts w:ascii="Calibri" w:eastAsia="ＭＳ 明朝" w:hAnsi="Calibri" w:cs="pÙøì$5'74¡Ç¨Å©@"/>
          <w:color w:val="000000"/>
          <w:sz w:val="22"/>
          <w:szCs w:val="22"/>
        </w:rPr>
        <w:t>.”</w:t>
      </w:r>
    </w:p>
    <w:p w14:paraId="2A21BA1D" w14:textId="77777777" w:rsidR="00277722" w:rsidRPr="00AB442E" w:rsidRDefault="00277722" w:rsidP="009D16AA">
      <w:pPr>
        <w:widowControl w:val="0"/>
        <w:autoSpaceDE w:val="0"/>
        <w:autoSpaceDN w:val="0"/>
        <w:adjustRightInd w:val="0"/>
        <w:rPr>
          <w:rFonts w:ascii="Calibri" w:eastAsia="ＭＳ 明朝" w:hAnsi="Calibri"/>
          <w:color w:val="000000"/>
          <w:sz w:val="22"/>
          <w:szCs w:val="22"/>
        </w:rPr>
      </w:pPr>
      <w:r w:rsidRPr="00AB442E">
        <w:rPr>
          <w:rFonts w:ascii="Calibri" w:eastAsia="ＭＳ 明朝" w:hAnsi="Calibri"/>
          <w:color w:val="000000"/>
          <w:sz w:val="22"/>
          <w:szCs w:val="22"/>
        </w:rPr>
        <w:t>Ten providers supplied links to their P/P service contracts1 and described customer support services:</w:t>
      </w:r>
    </w:p>
    <w:p w14:paraId="6AEDACFF" w14:textId="77777777" w:rsidR="00277722" w:rsidRPr="00AB442E" w:rsidRDefault="00277722" w:rsidP="009D16AA">
      <w:pPr>
        <w:widowControl w:val="0"/>
        <w:numPr>
          <w:ilvl w:val="0"/>
          <w:numId w:val="9"/>
        </w:numPr>
        <w:autoSpaceDE w:val="0"/>
        <w:autoSpaceDN w:val="0"/>
        <w:adjustRightInd w:val="0"/>
        <w:rPr>
          <w:rFonts w:ascii="Calibri" w:eastAsia="ＭＳ 明朝" w:hAnsi="Calibri"/>
          <w:color w:val="000000"/>
          <w:sz w:val="22"/>
          <w:szCs w:val="22"/>
        </w:rPr>
      </w:pPr>
      <w:r w:rsidRPr="00AB442E">
        <w:rPr>
          <w:rFonts w:ascii="Calibri" w:eastAsia="ＭＳ 明朝" w:hAnsi="Calibri"/>
          <w:color w:val="000000"/>
          <w:sz w:val="22"/>
          <w:szCs w:val="22"/>
        </w:rPr>
        <w:t xml:space="preserve">Privacy and Proxy are available to be purchased and applied to domain names either directly, during the </w:t>
      </w:r>
      <w:r w:rsidRPr="00AB442E">
        <w:rPr>
          <w:rFonts w:ascii="Calibri" w:eastAsia="ＭＳ 明朝" w:hAnsi="Calibri" w:cs="pÙøì$5'74¡Ç¨Å©@"/>
          <w:color w:val="000000"/>
          <w:sz w:val="22"/>
          <w:szCs w:val="22"/>
        </w:rPr>
        <w:t>normal domain order process as well as within the member’s console. Once the service has been purchased</w:t>
      </w:r>
      <w:r w:rsidRPr="00AB442E">
        <w:rPr>
          <w:rFonts w:ascii="Calibri" w:eastAsia="ＭＳ 明朝" w:hAnsi="Calibri"/>
          <w:color w:val="000000"/>
          <w:sz w:val="22"/>
          <w:szCs w:val="22"/>
        </w:rPr>
        <w:t xml:space="preserve"> and assuming it remains active the client can either active or deactivate the service at will. Customer Support can access the same via the customer management system.</w:t>
      </w:r>
    </w:p>
    <w:p w14:paraId="3B1290E6" w14:textId="77777777" w:rsidR="00277722" w:rsidRPr="00AB442E" w:rsidRDefault="00277722" w:rsidP="00277722">
      <w:pPr>
        <w:widowControl w:val="0"/>
        <w:numPr>
          <w:ilvl w:val="0"/>
          <w:numId w:val="9"/>
        </w:numPr>
        <w:autoSpaceDE w:val="0"/>
        <w:autoSpaceDN w:val="0"/>
        <w:adjustRightInd w:val="0"/>
        <w:rPr>
          <w:rFonts w:ascii="Calibri" w:eastAsia="ＭＳ 明朝" w:hAnsi="Calibri"/>
          <w:color w:val="000000"/>
          <w:sz w:val="22"/>
          <w:szCs w:val="22"/>
        </w:rPr>
      </w:pPr>
      <w:r w:rsidRPr="00AB442E">
        <w:rPr>
          <w:rFonts w:ascii="Calibri" w:eastAsia="ＭＳ 明朝" w:hAnsi="Calibri"/>
          <w:color w:val="000000"/>
          <w:sz w:val="22"/>
          <w:szCs w:val="22"/>
        </w:rPr>
        <w:t>Our customer support is available by phone or by email P/P. Customers access these services like any other customer would.</w:t>
      </w:r>
    </w:p>
    <w:p w14:paraId="524D8E83" w14:textId="77777777" w:rsidR="00277722" w:rsidRPr="00AB442E" w:rsidRDefault="00277722" w:rsidP="00277722">
      <w:pPr>
        <w:widowControl w:val="0"/>
        <w:numPr>
          <w:ilvl w:val="0"/>
          <w:numId w:val="9"/>
        </w:numPr>
        <w:autoSpaceDE w:val="0"/>
        <w:autoSpaceDN w:val="0"/>
        <w:adjustRightInd w:val="0"/>
        <w:rPr>
          <w:rFonts w:ascii="Calibri" w:eastAsia="ＭＳ 明朝" w:hAnsi="Calibri"/>
          <w:color w:val="000000"/>
          <w:sz w:val="22"/>
          <w:szCs w:val="22"/>
        </w:rPr>
      </w:pPr>
      <w:r w:rsidRPr="00AB442E">
        <w:rPr>
          <w:rFonts w:ascii="Calibri" w:eastAsia="ＭＳ 明朝" w:hAnsi="Calibri"/>
          <w:color w:val="000000"/>
          <w:sz w:val="22"/>
          <w:szCs w:val="22"/>
        </w:rPr>
        <w:t xml:space="preserve">At registration, we offer our own proxy details for [redacted] </w:t>
      </w:r>
      <w:proofErr w:type="spellStart"/>
      <w:r w:rsidRPr="00AB442E">
        <w:rPr>
          <w:rFonts w:ascii="Calibri" w:eastAsia="ＭＳ 明朝" w:hAnsi="Calibri"/>
          <w:color w:val="000000"/>
          <w:sz w:val="22"/>
          <w:szCs w:val="22"/>
        </w:rPr>
        <w:t>ccTLDs</w:t>
      </w:r>
      <w:proofErr w:type="spellEnd"/>
      <w:r w:rsidRPr="00AB442E">
        <w:rPr>
          <w:rFonts w:ascii="Calibri" w:eastAsia="ＭＳ 明朝" w:hAnsi="Calibri"/>
          <w:color w:val="000000"/>
          <w:sz w:val="22"/>
          <w:szCs w:val="22"/>
        </w:rPr>
        <w:t xml:space="preserve"> (not </w:t>
      </w:r>
      <w:proofErr w:type="spellStart"/>
      <w:r w:rsidRPr="00AB442E">
        <w:rPr>
          <w:rFonts w:ascii="Calibri" w:eastAsia="ＭＳ 明朝" w:hAnsi="Calibri"/>
          <w:color w:val="000000"/>
          <w:sz w:val="22"/>
          <w:szCs w:val="22"/>
        </w:rPr>
        <w:t>gTLDs</w:t>
      </w:r>
      <w:proofErr w:type="spellEnd"/>
      <w:r w:rsidRPr="00AB442E">
        <w:rPr>
          <w:rFonts w:ascii="Calibri" w:eastAsia="ＭＳ 明朝" w:hAnsi="Calibri"/>
          <w:color w:val="000000"/>
          <w:sz w:val="22"/>
          <w:szCs w:val="22"/>
        </w:rPr>
        <w:t>) in case the customer refuses to disclose passport numbers, VAT numbers, etc. Customer requests are processed to either register with privacy or enable privacy afterward, again using our own privacy details.</w:t>
      </w:r>
    </w:p>
    <w:p w14:paraId="046111F5" w14:textId="77777777" w:rsidR="00277722" w:rsidRPr="00AB442E" w:rsidRDefault="00277722" w:rsidP="00277722">
      <w:pPr>
        <w:widowControl w:val="0"/>
        <w:numPr>
          <w:ilvl w:val="0"/>
          <w:numId w:val="9"/>
        </w:numPr>
        <w:autoSpaceDE w:val="0"/>
        <w:autoSpaceDN w:val="0"/>
        <w:adjustRightInd w:val="0"/>
        <w:rPr>
          <w:rFonts w:ascii="Calibri" w:eastAsia="ＭＳ 明朝" w:hAnsi="Calibri"/>
          <w:color w:val="000000"/>
          <w:sz w:val="22"/>
          <w:szCs w:val="22"/>
        </w:rPr>
      </w:pPr>
      <w:r w:rsidRPr="00AB442E">
        <w:rPr>
          <w:rFonts w:ascii="Calibri" w:eastAsia="ＭＳ 明朝" w:hAnsi="Calibri"/>
          <w:color w:val="000000"/>
          <w:sz w:val="22"/>
          <w:szCs w:val="22"/>
        </w:rPr>
        <w:t xml:space="preserve">Each of our clients has a dedicated account manager that he </w:t>
      </w:r>
      <w:proofErr w:type="gramStart"/>
      <w:r w:rsidRPr="00AB442E">
        <w:rPr>
          <w:rFonts w:ascii="Calibri" w:eastAsia="ＭＳ 明朝" w:hAnsi="Calibri"/>
          <w:color w:val="000000"/>
          <w:sz w:val="22"/>
          <w:szCs w:val="22"/>
        </w:rPr>
        <w:t>can</w:t>
      </w:r>
      <w:proofErr w:type="gramEnd"/>
      <w:r w:rsidRPr="00AB442E">
        <w:rPr>
          <w:rFonts w:ascii="Calibri" w:eastAsia="ＭＳ 明朝" w:hAnsi="Calibri"/>
          <w:color w:val="000000"/>
          <w:sz w:val="22"/>
          <w:szCs w:val="22"/>
        </w:rPr>
        <w:t xml:space="preserve"> call/email/contact by mail directly. When the dedicated account manager is not present, one of his colleagues will be able to respond directly to the client.</w:t>
      </w:r>
    </w:p>
    <w:p w14:paraId="1AFA99BB" w14:textId="77777777" w:rsidR="00277722" w:rsidRPr="00AB442E" w:rsidRDefault="00277722" w:rsidP="00277722">
      <w:pPr>
        <w:widowControl w:val="0"/>
        <w:numPr>
          <w:ilvl w:val="0"/>
          <w:numId w:val="9"/>
        </w:numPr>
        <w:autoSpaceDE w:val="0"/>
        <w:autoSpaceDN w:val="0"/>
        <w:adjustRightInd w:val="0"/>
        <w:rPr>
          <w:rFonts w:ascii="Calibri" w:eastAsia="ＭＳ 明朝" w:hAnsi="Calibri"/>
          <w:color w:val="000000"/>
          <w:sz w:val="22"/>
          <w:szCs w:val="22"/>
        </w:rPr>
      </w:pPr>
      <w:r w:rsidRPr="00AB442E">
        <w:rPr>
          <w:rFonts w:ascii="Calibri" w:eastAsia="ＭＳ 明朝" w:hAnsi="Calibri"/>
          <w:color w:val="000000"/>
          <w:sz w:val="22"/>
          <w:szCs w:val="22"/>
        </w:rPr>
        <w:t>Our clients or potential ones can also call/email/write to our commercial team. Some offers can be ordered online and some others like Proxy or Privacy can't.</w:t>
      </w:r>
    </w:p>
    <w:p w14:paraId="1AE8577A" w14:textId="77777777" w:rsidR="00277722" w:rsidRPr="00AB442E" w:rsidRDefault="00277722" w:rsidP="00277722">
      <w:pPr>
        <w:widowControl w:val="0"/>
        <w:numPr>
          <w:ilvl w:val="0"/>
          <w:numId w:val="9"/>
        </w:numPr>
        <w:autoSpaceDE w:val="0"/>
        <w:autoSpaceDN w:val="0"/>
        <w:adjustRightInd w:val="0"/>
        <w:rPr>
          <w:rFonts w:ascii="Calibri" w:eastAsia="ＭＳ 明朝" w:hAnsi="Calibri"/>
          <w:color w:val="000000"/>
          <w:sz w:val="22"/>
          <w:szCs w:val="22"/>
        </w:rPr>
      </w:pPr>
      <w:r w:rsidRPr="00AB442E">
        <w:rPr>
          <w:rFonts w:ascii="Calibri" w:eastAsia="ＭＳ 明朝" w:hAnsi="Calibri"/>
          <w:color w:val="000000"/>
          <w:sz w:val="22"/>
          <w:szCs w:val="22"/>
        </w:rPr>
        <w:t>Customer service is available by phone, email, and Live Chat. Privacy customers access our Support team via those standard methods. Privacy customers can purchase the service at the same time as purchasing the domain name, or after registration they can add the service to an existing domain through their control panel.</w:t>
      </w:r>
    </w:p>
    <w:p w14:paraId="5E70B42B" w14:textId="77777777" w:rsidR="00277722" w:rsidRPr="00AB442E" w:rsidRDefault="00277722" w:rsidP="00277722">
      <w:pPr>
        <w:widowControl w:val="0"/>
        <w:numPr>
          <w:ilvl w:val="0"/>
          <w:numId w:val="9"/>
        </w:numPr>
        <w:autoSpaceDE w:val="0"/>
        <w:autoSpaceDN w:val="0"/>
        <w:adjustRightInd w:val="0"/>
        <w:rPr>
          <w:rFonts w:ascii="Calibri" w:eastAsia="ＭＳ 明朝" w:hAnsi="Calibri"/>
          <w:color w:val="000000"/>
          <w:sz w:val="22"/>
          <w:szCs w:val="22"/>
        </w:rPr>
      </w:pPr>
      <w:r w:rsidRPr="00AB442E">
        <w:rPr>
          <w:rFonts w:ascii="Calibri" w:eastAsia="ＭＳ 明朝" w:hAnsi="Calibri"/>
          <w:color w:val="000000"/>
          <w:sz w:val="22"/>
          <w:szCs w:val="22"/>
        </w:rPr>
        <w:t>This control panel also allows suspension of the privacy service.</w:t>
      </w:r>
    </w:p>
    <w:p w14:paraId="24BCAF16" w14:textId="77777777" w:rsidR="00277722" w:rsidRPr="00AB442E" w:rsidRDefault="00277722" w:rsidP="00277722">
      <w:pPr>
        <w:widowControl w:val="0"/>
        <w:numPr>
          <w:ilvl w:val="0"/>
          <w:numId w:val="9"/>
        </w:numPr>
        <w:autoSpaceDE w:val="0"/>
        <w:autoSpaceDN w:val="0"/>
        <w:adjustRightInd w:val="0"/>
        <w:rPr>
          <w:rFonts w:ascii="Calibri" w:eastAsia="ＭＳ 明朝" w:hAnsi="Calibri"/>
          <w:color w:val="000000"/>
          <w:sz w:val="22"/>
          <w:szCs w:val="22"/>
        </w:rPr>
      </w:pPr>
      <w:r w:rsidRPr="00AB442E">
        <w:rPr>
          <w:rFonts w:ascii="Calibri" w:eastAsia="ＭＳ 明朝" w:hAnsi="Calibri"/>
          <w:color w:val="000000"/>
          <w:sz w:val="22"/>
          <w:szCs w:val="22"/>
        </w:rPr>
        <w:t>Customer support services are accessed through [redacted]. Customers access these services by logging into their account and clicking the P/P link associated with their domain.</w:t>
      </w:r>
    </w:p>
    <w:p w14:paraId="7595B42F" w14:textId="77777777" w:rsidR="00277722" w:rsidRPr="00AB442E" w:rsidRDefault="00277722" w:rsidP="00277722">
      <w:pPr>
        <w:widowControl w:val="0"/>
        <w:numPr>
          <w:ilvl w:val="0"/>
          <w:numId w:val="9"/>
        </w:numPr>
        <w:autoSpaceDE w:val="0"/>
        <w:autoSpaceDN w:val="0"/>
        <w:adjustRightInd w:val="0"/>
        <w:rPr>
          <w:rFonts w:ascii="Calibri" w:eastAsia="ＭＳ 明朝" w:hAnsi="Calibri"/>
          <w:color w:val="000000"/>
          <w:sz w:val="22"/>
          <w:szCs w:val="22"/>
        </w:rPr>
      </w:pPr>
      <w:r w:rsidRPr="00AB442E">
        <w:rPr>
          <w:rFonts w:ascii="Calibri" w:eastAsia="ＭＳ 明朝" w:hAnsi="Calibri"/>
          <w:color w:val="000000"/>
          <w:sz w:val="22"/>
          <w:szCs w:val="22"/>
        </w:rPr>
        <w:t>We have a "contact us", "contact owner " and "report abuse" form which goes straight through to our support team, they take the appropriate action from there.</w:t>
      </w:r>
    </w:p>
    <w:p w14:paraId="0B2E5D13" w14:textId="77777777" w:rsidR="00277722" w:rsidRPr="00AB442E" w:rsidRDefault="00277722" w:rsidP="00277722">
      <w:pPr>
        <w:widowControl w:val="0"/>
        <w:numPr>
          <w:ilvl w:val="0"/>
          <w:numId w:val="9"/>
        </w:numPr>
        <w:autoSpaceDE w:val="0"/>
        <w:autoSpaceDN w:val="0"/>
        <w:adjustRightInd w:val="0"/>
        <w:rPr>
          <w:rFonts w:ascii="Calibri" w:eastAsia="ＭＳ 明朝" w:hAnsi="Calibri"/>
          <w:color w:val="000000"/>
          <w:sz w:val="22"/>
          <w:szCs w:val="22"/>
        </w:rPr>
      </w:pPr>
      <w:r w:rsidRPr="00AB442E">
        <w:rPr>
          <w:rFonts w:ascii="Calibri" w:eastAsia="ＭＳ 明朝" w:hAnsi="Calibri"/>
          <w:color w:val="000000"/>
          <w:sz w:val="22"/>
          <w:szCs w:val="22"/>
        </w:rPr>
        <w:t xml:space="preserve">Customer Support for [our] service is provided directly by the Sponsoring Registrar of the domain name. The ability to disable and enable privacy services is available to all Sponsoring Registrars and their customers using [our] service. Basic questions a Registrar </w:t>
      </w:r>
      <w:proofErr w:type="gramStart"/>
      <w:r w:rsidRPr="00AB442E">
        <w:rPr>
          <w:rFonts w:ascii="Calibri" w:eastAsia="ＭＳ 明朝" w:hAnsi="Calibri"/>
          <w:color w:val="000000"/>
          <w:sz w:val="22"/>
          <w:szCs w:val="22"/>
        </w:rPr>
        <w:t>faces is</w:t>
      </w:r>
      <w:proofErr w:type="gramEnd"/>
      <w:r w:rsidRPr="00AB442E">
        <w:rPr>
          <w:rFonts w:ascii="Calibri" w:eastAsia="ＭＳ 明朝" w:hAnsi="Calibri"/>
          <w:color w:val="000000"/>
          <w:sz w:val="22"/>
          <w:szCs w:val="22"/>
        </w:rPr>
        <w:t xml:space="preserve"> documented here: [redacted]. [This] knowledge base article is available to every customer on the Sponsoring Registrar's platform. FAQs are also documented on [our] website - http://[redacted]/faqs/</w:t>
      </w:r>
    </w:p>
    <w:p w14:paraId="0CB547E5" w14:textId="77777777" w:rsidR="00277722" w:rsidRDefault="00277722" w:rsidP="00277722">
      <w:pPr>
        <w:widowControl w:val="0"/>
        <w:numPr>
          <w:ilvl w:val="0"/>
          <w:numId w:val="9"/>
        </w:numPr>
        <w:autoSpaceDE w:val="0"/>
        <w:autoSpaceDN w:val="0"/>
        <w:adjustRightInd w:val="0"/>
        <w:rPr>
          <w:rFonts w:ascii="Calibri" w:eastAsia="ＭＳ 明朝" w:hAnsi="Calibri"/>
          <w:color w:val="000000"/>
          <w:sz w:val="22"/>
          <w:szCs w:val="22"/>
        </w:rPr>
      </w:pPr>
      <w:r w:rsidRPr="00AB442E">
        <w:rPr>
          <w:rFonts w:ascii="Calibri" w:eastAsia="ＭＳ 明朝" w:hAnsi="Calibri"/>
          <w:color w:val="000000"/>
          <w:sz w:val="22"/>
          <w:szCs w:val="22"/>
        </w:rPr>
        <w:t>[We] offer customers an online support community to assist with all its products, including My Private Registration. This community is available via the URL: [redacted]. Phone, email and postal mail support is also available for customers. These services are described on our website: [redacted]</w:t>
      </w:r>
    </w:p>
    <w:p w14:paraId="2193D331" w14:textId="77777777" w:rsidR="00DA6831" w:rsidRDefault="00DA6831" w:rsidP="00DA6831">
      <w:pPr>
        <w:widowControl w:val="0"/>
        <w:autoSpaceDE w:val="0"/>
        <w:autoSpaceDN w:val="0"/>
        <w:adjustRightInd w:val="0"/>
        <w:rPr>
          <w:rFonts w:ascii="Calibri" w:eastAsia="ＭＳ 明朝" w:hAnsi="Calibri"/>
          <w:color w:val="000000"/>
          <w:sz w:val="22"/>
          <w:szCs w:val="22"/>
        </w:rPr>
      </w:pPr>
    </w:p>
    <w:p w14:paraId="3F19BEB7" w14:textId="77777777" w:rsidR="00DA6831" w:rsidRPr="00FD1940" w:rsidRDefault="00DA6831" w:rsidP="00DA6831">
      <w:pPr>
        <w:widowControl w:val="0"/>
        <w:autoSpaceDE w:val="0"/>
        <w:autoSpaceDN w:val="0"/>
        <w:adjustRightInd w:val="0"/>
        <w:rPr>
          <w:rFonts w:ascii="Calibri" w:eastAsia="ＭＳ 明朝" w:hAnsi="Calibri"/>
          <w:b/>
          <w:color w:val="000000"/>
          <w:sz w:val="22"/>
          <w:szCs w:val="22"/>
        </w:rPr>
      </w:pPr>
      <w:r w:rsidRPr="00FD1940">
        <w:rPr>
          <w:rFonts w:ascii="Calibri" w:eastAsia="ＭＳ 明朝" w:hAnsi="Calibri"/>
          <w:b/>
          <w:color w:val="000000"/>
          <w:sz w:val="22"/>
          <w:szCs w:val="22"/>
        </w:rPr>
        <w:t>From the Whois Review Team Final Report</w:t>
      </w:r>
    </w:p>
    <w:p w14:paraId="59B649FF" w14:textId="77777777" w:rsidR="00DA6831" w:rsidRPr="00FD1940" w:rsidRDefault="00DA6831" w:rsidP="00DA6831">
      <w:pPr>
        <w:widowControl w:val="0"/>
        <w:autoSpaceDE w:val="0"/>
        <w:autoSpaceDN w:val="0"/>
        <w:adjustRightInd w:val="0"/>
        <w:rPr>
          <w:rFonts w:asciiTheme="majorHAnsi" w:eastAsia="ＭＳ 明朝" w:hAnsiTheme="majorHAnsi"/>
          <w:sz w:val="22"/>
          <w:szCs w:val="22"/>
        </w:rPr>
      </w:pPr>
      <w:r w:rsidRPr="00FD1940">
        <w:rPr>
          <w:rFonts w:asciiTheme="majorHAnsi" w:eastAsia="ＭＳ 明朝" w:hAnsiTheme="majorHAnsi"/>
          <w:sz w:val="22"/>
          <w:szCs w:val="22"/>
        </w:rPr>
        <w:t>Recommendation 10 - Data Access -- Privacy and Proxy Services</w:t>
      </w:r>
    </w:p>
    <w:p w14:paraId="7D652083" w14:textId="5189181A" w:rsidR="00FD1940" w:rsidRPr="00FD1940" w:rsidRDefault="00FD1940" w:rsidP="00FD1940">
      <w:pPr>
        <w:widowControl w:val="0"/>
        <w:autoSpaceDE w:val="0"/>
        <w:autoSpaceDN w:val="0"/>
        <w:adjustRightInd w:val="0"/>
        <w:rPr>
          <w:rFonts w:asciiTheme="majorHAnsi" w:eastAsia="ＭＳ 明朝" w:hAnsiTheme="majorHAnsi"/>
          <w:sz w:val="22"/>
          <w:szCs w:val="22"/>
        </w:rPr>
      </w:pPr>
      <w:r>
        <w:rPr>
          <w:rFonts w:asciiTheme="majorHAnsi" w:eastAsia="ＭＳ 明朝" w:hAnsiTheme="majorHAnsi"/>
          <w:sz w:val="22"/>
          <w:szCs w:val="22"/>
        </w:rPr>
        <w:t xml:space="preserve">(…) </w:t>
      </w:r>
      <w:r w:rsidR="00DA6831" w:rsidRPr="00FD1940">
        <w:rPr>
          <w:rFonts w:asciiTheme="majorHAnsi" w:eastAsia="ＭＳ 明朝" w:hAnsiTheme="majorHAnsi"/>
          <w:sz w:val="22"/>
          <w:szCs w:val="22"/>
        </w:rPr>
        <w:t>The Review Team considers that one possible approac</w:t>
      </w:r>
      <w:r>
        <w:rPr>
          <w:rFonts w:asciiTheme="majorHAnsi" w:eastAsia="ＭＳ 明朝" w:hAnsiTheme="majorHAnsi"/>
          <w:sz w:val="22"/>
          <w:szCs w:val="22"/>
        </w:rPr>
        <w:t xml:space="preserve">h to achieving this would be to </w:t>
      </w:r>
      <w:r w:rsidR="00DA6831" w:rsidRPr="00FD1940">
        <w:rPr>
          <w:rFonts w:asciiTheme="majorHAnsi" w:eastAsia="ＭＳ 明朝" w:hAnsiTheme="majorHAnsi"/>
          <w:sz w:val="22"/>
          <w:szCs w:val="22"/>
        </w:rPr>
        <w:t>establish, through the appropriate means, an accreditation system for all proxy/privacy</w:t>
      </w:r>
      <w:r>
        <w:rPr>
          <w:rFonts w:asciiTheme="majorHAnsi" w:eastAsia="ＭＳ 明朝" w:hAnsiTheme="majorHAnsi"/>
          <w:sz w:val="22"/>
          <w:szCs w:val="22"/>
        </w:rPr>
        <w:t xml:space="preserve"> </w:t>
      </w:r>
      <w:r w:rsidR="00DA6831" w:rsidRPr="00FD1940">
        <w:rPr>
          <w:rFonts w:asciiTheme="majorHAnsi" w:eastAsia="ＭＳ 明朝" w:hAnsiTheme="majorHAnsi"/>
          <w:sz w:val="22"/>
          <w:szCs w:val="22"/>
        </w:rPr>
        <w:t>service providers. As part of this process, ICANN should consider the merits (if any) of</w:t>
      </w:r>
      <w:r>
        <w:rPr>
          <w:rFonts w:asciiTheme="majorHAnsi" w:eastAsia="ＭＳ 明朝" w:hAnsiTheme="majorHAnsi"/>
          <w:sz w:val="22"/>
          <w:szCs w:val="22"/>
        </w:rPr>
        <w:t xml:space="preserve"> </w:t>
      </w:r>
      <w:r w:rsidR="00DA6831" w:rsidRPr="00FD1940">
        <w:rPr>
          <w:rFonts w:asciiTheme="majorHAnsi" w:eastAsia="ＭＳ 明朝" w:hAnsiTheme="majorHAnsi"/>
          <w:sz w:val="22"/>
          <w:szCs w:val="22"/>
        </w:rPr>
        <w:t>establishing or maintaining a distinction between privacy and proxy services.</w:t>
      </w:r>
      <w:r>
        <w:rPr>
          <w:rFonts w:asciiTheme="majorHAnsi" w:eastAsia="ＭＳ 明朝" w:hAnsiTheme="majorHAnsi"/>
          <w:sz w:val="22"/>
          <w:szCs w:val="22"/>
        </w:rPr>
        <w:t xml:space="preserve"> </w:t>
      </w:r>
      <w:r w:rsidR="00DA6831" w:rsidRPr="00FD1940">
        <w:rPr>
          <w:rFonts w:asciiTheme="majorHAnsi" w:eastAsia="ＭＳ 明朝" w:hAnsiTheme="majorHAnsi"/>
          <w:sz w:val="22"/>
          <w:szCs w:val="22"/>
        </w:rPr>
        <w:t>The goal of this process should be to provide clear, consistent and enforceable</w:t>
      </w:r>
      <w:r>
        <w:rPr>
          <w:rFonts w:asciiTheme="majorHAnsi" w:eastAsia="ＭＳ 明朝" w:hAnsiTheme="majorHAnsi"/>
          <w:sz w:val="22"/>
          <w:szCs w:val="22"/>
        </w:rPr>
        <w:t xml:space="preserve"> </w:t>
      </w:r>
      <w:r w:rsidR="00DA6831" w:rsidRPr="00FD1940">
        <w:rPr>
          <w:rFonts w:asciiTheme="majorHAnsi" w:eastAsia="ＭＳ 明朝" w:hAnsiTheme="majorHAnsi"/>
          <w:sz w:val="22"/>
          <w:szCs w:val="22"/>
        </w:rPr>
        <w:t>requirements for the operation of these services consistent with national laws, and to</w:t>
      </w:r>
      <w:r>
        <w:rPr>
          <w:rFonts w:asciiTheme="majorHAnsi" w:eastAsia="ＭＳ 明朝" w:hAnsiTheme="majorHAnsi"/>
          <w:sz w:val="22"/>
          <w:szCs w:val="22"/>
        </w:rPr>
        <w:t xml:space="preserve"> </w:t>
      </w:r>
      <w:r w:rsidR="00DA6831" w:rsidRPr="00FD1940">
        <w:rPr>
          <w:rFonts w:asciiTheme="majorHAnsi" w:eastAsia="ＭＳ 明朝" w:hAnsiTheme="majorHAnsi"/>
          <w:sz w:val="22"/>
          <w:szCs w:val="22"/>
        </w:rPr>
        <w:t>strike an appropriate balance between stakeholders with competing but legitimate</w:t>
      </w:r>
      <w:r w:rsidRPr="00FD1940">
        <w:rPr>
          <w:rFonts w:asciiTheme="majorHAnsi" w:eastAsia="ＭＳ 明朝" w:hAnsiTheme="majorHAnsi"/>
          <w:sz w:val="22"/>
          <w:szCs w:val="22"/>
        </w:rPr>
        <w:t xml:space="preserve"> interests. At a minimum, this would include privacy, data protection, law enforcement,</w:t>
      </w:r>
      <w:r>
        <w:rPr>
          <w:rFonts w:asciiTheme="majorHAnsi" w:eastAsia="ＭＳ 明朝" w:hAnsiTheme="majorHAnsi"/>
          <w:sz w:val="22"/>
          <w:szCs w:val="22"/>
        </w:rPr>
        <w:t xml:space="preserve"> </w:t>
      </w:r>
      <w:r w:rsidRPr="00FD1940">
        <w:rPr>
          <w:rFonts w:asciiTheme="majorHAnsi" w:eastAsia="ＭＳ 明朝" w:hAnsiTheme="majorHAnsi"/>
          <w:sz w:val="22"/>
          <w:szCs w:val="22"/>
        </w:rPr>
        <w:t>the industry around law enforcement and the human rights community.</w:t>
      </w:r>
      <w:r>
        <w:rPr>
          <w:rFonts w:asciiTheme="majorHAnsi" w:eastAsia="ＭＳ 明朝" w:hAnsiTheme="majorHAnsi"/>
          <w:sz w:val="22"/>
          <w:szCs w:val="22"/>
        </w:rPr>
        <w:t xml:space="preserve"> </w:t>
      </w:r>
      <w:r w:rsidRPr="00FD1940">
        <w:rPr>
          <w:rFonts w:asciiTheme="majorHAnsi" w:eastAsia="ＭＳ 明朝" w:hAnsiTheme="majorHAnsi"/>
          <w:sz w:val="22"/>
          <w:szCs w:val="22"/>
        </w:rPr>
        <w:t>ICANN could, for example, use a mix of incentives and graduated sanctions to encourage</w:t>
      </w:r>
      <w:r>
        <w:rPr>
          <w:rFonts w:asciiTheme="majorHAnsi" w:eastAsia="ＭＳ 明朝" w:hAnsiTheme="majorHAnsi"/>
          <w:sz w:val="22"/>
          <w:szCs w:val="22"/>
        </w:rPr>
        <w:t xml:space="preserve"> </w:t>
      </w:r>
      <w:r w:rsidRPr="00FD1940">
        <w:rPr>
          <w:rFonts w:asciiTheme="majorHAnsi" w:eastAsia="ＭＳ 明朝" w:hAnsiTheme="majorHAnsi"/>
          <w:sz w:val="22"/>
          <w:szCs w:val="22"/>
        </w:rPr>
        <w:t>proxy/privacy service providers to become accredited, and to ensure that registrars do</w:t>
      </w:r>
      <w:r>
        <w:rPr>
          <w:rFonts w:asciiTheme="majorHAnsi" w:eastAsia="ＭＳ 明朝" w:hAnsiTheme="majorHAnsi"/>
          <w:sz w:val="22"/>
          <w:szCs w:val="22"/>
        </w:rPr>
        <w:t xml:space="preserve"> </w:t>
      </w:r>
      <w:r w:rsidRPr="00FD1940">
        <w:rPr>
          <w:rFonts w:asciiTheme="majorHAnsi" w:eastAsia="ＭＳ 明朝" w:hAnsiTheme="majorHAnsi"/>
          <w:sz w:val="22"/>
          <w:szCs w:val="22"/>
        </w:rPr>
        <w:t>not knowingly accept registrations from unaccredited providers.</w:t>
      </w:r>
    </w:p>
    <w:p w14:paraId="6F67940F" w14:textId="77777777" w:rsidR="00FD1940" w:rsidRDefault="00FD1940" w:rsidP="00FD1940">
      <w:pPr>
        <w:widowControl w:val="0"/>
        <w:autoSpaceDE w:val="0"/>
        <w:autoSpaceDN w:val="0"/>
        <w:adjustRightInd w:val="0"/>
        <w:rPr>
          <w:rFonts w:asciiTheme="majorHAnsi" w:eastAsia="ＭＳ 明朝" w:hAnsiTheme="majorHAnsi"/>
          <w:sz w:val="22"/>
          <w:szCs w:val="22"/>
        </w:rPr>
      </w:pPr>
    </w:p>
    <w:p w14:paraId="2B8BCD85" w14:textId="7E86552B" w:rsidR="00DA6831" w:rsidRPr="00FD1940" w:rsidRDefault="00FD1940" w:rsidP="00FD1940">
      <w:pPr>
        <w:widowControl w:val="0"/>
        <w:autoSpaceDE w:val="0"/>
        <w:autoSpaceDN w:val="0"/>
        <w:adjustRightInd w:val="0"/>
        <w:rPr>
          <w:rFonts w:asciiTheme="majorHAnsi" w:eastAsia="ＭＳ 明朝" w:hAnsiTheme="majorHAnsi"/>
          <w:sz w:val="22"/>
          <w:szCs w:val="22"/>
        </w:rPr>
      </w:pPr>
      <w:r w:rsidRPr="00FD1940">
        <w:rPr>
          <w:rFonts w:asciiTheme="majorHAnsi" w:eastAsia="ＭＳ 明朝" w:hAnsiTheme="majorHAnsi"/>
          <w:sz w:val="22"/>
          <w:szCs w:val="22"/>
        </w:rPr>
        <w:t>ICANN could develop a graduated and enforceable series</w:t>
      </w:r>
      <w:r>
        <w:rPr>
          <w:rFonts w:asciiTheme="majorHAnsi" w:eastAsia="ＭＳ 明朝" w:hAnsiTheme="majorHAnsi"/>
          <w:sz w:val="22"/>
          <w:szCs w:val="22"/>
        </w:rPr>
        <w:t xml:space="preserve"> of penalties for proxy/privacy </w:t>
      </w:r>
      <w:r w:rsidRPr="00FD1940">
        <w:rPr>
          <w:rFonts w:asciiTheme="majorHAnsi" w:eastAsia="ＭＳ 明朝" w:hAnsiTheme="majorHAnsi"/>
          <w:sz w:val="22"/>
          <w:szCs w:val="22"/>
        </w:rPr>
        <w:t>service providers who violate the requirements, with a clear path to de-accreditation for</w:t>
      </w:r>
      <w:r>
        <w:rPr>
          <w:rFonts w:asciiTheme="majorHAnsi" w:eastAsia="ＭＳ 明朝" w:hAnsiTheme="majorHAnsi"/>
          <w:sz w:val="22"/>
          <w:szCs w:val="22"/>
        </w:rPr>
        <w:t xml:space="preserve"> </w:t>
      </w:r>
      <w:r w:rsidRPr="00FD1940">
        <w:rPr>
          <w:rFonts w:asciiTheme="majorHAnsi" w:eastAsia="ＭＳ 明朝" w:hAnsiTheme="majorHAnsi"/>
          <w:sz w:val="22"/>
          <w:szCs w:val="22"/>
        </w:rPr>
        <w:t>repeat, serial or otherwise serious breaches.</w:t>
      </w:r>
    </w:p>
    <w:p w14:paraId="1042D810" w14:textId="77777777" w:rsidR="00FD1940" w:rsidRDefault="00FD1940" w:rsidP="00FD1940">
      <w:pPr>
        <w:widowControl w:val="0"/>
        <w:autoSpaceDE w:val="0"/>
        <w:autoSpaceDN w:val="0"/>
        <w:adjustRightInd w:val="0"/>
        <w:rPr>
          <w:rFonts w:asciiTheme="majorHAnsi" w:eastAsia="ＭＳ 明朝" w:hAnsiTheme="majorHAnsi"/>
          <w:sz w:val="22"/>
          <w:szCs w:val="22"/>
        </w:rPr>
      </w:pPr>
    </w:p>
    <w:p w14:paraId="7E60B39F" w14:textId="0CCC9002" w:rsidR="00FD1940" w:rsidRPr="00FD1940" w:rsidRDefault="00FD1940" w:rsidP="00FD1940">
      <w:pPr>
        <w:widowControl w:val="0"/>
        <w:autoSpaceDE w:val="0"/>
        <w:autoSpaceDN w:val="0"/>
        <w:adjustRightInd w:val="0"/>
        <w:rPr>
          <w:rFonts w:asciiTheme="majorHAnsi" w:eastAsia="ＭＳ 明朝" w:hAnsiTheme="majorHAnsi"/>
          <w:sz w:val="22"/>
          <w:szCs w:val="22"/>
        </w:rPr>
      </w:pPr>
      <w:r>
        <w:rPr>
          <w:rFonts w:asciiTheme="majorHAnsi" w:eastAsia="ＭＳ 明朝" w:hAnsiTheme="majorHAnsi"/>
          <w:sz w:val="22"/>
          <w:szCs w:val="22"/>
        </w:rPr>
        <w:t>I</w:t>
      </w:r>
      <w:r w:rsidRPr="00FD1940">
        <w:rPr>
          <w:rFonts w:asciiTheme="majorHAnsi" w:eastAsia="ＭＳ 明朝" w:hAnsiTheme="majorHAnsi"/>
          <w:sz w:val="22"/>
          <w:szCs w:val="22"/>
        </w:rPr>
        <w:t>n considering the process to regulate and oversee privacy/proxy service providers,</w:t>
      </w:r>
      <w:r>
        <w:rPr>
          <w:rFonts w:asciiTheme="majorHAnsi" w:eastAsia="ＭＳ 明朝" w:hAnsiTheme="majorHAnsi"/>
          <w:sz w:val="22"/>
          <w:szCs w:val="22"/>
        </w:rPr>
        <w:t xml:space="preserve"> </w:t>
      </w:r>
      <w:r w:rsidRPr="00FD1940">
        <w:rPr>
          <w:rFonts w:asciiTheme="majorHAnsi" w:eastAsia="ＭＳ 明朝" w:hAnsiTheme="majorHAnsi"/>
          <w:sz w:val="22"/>
          <w:szCs w:val="22"/>
        </w:rPr>
        <w:t>consideration should be given to the following objectives:</w:t>
      </w:r>
    </w:p>
    <w:p w14:paraId="0B159235" w14:textId="420BE903" w:rsidR="00FD1940" w:rsidRPr="00FD1940" w:rsidRDefault="00FD1940" w:rsidP="00FD1940">
      <w:pPr>
        <w:widowControl w:val="0"/>
        <w:autoSpaceDE w:val="0"/>
        <w:autoSpaceDN w:val="0"/>
        <w:adjustRightInd w:val="0"/>
        <w:rPr>
          <w:rFonts w:asciiTheme="majorHAnsi" w:eastAsia="ＭＳ 明朝" w:hAnsiTheme="majorHAnsi"/>
          <w:sz w:val="22"/>
          <w:szCs w:val="22"/>
        </w:rPr>
      </w:pPr>
      <w:r w:rsidRPr="00FD1940">
        <w:rPr>
          <w:rFonts w:asciiTheme="majorHAnsi" w:eastAsia="ＭＳ 明朝" w:hAnsiTheme="majorHAnsi"/>
          <w:sz w:val="22"/>
          <w:szCs w:val="22"/>
        </w:rPr>
        <w:t>(….)</w:t>
      </w:r>
    </w:p>
    <w:p w14:paraId="7A048454" w14:textId="7A5B45C1" w:rsidR="00FD1940" w:rsidRPr="00FD1940" w:rsidRDefault="00FD1940" w:rsidP="00FD1940">
      <w:pPr>
        <w:widowControl w:val="0"/>
        <w:autoSpaceDE w:val="0"/>
        <w:autoSpaceDN w:val="0"/>
        <w:adjustRightInd w:val="0"/>
        <w:rPr>
          <w:rFonts w:asciiTheme="majorHAnsi" w:eastAsia="ＭＳ 明朝" w:hAnsiTheme="majorHAnsi"/>
          <w:sz w:val="22"/>
          <w:szCs w:val="22"/>
        </w:rPr>
      </w:pPr>
      <w:r>
        <w:rPr>
          <w:rFonts w:asciiTheme="majorHAnsi" w:eastAsia="ＭＳ 明朝" w:hAnsiTheme="majorHAnsi" w:cs="pÙøì$5'74¡Ç¨Å©@"/>
          <w:sz w:val="22"/>
          <w:szCs w:val="22"/>
        </w:rPr>
        <w:t>-</w:t>
      </w:r>
      <w:r w:rsidRPr="00FD1940">
        <w:rPr>
          <w:rFonts w:asciiTheme="majorHAnsi" w:eastAsia="ＭＳ 明朝" w:hAnsiTheme="majorHAnsi" w:cs="pÙøì$5'74¡Ç¨Å©@"/>
          <w:sz w:val="22"/>
          <w:szCs w:val="22"/>
        </w:rPr>
        <w:t xml:space="preserve"> </w:t>
      </w:r>
      <w:r w:rsidRPr="00FD1940">
        <w:rPr>
          <w:rFonts w:asciiTheme="majorHAnsi" w:eastAsia="ＭＳ 明朝" w:hAnsiTheme="majorHAnsi"/>
          <w:sz w:val="22"/>
          <w:szCs w:val="22"/>
        </w:rPr>
        <w:t>Providing full WHOIS contact details for the privacy/proxy service provider,</w:t>
      </w:r>
      <w:r>
        <w:rPr>
          <w:rFonts w:asciiTheme="majorHAnsi" w:eastAsia="ＭＳ 明朝" w:hAnsiTheme="majorHAnsi"/>
          <w:sz w:val="22"/>
          <w:szCs w:val="22"/>
        </w:rPr>
        <w:t xml:space="preserve"> </w:t>
      </w:r>
      <w:r w:rsidRPr="00FD1940">
        <w:rPr>
          <w:rFonts w:asciiTheme="majorHAnsi" w:eastAsia="ＭＳ 明朝" w:hAnsiTheme="majorHAnsi"/>
          <w:sz w:val="22"/>
          <w:szCs w:val="22"/>
        </w:rPr>
        <w:t>which are contactable and responsive</w:t>
      </w:r>
      <w:proofErr w:type="gramStart"/>
      <w:r w:rsidRPr="00FD1940">
        <w:rPr>
          <w:rFonts w:asciiTheme="majorHAnsi" w:eastAsia="ＭＳ 明朝" w:hAnsiTheme="majorHAnsi"/>
          <w:sz w:val="22"/>
          <w:szCs w:val="22"/>
        </w:rPr>
        <w:t>;</w:t>
      </w:r>
      <w:proofErr w:type="gramEnd"/>
    </w:p>
    <w:p w14:paraId="5DF6FDC4" w14:textId="4E4B804E" w:rsidR="00FD1940" w:rsidRDefault="00FD1940" w:rsidP="00FD1940">
      <w:pPr>
        <w:widowControl w:val="0"/>
        <w:autoSpaceDE w:val="0"/>
        <w:autoSpaceDN w:val="0"/>
        <w:adjustRightInd w:val="0"/>
        <w:rPr>
          <w:rFonts w:asciiTheme="majorHAnsi" w:eastAsia="ＭＳ 明朝" w:hAnsiTheme="majorHAnsi"/>
          <w:sz w:val="22"/>
          <w:szCs w:val="22"/>
        </w:rPr>
      </w:pPr>
      <w:r w:rsidRPr="00FD1940">
        <w:rPr>
          <w:rFonts w:asciiTheme="majorHAnsi" w:eastAsia="ＭＳ 明朝" w:hAnsiTheme="majorHAnsi"/>
          <w:sz w:val="22"/>
          <w:szCs w:val="22"/>
        </w:rPr>
        <w:t>(…)</w:t>
      </w:r>
    </w:p>
    <w:p w14:paraId="0B38002B" w14:textId="77777777" w:rsidR="003F6B82" w:rsidRDefault="003F6B82" w:rsidP="00FD1940">
      <w:pPr>
        <w:widowControl w:val="0"/>
        <w:autoSpaceDE w:val="0"/>
        <w:autoSpaceDN w:val="0"/>
        <w:adjustRightInd w:val="0"/>
        <w:rPr>
          <w:rFonts w:asciiTheme="majorHAnsi" w:eastAsia="ＭＳ 明朝" w:hAnsiTheme="majorHAnsi"/>
          <w:sz w:val="22"/>
          <w:szCs w:val="22"/>
        </w:rPr>
      </w:pPr>
    </w:p>
    <w:p w14:paraId="7E6B1B94" w14:textId="15BA9F65" w:rsidR="003F6B82" w:rsidRPr="003F6B82" w:rsidRDefault="003F6B82" w:rsidP="00FD1940">
      <w:pPr>
        <w:widowControl w:val="0"/>
        <w:autoSpaceDE w:val="0"/>
        <w:autoSpaceDN w:val="0"/>
        <w:adjustRightInd w:val="0"/>
        <w:rPr>
          <w:rFonts w:asciiTheme="majorHAnsi" w:eastAsia="ＭＳ 明朝" w:hAnsiTheme="majorHAnsi"/>
          <w:b/>
          <w:sz w:val="22"/>
          <w:szCs w:val="22"/>
        </w:rPr>
      </w:pPr>
      <w:r w:rsidRPr="003F6B82">
        <w:rPr>
          <w:rFonts w:asciiTheme="majorHAnsi" w:eastAsia="ＭＳ 明朝" w:hAnsiTheme="majorHAnsi"/>
          <w:b/>
          <w:sz w:val="22"/>
          <w:szCs w:val="22"/>
        </w:rPr>
        <w:t>From the Expert Working Group (EWG) Status Update</w:t>
      </w:r>
      <w:r>
        <w:rPr>
          <w:rFonts w:asciiTheme="majorHAnsi" w:eastAsia="ＭＳ 明朝" w:hAnsiTheme="majorHAnsi"/>
          <w:b/>
          <w:sz w:val="22"/>
          <w:szCs w:val="22"/>
        </w:rPr>
        <w:t xml:space="preserve"> (November 2013)</w:t>
      </w:r>
      <w:bookmarkStart w:id="0" w:name="_GoBack"/>
      <w:bookmarkEnd w:id="0"/>
    </w:p>
    <w:p w14:paraId="28109A77" w14:textId="77777777" w:rsidR="003F6B82" w:rsidRDefault="003F6B82" w:rsidP="00FD1940">
      <w:pPr>
        <w:widowControl w:val="0"/>
        <w:autoSpaceDE w:val="0"/>
        <w:autoSpaceDN w:val="0"/>
        <w:adjustRightInd w:val="0"/>
        <w:rPr>
          <w:rFonts w:asciiTheme="majorHAnsi" w:eastAsia="ＭＳ 明朝" w:hAnsiTheme="majorHAnsi"/>
          <w:sz w:val="22"/>
          <w:szCs w:val="22"/>
        </w:rPr>
      </w:pPr>
    </w:p>
    <w:p w14:paraId="1DD91902" w14:textId="3F28A7D0" w:rsidR="003F6B82" w:rsidRPr="003F6B82" w:rsidRDefault="003F6B82" w:rsidP="003F6B82">
      <w:pPr>
        <w:widowControl w:val="0"/>
        <w:autoSpaceDE w:val="0"/>
        <w:autoSpaceDN w:val="0"/>
        <w:adjustRightInd w:val="0"/>
        <w:rPr>
          <w:rFonts w:asciiTheme="majorHAnsi" w:eastAsia="ＭＳ 明朝" w:hAnsiTheme="majorHAnsi"/>
          <w:sz w:val="22"/>
          <w:szCs w:val="22"/>
        </w:rPr>
      </w:pPr>
      <w:r>
        <w:rPr>
          <w:rFonts w:asciiTheme="majorHAnsi" w:eastAsia="ＭＳ 明朝" w:hAnsiTheme="majorHAnsi"/>
          <w:sz w:val="22"/>
          <w:szCs w:val="22"/>
        </w:rPr>
        <w:t>Recommendation relating to proxy services: P</w:t>
      </w:r>
      <w:r w:rsidRPr="003F6B82">
        <w:rPr>
          <w:rFonts w:asciiTheme="majorHAnsi" w:eastAsia="ＭＳ 明朝" w:hAnsiTheme="majorHAnsi"/>
          <w:sz w:val="22"/>
          <w:szCs w:val="22"/>
        </w:rPr>
        <w:t>roxy service providers should provide the registrar with their own name and contact details, including a unique forwarding email address</w:t>
      </w:r>
      <w:r>
        <w:rPr>
          <w:rFonts w:asciiTheme="majorHAnsi" w:eastAsia="ＭＳ 明朝" w:hAnsiTheme="majorHAnsi"/>
          <w:sz w:val="22"/>
          <w:szCs w:val="22"/>
        </w:rPr>
        <w:t>.</w:t>
      </w:r>
    </w:p>
    <w:p w14:paraId="28DA85FB" w14:textId="77777777" w:rsidR="00B7495E" w:rsidRPr="002C02E1" w:rsidRDefault="00B7495E" w:rsidP="00FD1940">
      <w:pPr>
        <w:spacing w:line="360" w:lineRule="auto"/>
        <w:contextualSpacing/>
        <w:rPr>
          <w:rFonts w:ascii="Calibri" w:hAnsi="Calibri"/>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2554"/>
        <w:gridCol w:w="2956"/>
        <w:gridCol w:w="3022"/>
      </w:tblGrid>
      <w:tr w:rsidR="003E40B7" w:rsidRPr="00E3587C" w14:paraId="77946158" w14:textId="77777777" w:rsidTr="003E40B7">
        <w:tc>
          <w:tcPr>
            <w:tcW w:w="4644" w:type="dxa"/>
            <w:tcBorders>
              <w:bottom w:val="single" w:sz="4" w:space="0" w:color="000000"/>
            </w:tcBorders>
            <w:shd w:val="clear" w:color="auto" w:fill="CCCCCC"/>
          </w:tcPr>
          <w:p w14:paraId="6252A747" w14:textId="77777777" w:rsidR="003E40B7" w:rsidRPr="003F7A6A" w:rsidRDefault="003F7A6A" w:rsidP="003F7A6A">
            <w:pPr>
              <w:widowControl w:val="0"/>
              <w:suppressAutoHyphens/>
              <w:rPr>
                <w:rFonts w:ascii="Calibri" w:hAnsi="Calibri" w:cs="Calibri"/>
                <w:b/>
                <w:sz w:val="22"/>
                <w:szCs w:val="22"/>
              </w:rPr>
            </w:pPr>
            <w:r w:rsidRPr="003F7A6A">
              <w:rPr>
                <w:rFonts w:ascii="Calibri" w:hAnsi="Calibri" w:cs="Calibri"/>
                <w:b/>
                <w:sz w:val="22"/>
                <w:szCs w:val="22"/>
              </w:rPr>
              <w:t xml:space="preserve">What measures should be taken to ensure </w:t>
            </w:r>
            <w:proofErr w:type="spellStart"/>
            <w:r w:rsidRPr="003F7A6A">
              <w:rPr>
                <w:rFonts w:ascii="Calibri" w:hAnsi="Calibri" w:cs="Calibri"/>
                <w:b/>
                <w:sz w:val="22"/>
                <w:szCs w:val="22"/>
              </w:rPr>
              <w:t>contactability</w:t>
            </w:r>
            <w:proofErr w:type="spellEnd"/>
            <w:r w:rsidRPr="003F7A6A">
              <w:rPr>
                <w:rFonts w:ascii="Calibri" w:hAnsi="Calibri" w:cs="Calibri"/>
                <w:b/>
                <w:sz w:val="22"/>
                <w:szCs w:val="22"/>
              </w:rPr>
              <w:t xml:space="preserve"> and responsiveness of the providers? </w:t>
            </w:r>
          </w:p>
        </w:tc>
        <w:tc>
          <w:tcPr>
            <w:tcW w:w="2554" w:type="dxa"/>
            <w:tcBorders>
              <w:bottom w:val="single" w:sz="4" w:space="0" w:color="000000"/>
            </w:tcBorders>
            <w:shd w:val="clear" w:color="auto" w:fill="CCCCCC"/>
          </w:tcPr>
          <w:p w14:paraId="17E8385F" w14:textId="77777777" w:rsidR="003E40B7" w:rsidRPr="00E3587C" w:rsidRDefault="003E40B7" w:rsidP="00B5047A">
            <w:pPr>
              <w:contextualSpacing/>
              <w:rPr>
                <w:rFonts w:ascii="Calibri" w:hAnsi="Calibri"/>
                <w:b/>
                <w:sz w:val="22"/>
              </w:rPr>
            </w:pPr>
            <w:r w:rsidRPr="00E3587C">
              <w:rPr>
                <w:rFonts w:ascii="Calibri" w:hAnsi="Calibri"/>
                <w:b/>
                <w:sz w:val="22"/>
              </w:rPr>
              <w:t xml:space="preserve">Who </w:t>
            </w:r>
          </w:p>
        </w:tc>
        <w:tc>
          <w:tcPr>
            <w:tcW w:w="2956" w:type="dxa"/>
            <w:tcBorders>
              <w:bottom w:val="single" w:sz="4" w:space="0" w:color="000000"/>
            </w:tcBorders>
            <w:shd w:val="clear" w:color="auto" w:fill="CCCCCC"/>
          </w:tcPr>
          <w:p w14:paraId="42C7455D" w14:textId="77777777" w:rsidR="003E40B7" w:rsidRPr="00F55B44" w:rsidRDefault="003E40B7" w:rsidP="00B5047A">
            <w:pPr>
              <w:contextualSpacing/>
              <w:rPr>
                <w:rFonts w:ascii="Calibri" w:hAnsi="Calibri"/>
                <w:b/>
                <w:sz w:val="22"/>
              </w:rPr>
            </w:pPr>
            <w:r w:rsidRPr="00F55B44">
              <w:rPr>
                <w:rFonts w:ascii="Calibri" w:hAnsi="Calibri"/>
                <w:b/>
                <w:sz w:val="22"/>
              </w:rPr>
              <w:t>WG Response</w:t>
            </w:r>
          </w:p>
        </w:tc>
        <w:tc>
          <w:tcPr>
            <w:tcW w:w="3022" w:type="dxa"/>
            <w:tcBorders>
              <w:bottom w:val="single" w:sz="4" w:space="0" w:color="000000"/>
            </w:tcBorders>
            <w:shd w:val="clear" w:color="auto" w:fill="CCCCCC"/>
          </w:tcPr>
          <w:p w14:paraId="71BCEB1B" w14:textId="77777777" w:rsidR="003E40B7" w:rsidRPr="00E3587C" w:rsidRDefault="003E40B7" w:rsidP="003E40B7">
            <w:pPr>
              <w:contextualSpacing/>
              <w:rPr>
                <w:rFonts w:ascii="Calibri" w:hAnsi="Calibri"/>
                <w:b/>
                <w:sz w:val="22"/>
              </w:rPr>
            </w:pPr>
            <w:r w:rsidRPr="00E3587C">
              <w:rPr>
                <w:rFonts w:ascii="Calibri" w:hAnsi="Calibri"/>
                <w:b/>
                <w:sz w:val="22"/>
              </w:rPr>
              <w:t>Recommended Action</w:t>
            </w:r>
            <w:r>
              <w:rPr>
                <w:rFonts w:ascii="Calibri" w:hAnsi="Calibri"/>
                <w:b/>
                <w:sz w:val="22"/>
              </w:rPr>
              <w:t xml:space="preserve"> (if any)</w:t>
            </w:r>
          </w:p>
        </w:tc>
      </w:tr>
      <w:tr w:rsidR="003E40B7" w:rsidRPr="00E3587C" w14:paraId="246982CB" w14:textId="77777777" w:rsidTr="003E40B7">
        <w:tblPrEx>
          <w:tblLook w:val="04A0" w:firstRow="1" w:lastRow="0" w:firstColumn="1" w:lastColumn="0" w:noHBand="0" w:noVBand="1"/>
        </w:tblPrEx>
        <w:tc>
          <w:tcPr>
            <w:tcW w:w="4644" w:type="dxa"/>
          </w:tcPr>
          <w:p w14:paraId="12675499" w14:textId="77777777" w:rsidR="003E40B7" w:rsidRPr="00E3587C" w:rsidRDefault="00F65891" w:rsidP="003E40B7">
            <w:pPr>
              <w:contextualSpacing/>
              <w:rPr>
                <w:rFonts w:ascii="Calibri" w:hAnsi="Calibri"/>
                <w:sz w:val="22"/>
              </w:rPr>
            </w:pPr>
            <w:r w:rsidRPr="00F65891">
              <w:rPr>
                <w:rFonts w:ascii="Calibri" w:hAnsi="Calibri"/>
                <w:sz w:val="22"/>
              </w:rPr>
              <w:t>Periodic checks by ICANN Compliance, also following up on any related complaints.</w:t>
            </w:r>
          </w:p>
        </w:tc>
        <w:tc>
          <w:tcPr>
            <w:tcW w:w="2554" w:type="dxa"/>
          </w:tcPr>
          <w:p w14:paraId="21252D27" w14:textId="77777777" w:rsidR="003E40B7" w:rsidRPr="00E3587C" w:rsidRDefault="00F65891" w:rsidP="00B5047A">
            <w:pPr>
              <w:contextualSpacing/>
              <w:rPr>
                <w:rFonts w:ascii="Calibri" w:hAnsi="Calibri"/>
                <w:sz w:val="22"/>
              </w:rPr>
            </w:pPr>
            <w:r>
              <w:rPr>
                <w:rFonts w:ascii="Calibri" w:hAnsi="Calibri"/>
                <w:sz w:val="22"/>
              </w:rPr>
              <w:t>Withheld</w:t>
            </w:r>
          </w:p>
        </w:tc>
        <w:tc>
          <w:tcPr>
            <w:tcW w:w="2956" w:type="dxa"/>
          </w:tcPr>
          <w:p w14:paraId="2A41F428" w14:textId="77777777" w:rsidR="003E40B7" w:rsidRPr="00F55B44" w:rsidRDefault="003E40B7" w:rsidP="00B5047A">
            <w:pPr>
              <w:contextualSpacing/>
              <w:rPr>
                <w:rFonts w:ascii="Calibri" w:hAnsi="Calibri"/>
                <w:sz w:val="22"/>
              </w:rPr>
            </w:pPr>
          </w:p>
        </w:tc>
        <w:tc>
          <w:tcPr>
            <w:tcW w:w="3022" w:type="dxa"/>
          </w:tcPr>
          <w:p w14:paraId="3F4064D8" w14:textId="77777777" w:rsidR="003E40B7" w:rsidRPr="00BB5F84" w:rsidRDefault="003E40B7" w:rsidP="00EC7DD9">
            <w:pPr>
              <w:ind w:left="360"/>
              <w:contextualSpacing/>
              <w:rPr>
                <w:rFonts w:ascii="Calibri" w:hAnsi="Calibri"/>
                <w:sz w:val="22"/>
              </w:rPr>
            </w:pPr>
          </w:p>
        </w:tc>
      </w:tr>
      <w:tr w:rsidR="003E40B7" w:rsidRPr="00E3587C" w14:paraId="74A080CD" w14:textId="77777777" w:rsidTr="00DA46D4">
        <w:tblPrEx>
          <w:tblLook w:val="04A0" w:firstRow="1" w:lastRow="0" w:firstColumn="1" w:lastColumn="0" w:noHBand="0" w:noVBand="1"/>
        </w:tblPrEx>
        <w:tc>
          <w:tcPr>
            <w:tcW w:w="4644" w:type="dxa"/>
            <w:tcBorders>
              <w:bottom w:val="single" w:sz="4" w:space="0" w:color="000000"/>
            </w:tcBorders>
          </w:tcPr>
          <w:p w14:paraId="7ECB74CB" w14:textId="77777777" w:rsidR="003E40B7" w:rsidRPr="00E3587C" w:rsidRDefault="00F65891" w:rsidP="003E40B7">
            <w:pPr>
              <w:contextualSpacing/>
              <w:rPr>
                <w:rFonts w:ascii="Times" w:hAnsi="Times"/>
                <w:sz w:val="20"/>
                <w:szCs w:val="20"/>
              </w:rPr>
            </w:pPr>
            <w:r>
              <w:rPr>
                <w:rFonts w:ascii="Calibri" w:hAnsi="Calibri"/>
                <w:sz w:val="22"/>
              </w:rPr>
              <w:t>E</w:t>
            </w:r>
            <w:r w:rsidRPr="00F65891">
              <w:rPr>
                <w:rFonts w:ascii="Calibri" w:hAnsi="Calibri"/>
                <w:sz w:val="22"/>
              </w:rPr>
              <w:t>mail should be more than sufficient, even within a ticket system for processing and completing any complaint.</w:t>
            </w:r>
          </w:p>
        </w:tc>
        <w:tc>
          <w:tcPr>
            <w:tcW w:w="2554" w:type="dxa"/>
            <w:tcBorders>
              <w:bottom w:val="single" w:sz="4" w:space="0" w:color="000000"/>
            </w:tcBorders>
          </w:tcPr>
          <w:p w14:paraId="5E4C81C9" w14:textId="77777777" w:rsidR="003E40B7" w:rsidRPr="00E3587C" w:rsidRDefault="00F65891" w:rsidP="00B5047A">
            <w:pPr>
              <w:contextualSpacing/>
              <w:rPr>
                <w:rFonts w:ascii="Calibri" w:hAnsi="Calibri"/>
                <w:sz w:val="22"/>
              </w:rPr>
            </w:pPr>
            <w:r>
              <w:rPr>
                <w:rFonts w:ascii="Calibri" w:hAnsi="Calibri"/>
                <w:sz w:val="22"/>
              </w:rPr>
              <w:t xml:space="preserve">Chris </w:t>
            </w:r>
            <w:proofErr w:type="spellStart"/>
            <w:r>
              <w:rPr>
                <w:rFonts w:ascii="Calibri" w:hAnsi="Calibri"/>
                <w:sz w:val="22"/>
              </w:rPr>
              <w:t>Pelling</w:t>
            </w:r>
            <w:proofErr w:type="spellEnd"/>
          </w:p>
        </w:tc>
        <w:tc>
          <w:tcPr>
            <w:tcW w:w="2956" w:type="dxa"/>
            <w:tcBorders>
              <w:bottom w:val="single" w:sz="4" w:space="0" w:color="000000"/>
            </w:tcBorders>
          </w:tcPr>
          <w:p w14:paraId="381BE78B" w14:textId="77777777" w:rsidR="003E40B7" w:rsidRPr="00F55B44" w:rsidRDefault="003E40B7" w:rsidP="00B5047A">
            <w:pPr>
              <w:contextualSpacing/>
              <w:rPr>
                <w:rFonts w:ascii="Calibri" w:hAnsi="Calibri"/>
                <w:sz w:val="22"/>
              </w:rPr>
            </w:pPr>
          </w:p>
        </w:tc>
        <w:tc>
          <w:tcPr>
            <w:tcW w:w="3022" w:type="dxa"/>
            <w:tcBorders>
              <w:bottom w:val="single" w:sz="4" w:space="0" w:color="000000"/>
            </w:tcBorders>
          </w:tcPr>
          <w:p w14:paraId="218E8C13" w14:textId="77777777" w:rsidR="003E40B7" w:rsidRPr="00E3587C" w:rsidRDefault="003E40B7" w:rsidP="00B5047A">
            <w:pPr>
              <w:contextualSpacing/>
              <w:rPr>
                <w:rFonts w:ascii="Calibri" w:hAnsi="Calibri"/>
                <w:sz w:val="22"/>
              </w:rPr>
            </w:pPr>
          </w:p>
        </w:tc>
      </w:tr>
      <w:tr w:rsidR="003E40B7" w:rsidRPr="00E3587C" w14:paraId="271DBC13" w14:textId="77777777" w:rsidTr="00DA46D4">
        <w:tblPrEx>
          <w:tblLook w:val="04A0" w:firstRow="1" w:lastRow="0" w:firstColumn="1" w:lastColumn="0" w:noHBand="0" w:noVBand="1"/>
        </w:tblPrEx>
        <w:tc>
          <w:tcPr>
            <w:tcW w:w="4644" w:type="dxa"/>
            <w:tcBorders>
              <w:bottom w:val="single" w:sz="4" w:space="0" w:color="000000"/>
            </w:tcBorders>
          </w:tcPr>
          <w:p w14:paraId="4C7A38C0" w14:textId="77777777" w:rsidR="003E40B7" w:rsidRPr="00886F1D" w:rsidRDefault="00F65891" w:rsidP="00F65891">
            <w:pPr>
              <w:contextualSpacing/>
              <w:rPr>
                <w:rFonts w:ascii="Calibri" w:hAnsi="Calibri"/>
                <w:sz w:val="22"/>
              </w:rPr>
            </w:pPr>
            <w:r w:rsidRPr="00F65891">
              <w:rPr>
                <w:rFonts w:ascii="Calibri" w:hAnsi="Calibri"/>
                <w:sz w:val="22"/>
              </w:rPr>
              <w:t>Each form of contact that is relay-able to the registrant should be relayed in a timely manner. Clearly forwarding</w:t>
            </w:r>
            <w:r>
              <w:rPr>
                <w:rFonts w:ascii="Calibri" w:hAnsi="Calibri"/>
                <w:sz w:val="22"/>
              </w:rPr>
              <w:t xml:space="preserve"> </w:t>
            </w:r>
            <w:r w:rsidRPr="00F65891">
              <w:rPr>
                <w:rFonts w:ascii="Calibri" w:hAnsi="Calibri"/>
                <w:sz w:val="22"/>
              </w:rPr>
              <w:t>an email to a registrant can be automated and rapid, while postal mail may be more time consuming. Providers</w:t>
            </w:r>
            <w:r>
              <w:rPr>
                <w:rFonts w:ascii="Calibri" w:hAnsi="Calibri"/>
                <w:sz w:val="22"/>
              </w:rPr>
              <w:t xml:space="preserve"> </w:t>
            </w:r>
            <w:r w:rsidRPr="00F65891">
              <w:rPr>
                <w:rFonts w:ascii="Calibri" w:hAnsi="Calibri"/>
                <w:sz w:val="22"/>
              </w:rPr>
              <w:t>should also respond to reveal requests and allegations of criminal contact in a timely fashion. Reasonable time</w:t>
            </w:r>
            <w:r>
              <w:rPr>
                <w:rFonts w:ascii="Calibri" w:hAnsi="Calibri"/>
                <w:sz w:val="22"/>
              </w:rPr>
              <w:t xml:space="preserve"> </w:t>
            </w:r>
            <w:r w:rsidRPr="00F65891">
              <w:rPr>
                <w:rFonts w:ascii="Calibri" w:hAnsi="Calibri"/>
                <w:sz w:val="22"/>
              </w:rPr>
              <w:t>frames for both relays, and external requests should be mandated in the contract between ICANN and the</w:t>
            </w:r>
            <w:r>
              <w:rPr>
                <w:rFonts w:ascii="Calibri" w:hAnsi="Calibri"/>
                <w:sz w:val="22"/>
              </w:rPr>
              <w:t xml:space="preserve"> </w:t>
            </w:r>
            <w:r w:rsidRPr="00F65891">
              <w:rPr>
                <w:rFonts w:ascii="Calibri" w:hAnsi="Calibri"/>
                <w:sz w:val="22"/>
              </w:rPr>
              <w:t>providers.</w:t>
            </w:r>
          </w:p>
        </w:tc>
        <w:tc>
          <w:tcPr>
            <w:tcW w:w="2554" w:type="dxa"/>
            <w:tcBorders>
              <w:bottom w:val="single" w:sz="4" w:space="0" w:color="000000"/>
            </w:tcBorders>
          </w:tcPr>
          <w:p w14:paraId="07DFF665" w14:textId="77777777" w:rsidR="00F65891" w:rsidRPr="00F65891" w:rsidRDefault="00F65891" w:rsidP="00F65891">
            <w:pPr>
              <w:contextualSpacing/>
              <w:rPr>
                <w:rFonts w:ascii="Calibri" w:hAnsi="Calibri"/>
                <w:sz w:val="22"/>
              </w:rPr>
            </w:pPr>
            <w:r w:rsidRPr="00F65891">
              <w:rPr>
                <w:rFonts w:ascii="Calibri" w:hAnsi="Calibri"/>
                <w:sz w:val="22"/>
              </w:rPr>
              <w:t>Emily Emanuel, John Horton, and Justin Macy.</w:t>
            </w:r>
          </w:p>
          <w:p w14:paraId="35FC2F99" w14:textId="77777777" w:rsidR="003E40B7" w:rsidRDefault="00F65891" w:rsidP="00F65891">
            <w:pPr>
              <w:contextualSpacing/>
              <w:rPr>
                <w:rFonts w:ascii="Calibri" w:hAnsi="Calibri"/>
                <w:sz w:val="22"/>
              </w:rPr>
            </w:pPr>
            <w:r w:rsidRPr="00F65891">
              <w:rPr>
                <w:rFonts w:ascii="Calibri" w:hAnsi="Calibri"/>
                <w:sz w:val="22"/>
              </w:rPr>
              <w:t xml:space="preserve">Representing </w:t>
            </w:r>
            <w:proofErr w:type="spellStart"/>
            <w:r w:rsidRPr="00F65891">
              <w:rPr>
                <w:rFonts w:ascii="Calibri" w:hAnsi="Calibri"/>
                <w:sz w:val="22"/>
              </w:rPr>
              <w:t>LegitScript</w:t>
            </w:r>
            <w:proofErr w:type="spellEnd"/>
          </w:p>
        </w:tc>
        <w:tc>
          <w:tcPr>
            <w:tcW w:w="2956" w:type="dxa"/>
            <w:tcBorders>
              <w:bottom w:val="single" w:sz="4" w:space="0" w:color="000000"/>
            </w:tcBorders>
          </w:tcPr>
          <w:p w14:paraId="26BACF2F" w14:textId="77777777" w:rsidR="003E40B7" w:rsidRPr="00F55B44" w:rsidRDefault="003E40B7" w:rsidP="0041164E">
            <w:pPr>
              <w:contextualSpacing/>
              <w:rPr>
                <w:rFonts w:ascii="Calibri" w:hAnsi="Calibri"/>
                <w:sz w:val="22"/>
              </w:rPr>
            </w:pPr>
          </w:p>
        </w:tc>
        <w:tc>
          <w:tcPr>
            <w:tcW w:w="3022" w:type="dxa"/>
            <w:tcBorders>
              <w:bottom w:val="single" w:sz="4" w:space="0" w:color="000000"/>
            </w:tcBorders>
          </w:tcPr>
          <w:p w14:paraId="67AB064E" w14:textId="77777777" w:rsidR="003E40B7" w:rsidRPr="00F941BA" w:rsidRDefault="003E40B7" w:rsidP="0041164E">
            <w:pPr>
              <w:contextualSpacing/>
              <w:rPr>
                <w:rFonts w:ascii="Calibri" w:hAnsi="Calibri"/>
                <w:b/>
                <w:sz w:val="22"/>
              </w:rPr>
            </w:pPr>
          </w:p>
        </w:tc>
      </w:tr>
      <w:tr w:rsidR="003E40B7" w:rsidRPr="00E3587C" w14:paraId="377C19CD" w14:textId="77777777" w:rsidTr="00DA46D4">
        <w:tblPrEx>
          <w:tblLook w:val="04A0" w:firstRow="1" w:lastRow="0" w:firstColumn="1" w:lastColumn="0" w:noHBand="0" w:noVBand="1"/>
        </w:tblPrEx>
        <w:tc>
          <w:tcPr>
            <w:tcW w:w="4644" w:type="dxa"/>
            <w:tcBorders>
              <w:bottom w:val="single" w:sz="4" w:space="0" w:color="000000"/>
            </w:tcBorders>
          </w:tcPr>
          <w:p w14:paraId="3AC4E14C" w14:textId="77777777" w:rsidR="003E40B7" w:rsidRDefault="00F65891" w:rsidP="00F65891">
            <w:pPr>
              <w:contextualSpacing/>
              <w:rPr>
                <w:rFonts w:ascii="Calibri" w:hAnsi="Calibri"/>
                <w:sz w:val="22"/>
              </w:rPr>
            </w:pPr>
            <w:r w:rsidRPr="00F65891">
              <w:rPr>
                <w:rFonts w:ascii="Calibri" w:hAnsi="Calibri"/>
                <w:sz w:val="22"/>
              </w:rPr>
              <w:t>Upon receipt of a third party complaint ICANN should proactively take prompt steps to enforce the obligations of</w:t>
            </w:r>
            <w:r>
              <w:rPr>
                <w:rFonts w:ascii="Calibri" w:hAnsi="Calibri"/>
                <w:sz w:val="22"/>
              </w:rPr>
              <w:t xml:space="preserve"> </w:t>
            </w:r>
            <w:r w:rsidRPr="00F65891">
              <w:rPr>
                <w:rFonts w:ascii="Calibri" w:hAnsi="Calibri"/>
                <w:sz w:val="22"/>
              </w:rPr>
              <w:t>registrars. Services that cannot be contacted or that do not respond in a timely fashion should risk loss of</w:t>
            </w:r>
            <w:r>
              <w:rPr>
                <w:rFonts w:ascii="Calibri" w:hAnsi="Calibri"/>
                <w:sz w:val="22"/>
              </w:rPr>
              <w:t xml:space="preserve"> </w:t>
            </w:r>
            <w:r w:rsidRPr="00F65891">
              <w:rPr>
                <w:rFonts w:ascii="Calibri" w:hAnsi="Calibri"/>
                <w:sz w:val="22"/>
              </w:rPr>
              <w:t>accreditation and therefore ability to register domain names through accredited registrars. ICANN should also</w:t>
            </w:r>
            <w:r>
              <w:rPr>
                <w:rFonts w:ascii="Calibri" w:hAnsi="Calibri"/>
                <w:sz w:val="22"/>
              </w:rPr>
              <w:t xml:space="preserve"> </w:t>
            </w:r>
            <w:r w:rsidRPr="00F65891">
              <w:rPr>
                <w:rFonts w:ascii="Calibri" w:hAnsi="Calibri"/>
                <w:sz w:val="22"/>
              </w:rPr>
              <w:t>maintain a registry of accredited providers.</w:t>
            </w:r>
          </w:p>
        </w:tc>
        <w:tc>
          <w:tcPr>
            <w:tcW w:w="2554" w:type="dxa"/>
            <w:tcBorders>
              <w:bottom w:val="single" w:sz="4" w:space="0" w:color="000000"/>
            </w:tcBorders>
          </w:tcPr>
          <w:p w14:paraId="2E03E386" w14:textId="77777777" w:rsidR="003E40B7" w:rsidRDefault="00F65891" w:rsidP="00B5047A">
            <w:pPr>
              <w:contextualSpacing/>
              <w:rPr>
                <w:rFonts w:ascii="Calibri" w:hAnsi="Calibri"/>
                <w:sz w:val="22"/>
              </w:rPr>
            </w:pPr>
            <w:r w:rsidRPr="00F65891">
              <w:rPr>
                <w:rFonts w:ascii="Calibri" w:hAnsi="Calibri"/>
                <w:sz w:val="22"/>
              </w:rPr>
              <w:t xml:space="preserve">Keith </w:t>
            </w:r>
            <w:proofErr w:type="spellStart"/>
            <w:r w:rsidRPr="00F65891">
              <w:rPr>
                <w:rFonts w:ascii="Calibri" w:hAnsi="Calibri"/>
                <w:sz w:val="22"/>
              </w:rPr>
              <w:t>Kupferschmid</w:t>
            </w:r>
            <w:proofErr w:type="spellEnd"/>
          </w:p>
        </w:tc>
        <w:tc>
          <w:tcPr>
            <w:tcW w:w="2956" w:type="dxa"/>
            <w:tcBorders>
              <w:bottom w:val="single" w:sz="4" w:space="0" w:color="000000"/>
            </w:tcBorders>
          </w:tcPr>
          <w:p w14:paraId="663C4705" w14:textId="77777777" w:rsidR="007A04A2" w:rsidRPr="00F55B44" w:rsidRDefault="007A04A2" w:rsidP="00776ECD">
            <w:pPr>
              <w:contextualSpacing/>
              <w:rPr>
                <w:rFonts w:ascii="Calibri" w:hAnsi="Calibri"/>
                <w:sz w:val="22"/>
              </w:rPr>
            </w:pPr>
          </w:p>
        </w:tc>
        <w:tc>
          <w:tcPr>
            <w:tcW w:w="3022" w:type="dxa"/>
            <w:tcBorders>
              <w:bottom w:val="single" w:sz="4" w:space="0" w:color="000000"/>
            </w:tcBorders>
          </w:tcPr>
          <w:p w14:paraId="317D85A0" w14:textId="77777777" w:rsidR="003E40B7" w:rsidRPr="00E3587C" w:rsidRDefault="003E40B7" w:rsidP="00B5047A">
            <w:pPr>
              <w:contextualSpacing/>
              <w:rPr>
                <w:rFonts w:ascii="Calibri" w:hAnsi="Calibri"/>
                <w:sz w:val="22"/>
              </w:rPr>
            </w:pPr>
          </w:p>
        </w:tc>
      </w:tr>
      <w:tr w:rsidR="003E40B7" w:rsidRPr="00E3587C" w14:paraId="5A3A7D5A" w14:textId="77777777" w:rsidTr="003E40B7">
        <w:tblPrEx>
          <w:tblLook w:val="04A0" w:firstRow="1" w:lastRow="0" w:firstColumn="1" w:lastColumn="0" w:noHBand="0" w:noVBand="1"/>
        </w:tblPrEx>
        <w:tc>
          <w:tcPr>
            <w:tcW w:w="4644" w:type="dxa"/>
          </w:tcPr>
          <w:p w14:paraId="2EF69CAC" w14:textId="77777777" w:rsidR="003E40B7" w:rsidRDefault="00F65891" w:rsidP="00F65891">
            <w:pPr>
              <w:contextualSpacing/>
              <w:rPr>
                <w:rFonts w:ascii="Calibri" w:hAnsi="Calibri"/>
                <w:sz w:val="22"/>
              </w:rPr>
            </w:pPr>
            <w:r w:rsidRPr="00F65891">
              <w:rPr>
                <w:rFonts w:ascii="Calibri" w:hAnsi="Calibri"/>
                <w:sz w:val="22"/>
              </w:rPr>
              <w:t>Contractual obligation to provide (1) full and accurate PP Service Provider contact information in all Whois entries</w:t>
            </w:r>
            <w:r>
              <w:rPr>
                <w:rFonts w:ascii="Calibri" w:hAnsi="Calibri"/>
                <w:sz w:val="22"/>
              </w:rPr>
              <w:t xml:space="preserve"> </w:t>
            </w:r>
            <w:r w:rsidRPr="00F65891">
              <w:rPr>
                <w:rFonts w:ascii="Calibri" w:hAnsi="Calibri"/>
                <w:sz w:val="22"/>
              </w:rPr>
              <w:t>using PPS; (2) potential for revocation of PP Service Provider accreditation and liability where the Service Provider</w:t>
            </w:r>
            <w:r>
              <w:rPr>
                <w:rFonts w:ascii="Calibri" w:hAnsi="Calibri"/>
                <w:sz w:val="22"/>
              </w:rPr>
              <w:t xml:space="preserve"> </w:t>
            </w:r>
            <w:r w:rsidRPr="00F65891">
              <w:rPr>
                <w:rFonts w:ascii="Calibri" w:hAnsi="Calibri"/>
                <w:sz w:val="22"/>
              </w:rPr>
              <w:t>does not comply with the RELAY and REVEAL procedures in 2 above.</w:t>
            </w:r>
          </w:p>
        </w:tc>
        <w:tc>
          <w:tcPr>
            <w:tcW w:w="2554" w:type="dxa"/>
          </w:tcPr>
          <w:p w14:paraId="45E54C19" w14:textId="77777777" w:rsidR="00F65891" w:rsidRPr="00F65891" w:rsidRDefault="00F65891" w:rsidP="00F65891">
            <w:pPr>
              <w:contextualSpacing/>
              <w:rPr>
                <w:rFonts w:ascii="Calibri" w:hAnsi="Calibri"/>
                <w:sz w:val="22"/>
              </w:rPr>
            </w:pPr>
            <w:r w:rsidRPr="00F65891">
              <w:rPr>
                <w:rFonts w:ascii="Calibri" w:hAnsi="Calibri"/>
                <w:sz w:val="22"/>
              </w:rPr>
              <w:t xml:space="preserve">Jim </w:t>
            </w:r>
            <w:proofErr w:type="spellStart"/>
            <w:r w:rsidRPr="00F65891">
              <w:rPr>
                <w:rFonts w:ascii="Calibri" w:hAnsi="Calibri"/>
                <w:sz w:val="22"/>
              </w:rPr>
              <w:t>Bikoff</w:t>
            </w:r>
            <w:proofErr w:type="spellEnd"/>
            <w:r w:rsidRPr="00F65891">
              <w:rPr>
                <w:rFonts w:ascii="Calibri" w:hAnsi="Calibri"/>
                <w:sz w:val="22"/>
              </w:rPr>
              <w:t xml:space="preserve">, David </w:t>
            </w:r>
            <w:proofErr w:type="spellStart"/>
            <w:r w:rsidRPr="00F65891">
              <w:rPr>
                <w:rFonts w:ascii="Calibri" w:hAnsi="Calibri"/>
                <w:sz w:val="22"/>
              </w:rPr>
              <w:t>Heasley</w:t>
            </w:r>
            <w:proofErr w:type="spellEnd"/>
            <w:r w:rsidRPr="00F65891">
              <w:rPr>
                <w:rFonts w:ascii="Calibri" w:hAnsi="Calibri"/>
                <w:sz w:val="22"/>
              </w:rPr>
              <w:t xml:space="preserve">, Griffin Barnett, </w:t>
            </w:r>
            <w:proofErr w:type="spellStart"/>
            <w:r w:rsidRPr="00F65891">
              <w:rPr>
                <w:rFonts w:ascii="Calibri" w:hAnsi="Calibri"/>
                <w:sz w:val="22"/>
              </w:rPr>
              <w:t>Valeriya</w:t>
            </w:r>
            <w:proofErr w:type="spellEnd"/>
          </w:p>
          <w:p w14:paraId="08A53E37" w14:textId="77777777" w:rsidR="003E40B7" w:rsidRDefault="00F65891" w:rsidP="00F65891">
            <w:pPr>
              <w:contextualSpacing/>
              <w:rPr>
                <w:rFonts w:ascii="Calibri" w:hAnsi="Calibri"/>
                <w:sz w:val="22"/>
              </w:rPr>
            </w:pPr>
            <w:r w:rsidRPr="00F65891">
              <w:rPr>
                <w:rFonts w:ascii="Calibri" w:hAnsi="Calibri"/>
                <w:sz w:val="22"/>
              </w:rPr>
              <w:t xml:space="preserve">Sherman / Silverberg, Goldman &amp; </w:t>
            </w:r>
            <w:proofErr w:type="spellStart"/>
            <w:r w:rsidRPr="00F65891">
              <w:rPr>
                <w:rFonts w:ascii="Calibri" w:hAnsi="Calibri"/>
                <w:sz w:val="22"/>
              </w:rPr>
              <w:t>Bikoff</w:t>
            </w:r>
            <w:proofErr w:type="spellEnd"/>
            <w:r w:rsidRPr="00F65891">
              <w:rPr>
                <w:rFonts w:ascii="Calibri" w:hAnsi="Calibri"/>
                <w:sz w:val="22"/>
              </w:rPr>
              <w:t>, LLP</w:t>
            </w:r>
          </w:p>
        </w:tc>
        <w:tc>
          <w:tcPr>
            <w:tcW w:w="2956" w:type="dxa"/>
          </w:tcPr>
          <w:p w14:paraId="4650835F" w14:textId="77777777" w:rsidR="003E40B7" w:rsidRPr="00F55B44" w:rsidRDefault="003E40B7" w:rsidP="00B5047A">
            <w:pPr>
              <w:contextualSpacing/>
              <w:rPr>
                <w:rFonts w:ascii="Calibri" w:hAnsi="Calibri"/>
                <w:sz w:val="22"/>
              </w:rPr>
            </w:pPr>
          </w:p>
        </w:tc>
        <w:tc>
          <w:tcPr>
            <w:tcW w:w="3022" w:type="dxa"/>
          </w:tcPr>
          <w:p w14:paraId="19CCA09E" w14:textId="77777777" w:rsidR="003E40B7" w:rsidRPr="00E3587C" w:rsidRDefault="003E40B7" w:rsidP="00B5047A">
            <w:pPr>
              <w:contextualSpacing/>
              <w:rPr>
                <w:rFonts w:ascii="Calibri" w:hAnsi="Calibri"/>
                <w:sz w:val="22"/>
              </w:rPr>
            </w:pPr>
          </w:p>
        </w:tc>
      </w:tr>
      <w:tr w:rsidR="003E40B7" w:rsidRPr="00E3587C" w14:paraId="09A37BC8" w14:textId="77777777" w:rsidTr="003E40B7">
        <w:tblPrEx>
          <w:tblLook w:val="04A0" w:firstRow="1" w:lastRow="0" w:firstColumn="1" w:lastColumn="0" w:noHBand="0" w:noVBand="1"/>
        </w:tblPrEx>
        <w:tc>
          <w:tcPr>
            <w:tcW w:w="4644" w:type="dxa"/>
          </w:tcPr>
          <w:p w14:paraId="10E7C921" w14:textId="77777777" w:rsidR="003E40B7" w:rsidRPr="003E40B7" w:rsidRDefault="00F65891" w:rsidP="00F65891">
            <w:pPr>
              <w:contextualSpacing/>
              <w:rPr>
                <w:rFonts w:ascii="Calibri" w:hAnsi="Calibri"/>
                <w:sz w:val="22"/>
              </w:rPr>
            </w:pPr>
            <w:r w:rsidRPr="00F65891">
              <w:rPr>
                <w:rFonts w:ascii="Calibri" w:hAnsi="Calibri"/>
                <w:sz w:val="22"/>
              </w:rPr>
              <w:t>Banning them from holding more domain names, seizing revenues from "registrations", stripping them of their</w:t>
            </w:r>
            <w:r>
              <w:rPr>
                <w:rFonts w:ascii="Calibri" w:hAnsi="Calibri"/>
                <w:sz w:val="22"/>
              </w:rPr>
              <w:t xml:space="preserve"> </w:t>
            </w:r>
            <w:r w:rsidRPr="00F65891">
              <w:rPr>
                <w:rFonts w:ascii="Calibri" w:hAnsi="Calibri"/>
                <w:sz w:val="22"/>
              </w:rPr>
              <w:t>accreditation to be a proxy/privacy service and ordering the transfer to another service of the names they hold,</w:t>
            </w:r>
            <w:r>
              <w:rPr>
                <w:rFonts w:ascii="Calibri" w:hAnsi="Calibri"/>
                <w:sz w:val="22"/>
              </w:rPr>
              <w:t xml:space="preserve"> </w:t>
            </w:r>
            <w:r w:rsidRPr="00F65891">
              <w:rPr>
                <w:rFonts w:ascii="Calibri" w:hAnsi="Calibri"/>
                <w:sz w:val="22"/>
              </w:rPr>
              <w:t>imposing a hefty fine on them (a 20% of their income last year)...</w:t>
            </w:r>
          </w:p>
        </w:tc>
        <w:tc>
          <w:tcPr>
            <w:tcW w:w="2554" w:type="dxa"/>
          </w:tcPr>
          <w:p w14:paraId="271BABE4" w14:textId="77777777" w:rsidR="003E40B7" w:rsidRDefault="00F65891" w:rsidP="00EC7DD9">
            <w:pPr>
              <w:contextualSpacing/>
              <w:rPr>
                <w:rFonts w:ascii="Calibri" w:hAnsi="Calibri"/>
                <w:sz w:val="22"/>
              </w:rPr>
            </w:pPr>
            <w:proofErr w:type="spellStart"/>
            <w:r>
              <w:rPr>
                <w:rFonts w:ascii="Calibri" w:hAnsi="Calibri"/>
                <w:sz w:val="22"/>
              </w:rPr>
              <w:t>Gema</w:t>
            </w:r>
            <w:proofErr w:type="spellEnd"/>
            <w:r>
              <w:rPr>
                <w:rFonts w:ascii="Calibri" w:hAnsi="Calibri"/>
                <w:sz w:val="22"/>
              </w:rPr>
              <w:t xml:space="preserve"> </w:t>
            </w:r>
            <w:proofErr w:type="spellStart"/>
            <w:r>
              <w:rPr>
                <w:rFonts w:ascii="Calibri" w:hAnsi="Calibri"/>
                <w:sz w:val="22"/>
              </w:rPr>
              <w:t>Campillos</w:t>
            </w:r>
            <w:proofErr w:type="spellEnd"/>
          </w:p>
        </w:tc>
        <w:tc>
          <w:tcPr>
            <w:tcW w:w="2956" w:type="dxa"/>
          </w:tcPr>
          <w:p w14:paraId="6B9E0671" w14:textId="77777777" w:rsidR="003E40B7" w:rsidRPr="00F55B44" w:rsidRDefault="003E40B7" w:rsidP="00B5047A">
            <w:pPr>
              <w:contextualSpacing/>
              <w:rPr>
                <w:rFonts w:ascii="Calibri" w:hAnsi="Calibri"/>
                <w:sz w:val="22"/>
              </w:rPr>
            </w:pPr>
          </w:p>
        </w:tc>
        <w:tc>
          <w:tcPr>
            <w:tcW w:w="3022" w:type="dxa"/>
          </w:tcPr>
          <w:p w14:paraId="286A1B3B" w14:textId="77777777" w:rsidR="003E40B7" w:rsidRPr="00E3587C" w:rsidRDefault="003E40B7" w:rsidP="00B5047A">
            <w:pPr>
              <w:contextualSpacing/>
              <w:rPr>
                <w:rFonts w:ascii="Calibri" w:hAnsi="Calibri"/>
                <w:sz w:val="22"/>
              </w:rPr>
            </w:pPr>
          </w:p>
        </w:tc>
      </w:tr>
      <w:tr w:rsidR="003E40B7" w:rsidRPr="00E3587C" w14:paraId="59896F7F" w14:textId="77777777" w:rsidTr="003E40B7">
        <w:tblPrEx>
          <w:tblLook w:val="04A0" w:firstRow="1" w:lastRow="0" w:firstColumn="1" w:lastColumn="0" w:noHBand="0" w:noVBand="1"/>
        </w:tblPrEx>
        <w:tc>
          <w:tcPr>
            <w:tcW w:w="4644" w:type="dxa"/>
          </w:tcPr>
          <w:p w14:paraId="5FD056DC" w14:textId="77777777" w:rsidR="003E40B7" w:rsidRPr="003E40B7" w:rsidRDefault="00F65891" w:rsidP="00F65891">
            <w:pPr>
              <w:contextualSpacing/>
              <w:rPr>
                <w:rFonts w:ascii="Calibri" w:hAnsi="Calibri"/>
                <w:sz w:val="22"/>
              </w:rPr>
            </w:pPr>
            <w:r w:rsidRPr="00F65891">
              <w:rPr>
                <w:rFonts w:ascii="Calibri" w:hAnsi="Calibri"/>
                <w:sz w:val="22"/>
              </w:rPr>
              <w:t>Strong ICANN enforcement, proactively and when triggered by third party complaint (so that services that cannot be contacted, or that do not respond in a timely fashion, risk loss of accreditation and therefore ability to register DNs through accredited registrars).  ICANN to maintain publicly accessible registry of accredited provid</w:t>
            </w:r>
            <w:r>
              <w:rPr>
                <w:rFonts w:ascii="Calibri" w:hAnsi="Calibri"/>
                <w:sz w:val="22"/>
              </w:rPr>
              <w:t xml:space="preserve">ers. </w:t>
            </w:r>
            <w:r w:rsidRPr="00F65891">
              <w:rPr>
                <w:rFonts w:ascii="Calibri" w:hAnsi="Calibri"/>
                <w:sz w:val="22"/>
              </w:rPr>
              <w:t>Service providers should be required (as term of accreditation) to respond to all inquiries, regardless of location of service or of party launching the inquiry.</w:t>
            </w:r>
          </w:p>
        </w:tc>
        <w:tc>
          <w:tcPr>
            <w:tcW w:w="2554" w:type="dxa"/>
          </w:tcPr>
          <w:p w14:paraId="56A12065" w14:textId="77777777" w:rsidR="003E40B7" w:rsidRDefault="00F65891" w:rsidP="00EC7DD9">
            <w:pPr>
              <w:contextualSpacing/>
              <w:rPr>
                <w:rFonts w:ascii="Calibri" w:hAnsi="Calibri"/>
                <w:sz w:val="22"/>
              </w:rPr>
            </w:pPr>
            <w:r>
              <w:rPr>
                <w:rFonts w:ascii="Calibri" w:hAnsi="Calibri"/>
                <w:sz w:val="22"/>
              </w:rPr>
              <w:t>IPC</w:t>
            </w:r>
          </w:p>
        </w:tc>
        <w:tc>
          <w:tcPr>
            <w:tcW w:w="2956" w:type="dxa"/>
          </w:tcPr>
          <w:p w14:paraId="7E64A0CC" w14:textId="77777777" w:rsidR="003E40B7" w:rsidRPr="00F55B44" w:rsidRDefault="003E40B7" w:rsidP="00B5047A">
            <w:pPr>
              <w:contextualSpacing/>
              <w:rPr>
                <w:rFonts w:ascii="Calibri" w:hAnsi="Calibri"/>
                <w:sz w:val="22"/>
              </w:rPr>
            </w:pPr>
          </w:p>
        </w:tc>
        <w:tc>
          <w:tcPr>
            <w:tcW w:w="3022" w:type="dxa"/>
          </w:tcPr>
          <w:p w14:paraId="7579B7B4" w14:textId="77777777" w:rsidR="003E40B7" w:rsidRPr="00E3587C" w:rsidRDefault="003E40B7" w:rsidP="00B5047A">
            <w:pPr>
              <w:contextualSpacing/>
              <w:rPr>
                <w:rFonts w:ascii="Calibri" w:hAnsi="Calibri"/>
                <w:sz w:val="22"/>
              </w:rPr>
            </w:pPr>
          </w:p>
        </w:tc>
      </w:tr>
      <w:tr w:rsidR="003E40B7" w:rsidRPr="00E3587C" w14:paraId="56039774" w14:textId="77777777" w:rsidTr="003E40B7">
        <w:tblPrEx>
          <w:tblLook w:val="04A0" w:firstRow="1" w:lastRow="0" w:firstColumn="1" w:lastColumn="0" w:noHBand="0" w:noVBand="1"/>
        </w:tblPrEx>
        <w:tc>
          <w:tcPr>
            <w:tcW w:w="4644" w:type="dxa"/>
          </w:tcPr>
          <w:p w14:paraId="088745C3" w14:textId="77777777" w:rsidR="003E40B7" w:rsidRPr="003E40B7" w:rsidRDefault="00F65891" w:rsidP="00F65891">
            <w:pPr>
              <w:contextualSpacing/>
              <w:rPr>
                <w:rFonts w:ascii="Calibri" w:hAnsi="Calibri"/>
                <w:sz w:val="22"/>
              </w:rPr>
            </w:pPr>
            <w:r w:rsidRPr="00F65891">
              <w:rPr>
                <w:rFonts w:ascii="Calibri" w:hAnsi="Calibri"/>
                <w:sz w:val="22"/>
              </w:rPr>
              <w:t>The RAA raises some good ideas. We would like to talk in the WG with the P/P Service Providers to see what they think, how the new rules are working, and whether they serve the purpose for which they were intended (</w:t>
            </w:r>
            <w:proofErr w:type="spellStart"/>
            <w:r w:rsidRPr="00F65891">
              <w:rPr>
                <w:rFonts w:ascii="Calibri" w:hAnsi="Calibri"/>
                <w:sz w:val="22"/>
              </w:rPr>
              <w:t>contactibility</w:t>
            </w:r>
            <w:proofErr w:type="spellEnd"/>
            <w:r w:rsidRPr="00F65891">
              <w:rPr>
                <w:rFonts w:ascii="Calibri" w:hAnsi="Calibri"/>
                <w:sz w:val="22"/>
              </w:rPr>
              <w:t xml:space="preserve"> of the proxy/privacy service provider).</w:t>
            </w:r>
          </w:p>
        </w:tc>
        <w:tc>
          <w:tcPr>
            <w:tcW w:w="2554" w:type="dxa"/>
          </w:tcPr>
          <w:p w14:paraId="488C0F86" w14:textId="77777777" w:rsidR="003E40B7" w:rsidRDefault="00F65891" w:rsidP="00EC7DD9">
            <w:pPr>
              <w:contextualSpacing/>
              <w:rPr>
                <w:rFonts w:ascii="Calibri" w:hAnsi="Calibri"/>
                <w:sz w:val="22"/>
              </w:rPr>
            </w:pPr>
            <w:r>
              <w:rPr>
                <w:rFonts w:ascii="Calibri" w:hAnsi="Calibri"/>
                <w:sz w:val="22"/>
              </w:rPr>
              <w:t>NCSG</w:t>
            </w:r>
          </w:p>
        </w:tc>
        <w:tc>
          <w:tcPr>
            <w:tcW w:w="2956" w:type="dxa"/>
          </w:tcPr>
          <w:p w14:paraId="403C5EAC" w14:textId="77777777" w:rsidR="003E40B7" w:rsidRPr="00F55B44" w:rsidRDefault="003E40B7" w:rsidP="00B5047A">
            <w:pPr>
              <w:contextualSpacing/>
              <w:rPr>
                <w:rFonts w:ascii="Calibri" w:hAnsi="Calibri"/>
                <w:sz w:val="22"/>
              </w:rPr>
            </w:pPr>
          </w:p>
        </w:tc>
        <w:tc>
          <w:tcPr>
            <w:tcW w:w="3022" w:type="dxa"/>
          </w:tcPr>
          <w:p w14:paraId="6708C1E7" w14:textId="77777777" w:rsidR="003E40B7" w:rsidRPr="00E3587C" w:rsidRDefault="003E40B7" w:rsidP="00B5047A">
            <w:pPr>
              <w:contextualSpacing/>
              <w:rPr>
                <w:rFonts w:ascii="Calibri" w:hAnsi="Calibri"/>
                <w:sz w:val="22"/>
              </w:rPr>
            </w:pPr>
          </w:p>
        </w:tc>
      </w:tr>
      <w:tr w:rsidR="003E40B7" w:rsidRPr="00E3587C" w14:paraId="2C288D51" w14:textId="77777777" w:rsidTr="003E40B7">
        <w:tblPrEx>
          <w:tblLook w:val="04A0" w:firstRow="1" w:lastRow="0" w:firstColumn="1" w:lastColumn="0" w:noHBand="0" w:noVBand="1"/>
        </w:tblPrEx>
        <w:tc>
          <w:tcPr>
            <w:tcW w:w="4644" w:type="dxa"/>
          </w:tcPr>
          <w:p w14:paraId="62D6237E" w14:textId="77777777" w:rsidR="003E40B7" w:rsidRPr="003E40B7" w:rsidRDefault="003E40B7" w:rsidP="00B5047A">
            <w:pPr>
              <w:pStyle w:val="ListParagraph"/>
              <w:ind w:left="0"/>
              <w:rPr>
                <w:rFonts w:ascii="Calibri" w:hAnsi="Calibri"/>
                <w:sz w:val="22"/>
              </w:rPr>
            </w:pPr>
          </w:p>
        </w:tc>
        <w:tc>
          <w:tcPr>
            <w:tcW w:w="2554" w:type="dxa"/>
          </w:tcPr>
          <w:p w14:paraId="4C1C7742" w14:textId="77777777" w:rsidR="003E40B7" w:rsidRDefault="003E40B7" w:rsidP="00EC7DD9">
            <w:pPr>
              <w:contextualSpacing/>
              <w:rPr>
                <w:rFonts w:ascii="Calibri" w:hAnsi="Calibri"/>
                <w:sz w:val="22"/>
              </w:rPr>
            </w:pPr>
          </w:p>
        </w:tc>
        <w:tc>
          <w:tcPr>
            <w:tcW w:w="2956" w:type="dxa"/>
          </w:tcPr>
          <w:p w14:paraId="7B17FAAF" w14:textId="77777777" w:rsidR="003E40B7" w:rsidRPr="00F55B44" w:rsidRDefault="003E40B7" w:rsidP="00B5047A">
            <w:pPr>
              <w:contextualSpacing/>
              <w:rPr>
                <w:rFonts w:ascii="Calibri" w:hAnsi="Calibri"/>
                <w:sz w:val="22"/>
              </w:rPr>
            </w:pPr>
          </w:p>
        </w:tc>
        <w:tc>
          <w:tcPr>
            <w:tcW w:w="3022" w:type="dxa"/>
          </w:tcPr>
          <w:p w14:paraId="61F9185D" w14:textId="77777777" w:rsidR="003E40B7" w:rsidRPr="00E3587C" w:rsidRDefault="003E40B7" w:rsidP="00B5047A">
            <w:pPr>
              <w:contextualSpacing/>
              <w:rPr>
                <w:rFonts w:ascii="Calibri" w:hAnsi="Calibri"/>
                <w:sz w:val="22"/>
              </w:rPr>
            </w:pPr>
          </w:p>
        </w:tc>
      </w:tr>
      <w:tr w:rsidR="003E40B7" w:rsidRPr="00E3587C" w14:paraId="571E3B89" w14:textId="77777777" w:rsidTr="003E40B7">
        <w:tblPrEx>
          <w:tblLook w:val="04A0" w:firstRow="1" w:lastRow="0" w:firstColumn="1" w:lastColumn="0" w:noHBand="0" w:noVBand="1"/>
        </w:tblPrEx>
        <w:tc>
          <w:tcPr>
            <w:tcW w:w="4644" w:type="dxa"/>
          </w:tcPr>
          <w:p w14:paraId="2AC214A0" w14:textId="77777777" w:rsidR="003E40B7" w:rsidRPr="003E40B7" w:rsidRDefault="003E40B7" w:rsidP="00B5047A">
            <w:pPr>
              <w:pStyle w:val="ListParagraph"/>
              <w:ind w:left="0"/>
              <w:rPr>
                <w:rFonts w:ascii="Calibri" w:hAnsi="Calibri"/>
                <w:sz w:val="22"/>
              </w:rPr>
            </w:pPr>
          </w:p>
        </w:tc>
        <w:tc>
          <w:tcPr>
            <w:tcW w:w="2554" w:type="dxa"/>
          </w:tcPr>
          <w:p w14:paraId="729DFA71" w14:textId="77777777" w:rsidR="003E40B7" w:rsidRDefault="003E40B7" w:rsidP="00EC7DD9">
            <w:pPr>
              <w:contextualSpacing/>
              <w:rPr>
                <w:rFonts w:ascii="Calibri" w:hAnsi="Calibri"/>
                <w:sz w:val="22"/>
              </w:rPr>
            </w:pPr>
          </w:p>
        </w:tc>
        <w:tc>
          <w:tcPr>
            <w:tcW w:w="2956" w:type="dxa"/>
          </w:tcPr>
          <w:p w14:paraId="319DA35C" w14:textId="77777777" w:rsidR="003E40B7" w:rsidRPr="00F55B44" w:rsidRDefault="003E40B7" w:rsidP="00B5047A">
            <w:pPr>
              <w:contextualSpacing/>
              <w:rPr>
                <w:rFonts w:ascii="Calibri" w:hAnsi="Calibri"/>
                <w:sz w:val="22"/>
              </w:rPr>
            </w:pPr>
          </w:p>
        </w:tc>
        <w:tc>
          <w:tcPr>
            <w:tcW w:w="3022" w:type="dxa"/>
          </w:tcPr>
          <w:p w14:paraId="0790BFE4" w14:textId="77777777" w:rsidR="003E40B7" w:rsidRPr="00E3587C" w:rsidRDefault="003E40B7" w:rsidP="00B5047A">
            <w:pPr>
              <w:contextualSpacing/>
              <w:rPr>
                <w:rFonts w:ascii="Calibri" w:hAnsi="Calibri"/>
                <w:sz w:val="22"/>
              </w:rPr>
            </w:pPr>
          </w:p>
        </w:tc>
      </w:tr>
      <w:tr w:rsidR="003E40B7" w:rsidRPr="00E3587C" w14:paraId="2695926C" w14:textId="77777777" w:rsidTr="00DA46D4">
        <w:tblPrEx>
          <w:tblLook w:val="04A0" w:firstRow="1" w:lastRow="0" w:firstColumn="1" w:lastColumn="0" w:noHBand="0" w:noVBand="1"/>
        </w:tblPrEx>
        <w:tc>
          <w:tcPr>
            <w:tcW w:w="4644" w:type="dxa"/>
            <w:tcBorders>
              <w:bottom w:val="single" w:sz="4" w:space="0" w:color="000000"/>
            </w:tcBorders>
          </w:tcPr>
          <w:p w14:paraId="3DDEC8F7" w14:textId="77777777" w:rsidR="003E40B7" w:rsidRPr="003E40B7" w:rsidRDefault="003E40B7" w:rsidP="00B5047A">
            <w:pPr>
              <w:pStyle w:val="ListParagraph"/>
              <w:ind w:left="0"/>
              <w:rPr>
                <w:rFonts w:ascii="Calibri" w:hAnsi="Calibri"/>
                <w:sz w:val="22"/>
              </w:rPr>
            </w:pPr>
          </w:p>
        </w:tc>
        <w:tc>
          <w:tcPr>
            <w:tcW w:w="2554" w:type="dxa"/>
            <w:tcBorders>
              <w:bottom w:val="single" w:sz="4" w:space="0" w:color="000000"/>
            </w:tcBorders>
          </w:tcPr>
          <w:p w14:paraId="26D08F89" w14:textId="77777777" w:rsidR="003E40B7" w:rsidRDefault="003E40B7" w:rsidP="00EC7DD9">
            <w:pPr>
              <w:contextualSpacing/>
              <w:rPr>
                <w:rFonts w:ascii="Calibri" w:hAnsi="Calibri"/>
                <w:sz w:val="22"/>
              </w:rPr>
            </w:pPr>
          </w:p>
        </w:tc>
        <w:tc>
          <w:tcPr>
            <w:tcW w:w="2956" w:type="dxa"/>
            <w:tcBorders>
              <w:bottom w:val="single" w:sz="4" w:space="0" w:color="000000"/>
            </w:tcBorders>
          </w:tcPr>
          <w:p w14:paraId="2A1F5283" w14:textId="77777777" w:rsidR="003E40B7" w:rsidRPr="00F55B44" w:rsidRDefault="003E40B7" w:rsidP="00B5047A">
            <w:pPr>
              <w:contextualSpacing/>
              <w:rPr>
                <w:rFonts w:ascii="Calibri" w:hAnsi="Calibri"/>
                <w:sz w:val="22"/>
              </w:rPr>
            </w:pPr>
          </w:p>
        </w:tc>
        <w:tc>
          <w:tcPr>
            <w:tcW w:w="3022" w:type="dxa"/>
            <w:tcBorders>
              <w:bottom w:val="single" w:sz="4" w:space="0" w:color="000000"/>
            </w:tcBorders>
          </w:tcPr>
          <w:p w14:paraId="0EAD39F8" w14:textId="77777777" w:rsidR="003E40B7" w:rsidRPr="00E3587C" w:rsidRDefault="003E40B7" w:rsidP="00B5047A">
            <w:pPr>
              <w:contextualSpacing/>
              <w:rPr>
                <w:rFonts w:ascii="Calibri" w:hAnsi="Calibri"/>
                <w:sz w:val="22"/>
              </w:rPr>
            </w:pPr>
          </w:p>
        </w:tc>
      </w:tr>
    </w:tbl>
    <w:p w14:paraId="531EFCF8" w14:textId="77777777" w:rsidR="00C31BAA" w:rsidRDefault="00C31B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0091"/>
      </w:tblGrid>
      <w:tr w:rsidR="00B7495E" w14:paraId="0C680729" w14:textId="77777777" w:rsidTr="00E00659">
        <w:tc>
          <w:tcPr>
            <w:tcW w:w="3085" w:type="dxa"/>
            <w:tcBorders>
              <w:bottom w:val="single" w:sz="4" w:space="0" w:color="auto"/>
            </w:tcBorders>
            <w:shd w:val="clear" w:color="auto" w:fill="C0C0C0"/>
          </w:tcPr>
          <w:p w14:paraId="66DB97B9" w14:textId="77777777" w:rsidR="00B7495E" w:rsidRDefault="00B7495E"/>
        </w:tc>
        <w:tc>
          <w:tcPr>
            <w:tcW w:w="10091" w:type="dxa"/>
            <w:shd w:val="clear" w:color="auto" w:fill="C0C0C0"/>
          </w:tcPr>
          <w:p w14:paraId="1158880D" w14:textId="77777777" w:rsidR="00B7495E" w:rsidRDefault="00B7495E">
            <w:r w:rsidRPr="00E00659">
              <w:rPr>
                <w:rFonts w:ascii="Calibri" w:hAnsi="Calibri"/>
                <w:b/>
                <w:sz w:val="22"/>
              </w:rPr>
              <w:t>Should ICANN distinguish between privacy and proxy services for the purpose of the accreditation process?</w:t>
            </w:r>
          </w:p>
        </w:tc>
      </w:tr>
      <w:tr w:rsidR="00B7495E" w14:paraId="4150E789" w14:textId="77777777" w:rsidTr="00E00659">
        <w:tc>
          <w:tcPr>
            <w:tcW w:w="3085" w:type="dxa"/>
            <w:shd w:val="clear" w:color="auto" w:fill="C0C0C0"/>
          </w:tcPr>
          <w:p w14:paraId="0DE7585C" w14:textId="77777777" w:rsidR="00B7495E" w:rsidRPr="00E00659" w:rsidRDefault="00B7495E">
            <w:pPr>
              <w:rPr>
                <w:rFonts w:ascii="Calibri" w:hAnsi="Calibri"/>
                <w:b/>
                <w:sz w:val="22"/>
                <w:szCs w:val="22"/>
              </w:rPr>
            </w:pPr>
            <w:r w:rsidRPr="00E00659">
              <w:rPr>
                <w:rFonts w:ascii="Calibri" w:hAnsi="Calibri"/>
                <w:b/>
                <w:sz w:val="22"/>
                <w:szCs w:val="22"/>
              </w:rPr>
              <w:t>WG Preliminary Conclusion</w:t>
            </w:r>
          </w:p>
        </w:tc>
        <w:tc>
          <w:tcPr>
            <w:tcW w:w="10091" w:type="dxa"/>
            <w:shd w:val="clear" w:color="auto" w:fill="auto"/>
          </w:tcPr>
          <w:p w14:paraId="7F357831" w14:textId="77777777" w:rsidR="00B7495E" w:rsidRPr="00E00659" w:rsidRDefault="00B7495E" w:rsidP="007A04A2">
            <w:pPr>
              <w:rPr>
                <w:rFonts w:ascii="Calibri" w:hAnsi="Calibri"/>
                <w:sz w:val="22"/>
                <w:szCs w:val="22"/>
              </w:rPr>
            </w:pPr>
          </w:p>
        </w:tc>
      </w:tr>
      <w:tr w:rsidR="00B7495E" w14:paraId="1CF3207E" w14:textId="77777777" w:rsidTr="00E00659">
        <w:tc>
          <w:tcPr>
            <w:tcW w:w="3085" w:type="dxa"/>
            <w:shd w:val="clear" w:color="auto" w:fill="C0C0C0"/>
          </w:tcPr>
          <w:p w14:paraId="57CF56CC" w14:textId="77777777" w:rsidR="00B7495E" w:rsidRPr="00E00659" w:rsidRDefault="00B7495E">
            <w:pPr>
              <w:rPr>
                <w:rFonts w:ascii="Calibri" w:hAnsi="Calibri"/>
                <w:b/>
                <w:sz w:val="22"/>
                <w:szCs w:val="22"/>
              </w:rPr>
            </w:pPr>
            <w:r w:rsidRPr="00E00659">
              <w:rPr>
                <w:rFonts w:ascii="Calibri" w:hAnsi="Calibri"/>
                <w:b/>
                <w:sz w:val="22"/>
                <w:szCs w:val="22"/>
              </w:rPr>
              <w:t>Should the same conclusion apply to proxy services &amp; privacy services? If not, please explain why.</w:t>
            </w:r>
          </w:p>
        </w:tc>
        <w:tc>
          <w:tcPr>
            <w:tcW w:w="10091" w:type="dxa"/>
            <w:shd w:val="clear" w:color="auto" w:fill="auto"/>
          </w:tcPr>
          <w:p w14:paraId="4841BCC1" w14:textId="77777777" w:rsidR="00B7495E" w:rsidRPr="00E00659" w:rsidRDefault="00B7495E">
            <w:pPr>
              <w:rPr>
                <w:rFonts w:ascii="Calibri" w:hAnsi="Calibri"/>
                <w:sz w:val="22"/>
                <w:szCs w:val="22"/>
              </w:rPr>
            </w:pPr>
          </w:p>
        </w:tc>
      </w:tr>
    </w:tbl>
    <w:p w14:paraId="36323639" w14:textId="77777777" w:rsidR="00B7495E" w:rsidRDefault="00B7495E"/>
    <w:sectPr w:rsidR="00B7495E" w:rsidSect="00EC7DD9">
      <w:pgSz w:w="15840" w:h="12240" w:orient="landscape"/>
      <w:pgMar w:top="1800" w:right="1440" w:bottom="180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3A70B" w14:textId="77777777" w:rsidR="001E2FDC" w:rsidRDefault="001E2FDC" w:rsidP="004616D8">
      <w:r>
        <w:separator/>
      </w:r>
    </w:p>
  </w:endnote>
  <w:endnote w:type="continuationSeparator" w:id="0">
    <w:p w14:paraId="7A4913A7" w14:textId="77777777" w:rsidR="001E2FDC" w:rsidRDefault="001E2FDC" w:rsidP="0046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pÙøì$5'74¡Ç¨Å©@">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7083E" w14:textId="77777777" w:rsidR="001E2FDC" w:rsidRDefault="001E2FDC" w:rsidP="004616D8">
      <w:r>
        <w:separator/>
      </w:r>
    </w:p>
  </w:footnote>
  <w:footnote w:type="continuationSeparator" w:id="0">
    <w:p w14:paraId="2D62587D" w14:textId="77777777" w:rsidR="001E2FDC" w:rsidRDefault="001E2FDC" w:rsidP="004616D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689"/>
    <w:multiLevelType w:val="hybridMultilevel"/>
    <w:tmpl w:val="BF605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C85BFA"/>
    <w:multiLevelType w:val="hybridMultilevel"/>
    <w:tmpl w:val="3E3A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9618C"/>
    <w:multiLevelType w:val="hybridMultilevel"/>
    <w:tmpl w:val="2C783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1A078F"/>
    <w:multiLevelType w:val="hybridMultilevel"/>
    <w:tmpl w:val="3CE8DE34"/>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BE2024"/>
    <w:multiLevelType w:val="hybridMultilevel"/>
    <w:tmpl w:val="8C48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942265"/>
    <w:multiLevelType w:val="hybridMultilevel"/>
    <w:tmpl w:val="6802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797B2B"/>
    <w:multiLevelType w:val="hybridMultilevel"/>
    <w:tmpl w:val="88A470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4F0648"/>
    <w:multiLevelType w:val="hybridMultilevel"/>
    <w:tmpl w:val="4B848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FFD44B9"/>
    <w:multiLevelType w:val="hybridMultilevel"/>
    <w:tmpl w:val="3A2C38F4"/>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FF7BBF"/>
    <w:multiLevelType w:val="multilevel"/>
    <w:tmpl w:val="3CDE5B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8"/>
  </w:num>
  <w:num w:numId="3">
    <w:abstractNumId w:val="0"/>
  </w:num>
  <w:num w:numId="4">
    <w:abstractNumId w:val="2"/>
  </w:num>
  <w:num w:numId="5">
    <w:abstractNumId w:val="6"/>
  </w:num>
  <w:num w:numId="6">
    <w:abstractNumId w:val="5"/>
  </w:num>
  <w:num w:numId="7">
    <w:abstractNumId w:val="4"/>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DD9"/>
    <w:rsid w:val="0002707B"/>
    <w:rsid w:val="001628F2"/>
    <w:rsid w:val="001E2FDC"/>
    <w:rsid w:val="00277722"/>
    <w:rsid w:val="002C02E1"/>
    <w:rsid w:val="002D7862"/>
    <w:rsid w:val="00301AB0"/>
    <w:rsid w:val="003A4D21"/>
    <w:rsid w:val="003E40B7"/>
    <w:rsid w:val="003F6B82"/>
    <w:rsid w:val="003F7A6A"/>
    <w:rsid w:val="0041164E"/>
    <w:rsid w:val="004616D8"/>
    <w:rsid w:val="0057280F"/>
    <w:rsid w:val="0064220B"/>
    <w:rsid w:val="00776ECD"/>
    <w:rsid w:val="007A04A2"/>
    <w:rsid w:val="008464FD"/>
    <w:rsid w:val="009003D0"/>
    <w:rsid w:val="00995F75"/>
    <w:rsid w:val="009D0614"/>
    <w:rsid w:val="009D16AA"/>
    <w:rsid w:val="00A07C04"/>
    <w:rsid w:val="00AB442E"/>
    <w:rsid w:val="00AC5A42"/>
    <w:rsid w:val="00B5047A"/>
    <w:rsid w:val="00B7495E"/>
    <w:rsid w:val="00C31BAA"/>
    <w:rsid w:val="00DA46D4"/>
    <w:rsid w:val="00DA6831"/>
    <w:rsid w:val="00DC713F"/>
    <w:rsid w:val="00E00659"/>
    <w:rsid w:val="00E874D0"/>
    <w:rsid w:val="00EC7DD9"/>
    <w:rsid w:val="00F13B01"/>
    <w:rsid w:val="00F65891"/>
    <w:rsid w:val="00F941BA"/>
    <w:rsid w:val="00FD19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1C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D9"/>
    <w:rPr>
      <w:rFonts w:eastAsia="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DD9"/>
    <w:pPr>
      <w:ind w:left="720"/>
      <w:contextualSpacing/>
    </w:pPr>
  </w:style>
  <w:style w:type="paragraph" w:customStyle="1" w:styleId="Default">
    <w:name w:val="Default"/>
    <w:rsid w:val="002C02E1"/>
    <w:pPr>
      <w:widowControl w:val="0"/>
      <w:autoSpaceDE w:val="0"/>
      <w:autoSpaceDN w:val="0"/>
      <w:adjustRightInd w:val="0"/>
    </w:pPr>
    <w:rPr>
      <w:rFonts w:cs="Cambria"/>
      <w:color w:val="000000"/>
      <w:sz w:val="24"/>
      <w:szCs w:val="24"/>
    </w:rPr>
  </w:style>
  <w:style w:type="character" w:customStyle="1" w:styleId="notranslate">
    <w:name w:val="notranslate"/>
    <w:rsid w:val="003E40B7"/>
  </w:style>
  <w:style w:type="character" w:styleId="Hyperlink">
    <w:name w:val="Hyperlink"/>
    <w:uiPriority w:val="99"/>
    <w:unhideWhenUsed/>
    <w:rsid w:val="002D7862"/>
    <w:rPr>
      <w:color w:val="0000FF"/>
      <w:u w:val="single"/>
    </w:rPr>
  </w:style>
  <w:style w:type="paragraph" w:styleId="BalloonText">
    <w:name w:val="Balloon Text"/>
    <w:basedOn w:val="Normal"/>
    <w:link w:val="BalloonTextChar"/>
    <w:uiPriority w:val="99"/>
    <w:semiHidden/>
    <w:unhideWhenUsed/>
    <w:rsid w:val="002D7862"/>
    <w:rPr>
      <w:rFonts w:ascii="Lucida Grande" w:hAnsi="Lucida Grande"/>
      <w:sz w:val="18"/>
      <w:szCs w:val="18"/>
    </w:rPr>
  </w:style>
  <w:style w:type="character" w:customStyle="1" w:styleId="BalloonTextChar">
    <w:name w:val="Balloon Text Char"/>
    <w:link w:val="BalloonText"/>
    <w:uiPriority w:val="99"/>
    <w:semiHidden/>
    <w:rsid w:val="002D7862"/>
    <w:rPr>
      <w:rFonts w:ascii="Lucida Grande" w:eastAsia="Cambria" w:hAnsi="Lucida Grande"/>
      <w:sz w:val="18"/>
      <w:szCs w:val="18"/>
    </w:rPr>
  </w:style>
  <w:style w:type="paragraph" w:styleId="FootnoteText">
    <w:name w:val="footnote text"/>
    <w:basedOn w:val="Normal"/>
    <w:link w:val="FootnoteTextChar"/>
    <w:uiPriority w:val="99"/>
    <w:unhideWhenUsed/>
    <w:rsid w:val="004616D8"/>
    <w:rPr>
      <w:rFonts w:eastAsia="ＭＳ 明朝"/>
    </w:rPr>
  </w:style>
  <w:style w:type="character" w:customStyle="1" w:styleId="FootnoteTextChar">
    <w:name w:val="Footnote Text Char"/>
    <w:link w:val="FootnoteText"/>
    <w:uiPriority w:val="99"/>
    <w:rsid w:val="004616D8"/>
    <w:rPr>
      <w:sz w:val="24"/>
      <w:szCs w:val="24"/>
    </w:rPr>
  </w:style>
  <w:style w:type="character" w:styleId="FootnoteReference">
    <w:name w:val="footnote reference"/>
    <w:uiPriority w:val="99"/>
    <w:unhideWhenUsed/>
    <w:rsid w:val="004616D8"/>
    <w:rPr>
      <w:vertAlign w:val="superscript"/>
    </w:rPr>
  </w:style>
  <w:style w:type="table" w:styleId="TableGrid">
    <w:name w:val="Table Grid"/>
    <w:basedOn w:val="TableNormal"/>
    <w:uiPriority w:val="59"/>
    <w:rsid w:val="00B74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65891"/>
    <w:pPr>
      <w:widowControl w:val="0"/>
      <w:ind w:left="100"/>
    </w:pPr>
    <w:rPr>
      <w:rFonts w:ascii="Calibri" w:eastAsia="Calibri" w:hAnsi="Calibri"/>
      <w:sz w:val="21"/>
      <w:szCs w:val="21"/>
    </w:rPr>
  </w:style>
  <w:style w:type="character" w:customStyle="1" w:styleId="BodyTextChar">
    <w:name w:val="Body Text Char"/>
    <w:link w:val="BodyText"/>
    <w:uiPriority w:val="1"/>
    <w:rsid w:val="00F65891"/>
    <w:rPr>
      <w:rFonts w:ascii="Calibri" w:eastAsia="Calibri" w:hAnsi="Calibri"/>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D9"/>
    <w:rPr>
      <w:rFonts w:eastAsia="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DD9"/>
    <w:pPr>
      <w:ind w:left="720"/>
      <w:contextualSpacing/>
    </w:pPr>
  </w:style>
  <w:style w:type="paragraph" w:customStyle="1" w:styleId="Default">
    <w:name w:val="Default"/>
    <w:rsid w:val="002C02E1"/>
    <w:pPr>
      <w:widowControl w:val="0"/>
      <w:autoSpaceDE w:val="0"/>
      <w:autoSpaceDN w:val="0"/>
      <w:adjustRightInd w:val="0"/>
    </w:pPr>
    <w:rPr>
      <w:rFonts w:cs="Cambria"/>
      <w:color w:val="000000"/>
      <w:sz w:val="24"/>
      <w:szCs w:val="24"/>
    </w:rPr>
  </w:style>
  <w:style w:type="character" w:customStyle="1" w:styleId="notranslate">
    <w:name w:val="notranslate"/>
    <w:rsid w:val="003E40B7"/>
  </w:style>
  <w:style w:type="character" w:styleId="Hyperlink">
    <w:name w:val="Hyperlink"/>
    <w:uiPriority w:val="99"/>
    <w:unhideWhenUsed/>
    <w:rsid w:val="002D7862"/>
    <w:rPr>
      <w:color w:val="0000FF"/>
      <w:u w:val="single"/>
    </w:rPr>
  </w:style>
  <w:style w:type="paragraph" w:styleId="BalloonText">
    <w:name w:val="Balloon Text"/>
    <w:basedOn w:val="Normal"/>
    <w:link w:val="BalloonTextChar"/>
    <w:uiPriority w:val="99"/>
    <w:semiHidden/>
    <w:unhideWhenUsed/>
    <w:rsid w:val="002D7862"/>
    <w:rPr>
      <w:rFonts w:ascii="Lucida Grande" w:hAnsi="Lucida Grande"/>
      <w:sz w:val="18"/>
      <w:szCs w:val="18"/>
    </w:rPr>
  </w:style>
  <w:style w:type="character" w:customStyle="1" w:styleId="BalloonTextChar">
    <w:name w:val="Balloon Text Char"/>
    <w:link w:val="BalloonText"/>
    <w:uiPriority w:val="99"/>
    <w:semiHidden/>
    <w:rsid w:val="002D7862"/>
    <w:rPr>
      <w:rFonts w:ascii="Lucida Grande" w:eastAsia="Cambria" w:hAnsi="Lucida Grande"/>
      <w:sz w:val="18"/>
      <w:szCs w:val="18"/>
    </w:rPr>
  </w:style>
  <w:style w:type="paragraph" w:styleId="FootnoteText">
    <w:name w:val="footnote text"/>
    <w:basedOn w:val="Normal"/>
    <w:link w:val="FootnoteTextChar"/>
    <w:uiPriority w:val="99"/>
    <w:unhideWhenUsed/>
    <w:rsid w:val="004616D8"/>
    <w:rPr>
      <w:rFonts w:eastAsia="ＭＳ 明朝"/>
    </w:rPr>
  </w:style>
  <w:style w:type="character" w:customStyle="1" w:styleId="FootnoteTextChar">
    <w:name w:val="Footnote Text Char"/>
    <w:link w:val="FootnoteText"/>
    <w:uiPriority w:val="99"/>
    <w:rsid w:val="004616D8"/>
    <w:rPr>
      <w:sz w:val="24"/>
      <w:szCs w:val="24"/>
    </w:rPr>
  </w:style>
  <w:style w:type="character" w:styleId="FootnoteReference">
    <w:name w:val="footnote reference"/>
    <w:uiPriority w:val="99"/>
    <w:unhideWhenUsed/>
    <w:rsid w:val="004616D8"/>
    <w:rPr>
      <w:vertAlign w:val="superscript"/>
    </w:rPr>
  </w:style>
  <w:style w:type="table" w:styleId="TableGrid">
    <w:name w:val="Table Grid"/>
    <w:basedOn w:val="TableNormal"/>
    <w:uiPriority w:val="59"/>
    <w:rsid w:val="00B74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65891"/>
    <w:pPr>
      <w:widowControl w:val="0"/>
      <w:ind w:left="100"/>
    </w:pPr>
    <w:rPr>
      <w:rFonts w:ascii="Calibri" w:eastAsia="Calibri" w:hAnsi="Calibri"/>
      <w:sz w:val="21"/>
      <w:szCs w:val="21"/>
    </w:rPr>
  </w:style>
  <w:style w:type="character" w:customStyle="1" w:styleId="BodyTextChar">
    <w:name w:val="Body Text Char"/>
    <w:link w:val="BodyText"/>
    <w:uiPriority w:val="1"/>
    <w:rsid w:val="00F65891"/>
    <w:rPr>
      <w:rFonts w:ascii="Calibri" w:eastAsia="Calibri" w:hAnsi="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1617</Words>
  <Characters>9219</Characters>
  <Application>Microsoft Macintosh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Mary Wong</cp:lastModifiedBy>
  <cp:revision>2</cp:revision>
  <dcterms:created xsi:type="dcterms:W3CDTF">2014-05-12T14:31:00Z</dcterms:created>
  <dcterms:modified xsi:type="dcterms:W3CDTF">2014-05-12T14:31:00Z</dcterms:modified>
</cp:coreProperties>
</file>