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6420AC" w:rsidRDefault="00A9584F" w:rsidP="00CF1A18">
      <w:pPr>
        <w:spacing w:line="276" w:lineRule="auto"/>
        <w:rPr>
          <w:sz w:val="22"/>
          <w:szCs w:val="22"/>
        </w:rPr>
      </w:pPr>
    </w:p>
    <w:p w:rsidR="00CF1A18" w:rsidRPr="006420AC" w:rsidRDefault="00CF1A18" w:rsidP="00CF1A18">
      <w:pPr>
        <w:keepNext/>
        <w:spacing w:line="276" w:lineRule="auto"/>
        <w:rPr>
          <w:rFonts w:ascii="Calibri" w:hAnsi="Calibri" w:cs="Verdana"/>
          <w:b/>
          <w:sz w:val="22"/>
          <w:szCs w:val="22"/>
        </w:rPr>
      </w:pPr>
      <w:r w:rsidRPr="006420AC">
        <w:rPr>
          <w:rFonts w:ascii="Calibri" w:hAnsi="Calibri" w:cs="Verdana"/>
          <w:b/>
          <w:sz w:val="22"/>
          <w:szCs w:val="22"/>
        </w:rPr>
        <w:t>GLOSSARY</w:t>
      </w:r>
      <w:r w:rsidR="006420AC">
        <w:rPr>
          <w:rFonts w:ascii="Calibri" w:hAnsi="Calibri" w:cs="Verdana"/>
          <w:b/>
          <w:sz w:val="22"/>
          <w:szCs w:val="22"/>
        </w:rPr>
        <w:t xml:space="preserve"> OF COMMON TERMS USED IN RELATION TO THE WHOIS SYSTEM</w:t>
      </w:r>
    </w:p>
    <w:p w:rsidR="00CF1A18" w:rsidRPr="006420AC" w:rsidRDefault="00CF1A18" w:rsidP="00CF1A18">
      <w:pPr>
        <w:keepNext/>
        <w:spacing w:line="276" w:lineRule="auto"/>
        <w:rPr>
          <w:rFonts w:ascii="Calibri" w:hAnsi="Calibri" w:cs="Verdana"/>
          <w:b/>
          <w:sz w:val="22"/>
          <w:szCs w:val="22"/>
        </w:rPr>
      </w:pPr>
    </w:p>
    <w:p w:rsidR="00CF1A18" w:rsidRPr="006420AC" w:rsidRDefault="00CF1A18" w:rsidP="00CF1A18">
      <w:pPr>
        <w:keepNext/>
        <w:numPr>
          <w:ilvl w:val="0"/>
          <w:numId w:val="4"/>
        </w:numPr>
        <w:suppressAutoHyphens w:val="0"/>
        <w:spacing w:line="276" w:lineRule="auto"/>
        <w:rPr>
          <w:rFonts w:ascii="Calibri" w:hAnsi="Calibri" w:cs="Verdana"/>
          <w:b/>
          <w:sz w:val="22"/>
          <w:szCs w:val="22"/>
        </w:rPr>
      </w:pPr>
      <w:r w:rsidRPr="006420AC">
        <w:rPr>
          <w:rFonts w:ascii="Calibri" w:hAnsi="Calibri" w:cs="Verdana"/>
          <w:b/>
          <w:sz w:val="22"/>
          <w:szCs w:val="22"/>
        </w:rPr>
        <w:t>Privacy &amp; Proxy Services</w:t>
      </w:r>
    </w:p>
    <w:p w:rsidR="00CF1A18" w:rsidRPr="006420AC" w:rsidRDefault="00CF1A18" w:rsidP="00CF1A18">
      <w:pPr>
        <w:keepNext/>
        <w:spacing w:line="276" w:lineRule="auto"/>
        <w:rPr>
          <w:rFonts w:ascii="Calibri" w:hAnsi="Calibri" w:cs="Verdana"/>
          <w:sz w:val="22"/>
          <w:szCs w:val="22"/>
        </w:rPr>
      </w:pPr>
    </w:p>
    <w:p w:rsidR="00CF1A18" w:rsidRPr="006420AC" w:rsidRDefault="00CF1A18" w:rsidP="00CF1A18">
      <w:pPr>
        <w:keepNext/>
        <w:spacing w:line="276" w:lineRule="auto"/>
        <w:rPr>
          <w:rFonts w:ascii="Calibri" w:hAnsi="Calibri" w:cs="Verdana"/>
          <w:sz w:val="22"/>
          <w:szCs w:val="22"/>
        </w:rPr>
      </w:pPr>
      <w:r w:rsidRPr="006420AC">
        <w:rPr>
          <w:rFonts w:ascii="Calibri" w:hAnsi="Calibri" w:cs="Verdana"/>
          <w:sz w:val="22"/>
          <w:szCs w:val="22"/>
        </w:rPr>
        <w:t>The GNSO developed the following descriptions for use in the WHOIS studies it commissioned between 2010-2012 (</w:t>
      </w:r>
      <w:hyperlink r:id="rId8" w:history="1">
        <w:r w:rsidRPr="006420AC">
          <w:rPr>
            <w:rStyle w:val="Hyperlink"/>
            <w:rFonts w:ascii="Calibri" w:hAnsi="Calibri" w:cs="Verdana"/>
            <w:sz w:val="22"/>
            <w:szCs w:val="22"/>
          </w:rPr>
          <w:t>http://gnso.icann.org/issues/whois/whois-working-definitions-study-terms-18feb09.pdf</w:t>
        </w:r>
      </w:hyperlink>
      <w:r w:rsidRPr="006420AC">
        <w:rPr>
          <w:rFonts w:ascii="Calibri" w:hAnsi="Calibri" w:cs="Verdana"/>
          <w:sz w:val="22"/>
          <w:szCs w:val="22"/>
        </w:rPr>
        <w:t>):</w:t>
      </w:r>
    </w:p>
    <w:p w:rsidR="00CF1A18" w:rsidRPr="006420AC" w:rsidRDefault="00CF1A18" w:rsidP="00CF1A18">
      <w:pPr>
        <w:keepNext/>
        <w:spacing w:line="276" w:lineRule="auto"/>
        <w:rPr>
          <w:rFonts w:ascii="Calibri" w:hAnsi="Calibri" w:cs="Verdana"/>
          <w:sz w:val="22"/>
          <w:szCs w:val="22"/>
        </w:rPr>
      </w:pPr>
    </w:p>
    <w:p w:rsidR="00CF1A18" w:rsidRPr="006420AC" w:rsidRDefault="00CF1A18" w:rsidP="00CF1A18">
      <w:pPr>
        <w:widowControl w:val="0"/>
        <w:numPr>
          <w:ilvl w:val="0"/>
          <w:numId w:val="3"/>
        </w:numPr>
        <w:suppressAutoHyphens w:val="0"/>
        <w:autoSpaceDE w:val="0"/>
        <w:autoSpaceDN w:val="0"/>
        <w:adjustRightInd w:val="0"/>
        <w:spacing w:after="240" w:line="276" w:lineRule="auto"/>
        <w:rPr>
          <w:rFonts w:ascii="Calibri" w:hAnsi="Calibri"/>
          <w:sz w:val="22"/>
          <w:szCs w:val="22"/>
        </w:rPr>
      </w:pPr>
      <w:r w:rsidRPr="006420AC">
        <w:rPr>
          <w:rFonts w:ascii="Calibri" w:hAnsi="Calibri"/>
          <w:b/>
          <w:i/>
          <w:sz w:val="22"/>
          <w:szCs w:val="22"/>
        </w:rPr>
        <w:t>Privacy services</w:t>
      </w:r>
      <w:r w:rsidRPr="006420AC">
        <w:rPr>
          <w:rFonts w:ascii="Calibri" w:hAnsi="Calibri"/>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rsidR="00CF1A18" w:rsidRPr="006420AC" w:rsidRDefault="00CF1A18" w:rsidP="00CF1A18">
      <w:pPr>
        <w:widowControl w:val="0"/>
        <w:numPr>
          <w:ilvl w:val="0"/>
          <w:numId w:val="3"/>
        </w:numPr>
        <w:suppressAutoHyphens w:val="0"/>
        <w:autoSpaceDE w:val="0"/>
        <w:autoSpaceDN w:val="0"/>
        <w:adjustRightInd w:val="0"/>
        <w:spacing w:after="240" w:line="276" w:lineRule="auto"/>
        <w:rPr>
          <w:rFonts w:ascii="Calibri" w:hAnsi="Calibri"/>
          <w:i/>
          <w:sz w:val="22"/>
          <w:szCs w:val="22"/>
        </w:rPr>
      </w:pPr>
      <w:r w:rsidRPr="006420AC">
        <w:rPr>
          <w:rFonts w:ascii="Calibri" w:hAnsi="Calibri"/>
          <w:b/>
          <w:i/>
          <w:sz w:val="22"/>
          <w:szCs w:val="22"/>
        </w:rPr>
        <w:t>Proxy services</w:t>
      </w:r>
      <w:r w:rsidRPr="006420AC">
        <w:rPr>
          <w:rFonts w:ascii="Calibri" w:hAnsi="Calibri"/>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6420AC">
        <w:rPr>
          <w:rFonts w:ascii="Calibri" w:hAnsi="Calibri"/>
          <w:i/>
          <w:sz w:val="22"/>
          <w:szCs w:val="22"/>
        </w:rPr>
        <w:t xml:space="preserve"> </w:t>
      </w:r>
    </w:p>
    <w:p w:rsidR="00CF1A18" w:rsidRPr="006420AC" w:rsidRDefault="00CF1A18" w:rsidP="00CF1A18">
      <w:pPr>
        <w:widowControl w:val="0"/>
        <w:autoSpaceDE w:val="0"/>
        <w:autoSpaceDN w:val="0"/>
        <w:adjustRightInd w:val="0"/>
        <w:spacing w:after="240" w:line="276" w:lineRule="auto"/>
        <w:rPr>
          <w:rFonts w:ascii="Calibri" w:hAnsi="Calibri"/>
          <w:sz w:val="22"/>
          <w:szCs w:val="22"/>
        </w:rPr>
      </w:pPr>
      <w:r w:rsidRPr="006420AC">
        <w:rPr>
          <w:rFonts w:ascii="Calibri" w:hAnsi="Calibri"/>
          <w:sz w:val="22"/>
          <w:szCs w:val="22"/>
        </w:rPr>
        <w:t>The 2013 Registrar Accreditation Agreement contains an interim specification relating to Privacy &amp; Proxy Services, which refers to these services as follows (</w:t>
      </w:r>
      <w:hyperlink r:id="rId9" w:history="1">
        <w:r w:rsidRPr="006420AC">
          <w:rPr>
            <w:rStyle w:val="Hyperlink"/>
            <w:rFonts w:ascii="Calibri" w:hAnsi="Calibri"/>
            <w:sz w:val="22"/>
            <w:szCs w:val="22"/>
          </w:rPr>
          <w:t>http://ww</w:t>
        </w:r>
        <w:r w:rsidRPr="006420AC">
          <w:rPr>
            <w:rStyle w:val="Hyperlink"/>
            <w:rFonts w:ascii="Calibri" w:hAnsi="Calibri"/>
            <w:sz w:val="22"/>
            <w:szCs w:val="22"/>
          </w:rPr>
          <w:t>w</w:t>
        </w:r>
        <w:r w:rsidRPr="006420AC">
          <w:rPr>
            <w:rStyle w:val="Hyperlink"/>
            <w:rFonts w:ascii="Calibri" w:hAnsi="Calibri"/>
            <w:sz w:val="22"/>
            <w:szCs w:val="22"/>
          </w:rPr>
          <w:t>.icann.org/en/resources/registrars/raa/approved-with-specs-27jun13-en.pdf</w:t>
        </w:r>
      </w:hyperlink>
      <w:r w:rsidRPr="006420AC">
        <w:rPr>
          <w:rFonts w:ascii="Calibri" w:hAnsi="Calibri"/>
          <w:sz w:val="22"/>
          <w:szCs w:val="22"/>
        </w:rPr>
        <w:t>):</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xml:space="preserve">1.1 </w:t>
      </w:r>
      <w:r w:rsidRPr="006420AC">
        <w:rPr>
          <w:rFonts w:ascii="Calibri" w:hAnsi="Calibri" w:cs="Calibri"/>
          <w:b/>
          <w:sz w:val="22"/>
          <w:szCs w:val="22"/>
        </w:rPr>
        <w:t>"P/P Customer"</w:t>
      </w:r>
      <w:r w:rsidRPr="006420AC">
        <w:rPr>
          <w:rFonts w:ascii="Calibri" w:hAnsi="Calibri" w:cs="Calibri"/>
          <w:sz w:val="22"/>
          <w:szCs w:val="22"/>
        </w:rPr>
        <w:t xml:space="preserve"> means, regardless of the terminology used by the P/P Provider, the licensee, customer, beneficial user, beneficiary, or other recipient of Privacy Services and Proxy Services.</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xml:space="preserve">1.2 </w:t>
      </w:r>
      <w:r w:rsidRPr="006420AC">
        <w:rPr>
          <w:rFonts w:ascii="Calibri" w:hAnsi="Calibri" w:cs="Calibri"/>
          <w:b/>
          <w:sz w:val="22"/>
          <w:szCs w:val="22"/>
        </w:rPr>
        <w:t>"Privacy Service"</w:t>
      </w:r>
      <w:r w:rsidRPr="006420AC">
        <w:rPr>
          <w:rFonts w:ascii="Calibri" w:hAnsi="Calibri" w:cs="Calibri"/>
          <w:sz w:val="22"/>
          <w:szCs w:val="22"/>
        </w:rPr>
        <w:t xml:space="preserv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proofErr w:type="spellStart"/>
      <w:r w:rsidRPr="006420AC">
        <w:rPr>
          <w:rFonts w:ascii="Calibri" w:hAnsi="Calibri" w:cs="Calibri"/>
          <w:sz w:val="22"/>
          <w:szCs w:val="22"/>
        </w:rPr>
        <w:t>Whois</w:t>
      </w:r>
      <w:proofErr w:type="spellEnd"/>
      <w:r w:rsidRPr="006420AC">
        <w:rPr>
          <w:rFonts w:ascii="Calibri" w:hAnsi="Calibri" w:cs="Calibri"/>
          <w:sz w:val="22"/>
          <w:szCs w:val="22"/>
        </w:rPr>
        <w:t>) or equivalent services.</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xml:space="preserve">1.3 </w:t>
      </w:r>
      <w:r w:rsidRPr="006420AC">
        <w:rPr>
          <w:rFonts w:ascii="Calibri" w:hAnsi="Calibri" w:cs="Calibri"/>
          <w:b/>
          <w:sz w:val="22"/>
          <w:szCs w:val="22"/>
        </w:rPr>
        <w:t>"Proxy Service"</w:t>
      </w:r>
      <w:r w:rsidRPr="006420AC">
        <w:rPr>
          <w:rFonts w:ascii="Calibri" w:hAnsi="Calibri" w:cs="Calibri"/>
          <w:sz w:val="22"/>
          <w:szCs w:val="22"/>
        </w:rPr>
        <w:t xml:space="preserve"> is a service through which a Registered Name Holder licenses use of a Registered Name to the P/P Customer in order to provide the P/P Customer use of the domain name, and the Registered Name Hold</w:t>
      </w:r>
      <w:bookmarkStart w:id="0" w:name="_GoBack"/>
      <w:bookmarkEnd w:id="0"/>
      <w:r w:rsidRPr="006420AC">
        <w:rPr>
          <w:rFonts w:ascii="Calibri" w:hAnsi="Calibri" w:cs="Calibri"/>
          <w:sz w:val="22"/>
          <w:szCs w:val="22"/>
        </w:rPr>
        <w:t>er's contact information is displayed in the Registration Data Service (</w:t>
      </w:r>
      <w:proofErr w:type="spellStart"/>
      <w:r w:rsidRPr="006420AC">
        <w:rPr>
          <w:rFonts w:ascii="Calibri" w:hAnsi="Calibri" w:cs="Calibri"/>
          <w:sz w:val="22"/>
          <w:szCs w:val="22"/>
        </w:rPr>
        <w:t>Whois</w:t>
      </w:r>
      <w:proofErr w:type="spellEnd"/>
      <w:r w:rsidRPr="006420AC">
        <w:rPr>
          <w:rFonts w:ascii="Calibri" w:hAnsi="Calibri" w:cs="Calibri"/>
          <w:sz w:val="22"/>
          <w:szCs w:val="22"/>
        </w:rPr>
        <w:t>) or equivalent services rather than the P/P Customer's contact information.</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r w:rsidRPr="006420AC">
        <w:rPr>
          <w:rFonts w:ascii="Calibri" w:hAnsi="Calibri" w:cs="Calibri"/>
          <w:sz w:val="22"/>
          <w:szCs w:val="22"/>
        </w:rPr>
        <w:t xml:space="preserve">1.4 </w:t>
      </w:r>
      <w:r w:rsidRPr="006420AC">
        <w:rPr>
          <w:rFonts w:ascii="Calibri" w:hAnsi="Calibri" w:cs="Calibri"/>
          <w:b/>
          <w:sz w:val="22"/>
          <w:szCs w:val="22"/>
        </w:rPr>
        <w:t>"P/P Provider"</w:t>
      </w:r>
      <w:r w:rsidRPr="006420AC">
        <w:rPr>
          <w:rFonts w:ascii="Calibri" w:hAnsi="Calibri" w:cs="Calibri"/>
          <w:sz w:val="22"/>
          <w:szCs w:val="22"/>
        </w:rPr>
        <w:t xml:space="preserve"> or </w:t>
      </w:r>
      <w:r w:rsidRPr="006420AC">
        <w:rPr>
          <w:rFonts w:ascii="Calibri" w:hAnsi="Calibri" w:cs="Calibri"/>
          <w:b/>
          <w:sz w:val="22"/>
          <w:szCs w:val="22"/>
        </w:rPr>
        <w:t>"Service Provider"</w:t>
      </w:r>
      <w:r w:rsidRPr="006420AC">
        <w:rPr>
          <w:rFonts w:ascii="Calibri" w:hAnsi="Calibri" w:cs="Calibri"/>
          <w:sz w:val="22"/>
          <w:szCs w:val="22"/>
        </w:rPr>
        <w:t xml:space="preserve"> is the provider of Privacy/Proxy Services, </w:t>
      </w:r>
      <w:r w:rsidRPr="006420AC">
        <w:rPr>
          <w:rFonts w:ascii="Calibri" w:hAnsi="Calibri" w:cs="Calibri"/>
          <w:sz w:val="22"/>
          <w:szCs w:val="22"/>
        </w:rPr>
        <w:lastRenderedPageBreak/>
        <w:t>including Registrar and its Affiliates, as applicable. </w:t>
      </w:r>
    </w:p>
    <w:p w:rsidR="00CF1A18" w:rsidRPr="006420AC" w:rsidRDefault="00CF1A18" w:rsidP="00CF1A18">
      <w:pPr>
        <w:widowControl w:val="0"/>
        <w:autoSpaceDE w:val="0"/>
        <w:autoSpaceDN w:val="0"/>
        <w:adjustRightInd w:val="0"/>
        <w:spacing w:line="276" w:lineRule="auto"/>
        <w:ind w:left="720"/>
        <w:rPr>
          <w:rFonts w:ascii="Calibri" w:hAnsi="Calibri" w:cs="Cambria"/>
          <w:sz w:val="22"/>
          <w:szCs w:val="22"/>
        </w:rPr>
      </w:pPr>
    </w:p>
    <w:p w:rsidR="00CF1A18" w:rsidRPr="006420AC" w:rsidRDefault="00CF1A18" w:rsidP="00CF1A18">
      <w:pPr>
        <w:widowControl w:val="0"/>
        <w:numPr>
          <w:ilvl w:val="0"/>
          <w:numId w:val="4"/>
        </w:numPr>
        <w:suppressAutoHyphens w:val="0"/>
        <w:autoSpaceDE w:val="0"/>
        <w:autoSpaceDN w:val="0"/>
        <w:adjustRightInd w:val="0"/>
        <w:spacing w:after="240" w:line="276" w:lineRule="auto"/>
        <w:rPr>
          <w:rFonts w:ascii="Calibri" w:hAnsi="Calibri"/>
          <w:b/>
          <w:sz w:val="22"/>
          <w:szCs w:val="22"/>
        </w:rPr>
      </w:pPr>
      <w:r w:rsidRPr="006420AC">
        <w:rPr>
          <w:rFonts w:ascii="Calibri" w:hAnsi="Calibri"/>
          <w:b/>
          <w:sz w:val="22"/>
          <w:szCs w:val="22"/>
        </w:rPr>
        <w:t>Relay &amp; Reveal Requests</w:t>
      </w:r>
    </w:p>
    <w:p w:rsidR="00CF1A18" w:rsidRPr="006420AC" w:rsidRDefault="00CF1A18" w:rsidP="00CF1A18">
      <w:pPr>
        <w:widowControl w:val="0"/>
        <w:autoSpaceDE w:val="0"/>
        <w:autoSpaceDN w:val="0"/>
        <w:adjustRightInd w:val="0"/>
        <w:spacing w:after="240" w:line="276" w:lineRule="auto"/>
        <w:rPr>
          <w:rFonts w:ascii="Calibri" w:hAnsi="Calibri"/>
          <w:sz w:val="22"/>
          <w:szCs w:val="22"/>
        </w:rPr>
      </w:pPr>
      <w:r w:rsidRPr="006420AC">
        <w:rPr>
          <w:rFonts w:ascii="Calibri" w:hAnsi="Calibri"/>
          <w:sz w:val="22"/>
          <w:szCs w:val="22"/>
        </w:rPr>
        <w:t>The GNSO’s 2010 Terms of Reference for a proposed Proxy &amp; Privacy Relay &amp; Reveal Study in 2010 (</w:t>
      </w:r>
      <w:hyperlink r:id="rId10" w:history="1">
        <w:r w:rsidRPr="006420AC">
          <w:rPr>
            <w:rStyle w:val="Hyperlink"/>
            <w:rFonts w:ascii="Calibri" w:hAnsi="Calibri"/>
            <w:sz w:val="22"/>
            <w:szCs w:val="22"/>
          </w:rPr>
          <w:t>http://gnso.icann.org/issues/whois/whois-proxy-privacy-relay-reveal-studies-tor-29sep10-en.pdf</w:t>
        </w:r>
      </w:hyperlink>
      <w:r w:rsidRPr="006420AC">
        <w:rPr>
          <w:rFonts w:ascii="Calibri" w:hAnsi="Calibri"/>
          <w:sz w:val="22"/>
          <w:szCs w:val="22"/>
        </w:rPr>
        <w:t>) included the following descriptions:</w:t>
      </w:r>
    </w:p>
    <w:p w:rsidR="00CF1A18" w:rsidRPr="006420AC" w:rsidRDefault="00CF1A18" w:rsidP="00CF1A18">
      <w:pPr>
        <w:widowControl w:val="0"/>
        <w:numPr>
          <w:ilvl w:val="0"/>
          <w:numId w:val="5"/>
        </w:numPr>
        <w:suppressAutoHyphens w:val="0"/>
        <w:autoSpaceDE w:val="0"/>
        <w:autoSpaceDN w:val="0"/>
        <w:adjustRightInd w:val="0"/>
        <w:spacing w:after="240" w:line="276" w:lineRule="auto"/>
        <w:rPr>
          <w:rFonts w:ascii="Calibri" w:hAnsi="Calibri" w:cs="Times"/>
          <w:sz w:val="22"/>
          <w:szCs w:val="22"/>
        </w:rPr>
      </w:pPr>
      <w:r w:rsidRPr="006420AC">
        <w:rPr>
          <w:rFonts w:ascii="Calibri" w:hAnsi="Calibri"/>
          <w:sz w:val="22"/>
          <w:szCs w:val="22"/>
        </w:rPr>
        <w:t xml:space="preserve">For many domains, Registered Name Holders can be reached directly at addresses obtained from WHOIS. However, for Privacy/Proxy-registered domains, Registered Name Holders or third party licensees cannot be reached directly via WHOIS- published addresses. Instead, </w:t>
      </w:r>
      <w:r w:rsidRPr="006420AC">
        <w:rPr>
          <w:rFonts w:ascii="Calibri" w:hAnsi="Calibri" w:cs="Times"/>
          <w:b/>
          <w:i/>
          <w:sz w:val="22"/>
          <w:szCs w:val="22"/>
        </w:rPr>
        <w:t>communication relay requests</w:t>
      </w:r>
      <w:r w:rsidRPr="006420AC">
        <w:rPr>
          <w:rFonts w:ascii="Calibri" w:hAnsi="Calibri" w:cs="Times"/>
          <w:sz w:val="22"/>
          <w:szCs w:val="22"/>
        </w:rPr>
        <w:t xml:space="preserve"> </w:t>
      </w:r>
      <w:r w:rsidRPr="006420AC">
        <w:rPr>
          <w:rFonts w:ascii="Calibri" w:hAnsi="Calibri"/>
          <w:sz w:val="22"/>
          <w:szCs w:val="22"/>
        </w:rPr>
        <w:t>may be sent to the Privacy/Proxy service provider published in WHOIS, or attempted using addresses obtained from other sources, websites or communications associated with the domain.</w:t>
      </w:r>
    </w:p>
    <w:p w:rsidR="00CF1A18" w:rsidRPr="006420AC" w:rsidRDefault="00CF1A18" w:rsidP="00CF1A18">
      <w:pPr>
        <w:widowControl w:val="0"/>
        <w:numPr>
          <w:ilvl w:val="0"/>
          <w:numId w:val="5"/>
        </w:numPr>
        <w:suppressAutoHyphens w:val="0"/>
        <w:autoSpaceDE w:val="0"/>
        <w:autoSpaceDN w:val="0"/>
        <w:adjustRightInd w:val="0"/>
        <w:spacing w:after="240" w:line="276" w:lineRule="auto"/>
        <w:rPr>
          <w:rFonts w:asciiTheme="majorHAnsi" w:hAnsiTheme="majorHAnsi" w:cs="Times"/>
          <w:sz w:val="22"/>
          <w:szCs w:val="22"/>
        </w:rPr>
      </w:pPr>
      <w:r w:rsidRPr="006420AC">
        <w:rPr>
          <w:rFonts w:ascii="Calibri" w:hAnsi="Calibri"/>
          <w:sz w:val="22"/>
          <w:szCs w:val="22"/>
        </w:rPr>
        <w:t xml:space="preserve">For many domains (including those registered via Privacy services), the Registered Name Holder's identity is published directly in WHOIS. However, for domains registered via Proxy services, the name of the licensee is not published in WHOIS; third party licensees can typically only be identified by </w:t>
      </w:r>
      <w:r w:rsidRPr="006420AC">
        <w:rPr>
          <w:rFonts w:ascii="Calibri" w:hAnsi="Calibri"/>
          <w:b/>
          <w:i/>
          <w:sz w:val="22"/>
          <w:szCs w:val="22"/>
        </w:rPr>
        <w:t xml:space="preserve">asking the Proxy to </w:t>
      </w:r>
      <w:r w:rsidRPr="006420AC">
        <w:rPr>
          <w:rFonts w:ascii="Calibri" w:hAnsi="Calibri" w:cs="Times"/>
          <w:b/>
          <w:i/>
          <w:sz w:val="22"/>
          <w:szCs w:val="22"/>
        </w:rPr>
        <w:t>reveal the licensee's identity</w:t>
      </w:r>
      <w:r w:rsidRPr="006420AC">
        <w:rPr>
          <w:rFonts w:ascii="Calibri" w:hAnsi="Calibri"/>
          <w:sz w:val="22"/>
          <w:szCs w:val="22"/>
        </w:rPr>
        <w:t xml:space="preserve">, </w:t>
      </w:r>
      <w:r w:rsidRPr="006420AC">
        <w:rPr>
          <w:rFonts w:asciiTheme="majorHAnsi" w:hAnsiTheme="majorHAnsi"/>
          <w:sz w:val="22"/>
          <w:szCs w:val="22"/>
        </w:rPr>
        <w:t>given reasonable evidence of actionable harm.</w:t>
      </w:r>
    </w:p>
    <w:p w:rsidR="00CF1A18" w:rsidRPr="006420AC" w:rsidRDefault="00CF1A18" w:rsidP="00CF1A18">
      <w:pPr>
        <w:spacing w:line="276" w:lineRule="auto"/>
        <w:rPr>
          <w:rFonts w:asciiTheme="majorHAnsi" w:hAnsiTheme="majorHAnsi"/>
          <w:sz w:val="22"/>
          <w:szCs w:val="22"/>
        </w:rPr>
      </w:pPr>
      <w:r w:rsidRPr="006420AC">
        <w:rPr>
          <w:rFonts w:asciiTheme="majorHAnsi" w:hAnsiTheme="majorHAnsi"/>
          <w:sz w:val="22"/>
          <w:szCs w:val="22"/>
        </w:rPr>
        <w:t>The Working Group has developed the following definitions to clarify the two actions for which the word “reveal” has been used, including in the GNSO’s 2010 Terms of Reference:</w:t>
      </w:r>
    </w:p>
    <w:p w:rsidR="00CF1A18" w:rsidRPr="006420AC" w:rsidRDefault="00CF1A18" w:rsidP="00CF1A18">
      <w:pPr>
        <w:spacing w:line="276" w:lineRule="auto"/>
        <w:rPr>
          <w:rFonts w:asciiTheme="majorHAnsi" w:hAnsiTheme="majorHAnsi"/>
          <w:sz w:val="22"/>
          <w:szCs w:val="22"/>
        </w:rPr>
      </w:pPr>
      <w:r w:rsidRPr="006420AC">
        <w:rPr>
          <w:rFonts w:asciiTheme="majorHAnsi" w:hAnsiTheme="majorHAnsi"/>
          <w:sz w:val="22"/>
          <w:szCs w:val="22"/>
        </w:rPr>
        <w:t xml:space="preserve"> </w:t>
      </w:r>
    </w:p>
    <w:p w:rsidR="00CF1A18" w:rsidRPr="006420AC" w:rsidRDefault="00CF1A18" w:rsidP="006420AC">
      <w:pPr>
        <w:numPr>
          <w:ilvl w:val="0"/>
          <w:numId w:val="1"/>
        </w:numPr>
        <w:spacing w:before="120" w:after="120" w:line="276" w:lineRule="auto"/>
        <w:contextualSpacing/>
        <w:rPr>
          <w:rFonts w:asciiTheme="majorHAnsi" w:hAnsiTheme="majorHAnsi"/>
          <w:sz w:val="22"/>
          <w:szCs w:val="22"/>
        </w:rPr>
      </w:pPr>
      <w:r w:rsidRPr="006420AC">
        <w:rPr>
          <w:rFonts w:asciiTheme="majorHAnsi" w:hAnsiTheme="majorHAnsi"/>
          <w:b/>
          <w:sz w:val="22"/>
          <w:szCs w:val="22"/>
        </w:rPr>
        <w:t>“Publication”</w:t>
      </w:r>
      <w:r w:rsidRPr="006420AC">
        <w:rPr>
          <w:rFonts w:asciiTheme="majorHAnsi" w:hAnsiTheme="majorHAnsi"/>
          <w:sz w:val="22"/>
          <w:szCs w:val="22"/>
        </w:rPr>
        <w:t xml:space="preserve"> means the reveal of a person’s (i.e. the licensee or beneficial owner of a registered domain name) identity/contact details in the WHOIS system.</w:t>
      </w:r>
    </w:p>
    <w:p w:rsidR="006420AC" w:rsidRPr="006420AC" w:rsidRDefault="006420AC" w:rsidP="006420AC">
      <w:pPr>
        <w:spacing w:before="120" w:after="120" w:line="276" w:lineRule="auto"/>
        <w:ind w:left="720"/>
        <w:contextualSpacing/>
        <w:rPr>
          <w:rFonts w:asciiTheme="majorHAnsi" w:hAnsiTheme="majorHAnsi"/>
          <w:sz w:val="22"/>
          <w:szCs w:val="22"/>
        </w:rPr>
      </w:pPr>
    </w:p>
    <w:p w:rsidR="00CF1A18" w:rsidRPr="006420AC" w:rsidRDefault="00CF1A18" w:rsidP="006420AC">
      <w:pPr>
        <w:numPr>
          <w:ilvl w:val="0"/>
          <w:numId w:val="1"/>
        </w:numPr>
        <w:spacing w:before="120" w:after="120" w:line="276" w:lineRule="auto"/>
        <w:contextualSpacing/>
        <w:rPr>
          <w:rFonts w:asciiTheme="majorHAnsi" w:hAnsiTheme="majorHAnsi"/>
          <w:sz w:val="22"/>
          <w:szCs w:val="22"/>
        </w:rPr>
      </w:pPr>
      <w:r w:rsidRPr="006420AC">
        <w:rPr>
          <w:rFonts w:asciiTheme="majorHAnsi" w:hAnsiTheme="majorHAnsi"/>
          <w:b/>
          <w:sz w:val="22"/>
          <w:szCs w:val="22"/>
        </w:rPr>
        <w:t>“Disclosure”</w:t>
      </w:r>
      <w:r w:rsidRPr="006420AC">
        <w:rPr>
          <w:rFonts w:asciiTheme="majorHAnsi" w:hAnsiTheme="majorHAnsi"/>
          <w:sz w:val="22"/>
          <w:szCs w:val="22"/>
        </w:rPr>
        <w:t xml:space="preserve"> means the reveal of a person’s (i.e. the licensee or beneficial owner of a registered domain name) identity/contact details to a third party requestor without Publication in the WHOIS system.</w:t>
      </w:r>
    </w:p>
    <w:p w:rsidR="006420AC" w:rsidRPr="006420AC" w:rsidRDefault="006420AC" w:rsidP="006420AC">
      <w:pPr>
        <w:spacing w:before="100" w:beforeAutospacing="1" w:after="100" w:afterAutospacing="1" w:line="276" w:lineRule="auto"/>
        <w:ind w:left="1080"/>
        <w:contextualSpacing/>
        <w:rPr>
          <w:rFonts w:asciiTheme="majorHAnsi" w:hAnsiTheme="majorHAnsi"/>
          <w:sz w:val="22"/>
          <w:szCs w:val="22"/>
        </w:rPr>
      </w:pPr>
    </w:p>
    <w:p w:rsidR="006420AC" w:rsidRPr="006420AC" w:rsidRDefault="006420AC" w:rsidP="006420AC">
      <w:pPr>
        <w:spacing w:before="100" w:beforeAutospacing="1" w:after="100" w:afterAutospacing="1" w:line="276" w:lineRule="auto"/>
        <w:contextualSpacing/>
        <w:rPr>
          <w:rFonts w:asciiTheme="majorHAnsi" w:hAnsiTheme="majorHAnsi"/>
          <w:sz w:val="22"/>
          <w:szCs w:val="22"/>
        </w:rPr>
      </w:pPr>
      <w:r w:rsidRPr="006420AC">
        <w:rPr>
          <w:rFonts w:asciiTheme="majorHAnsi" w:hAnsiTheme="majorHAnsi"/>
          <w:sz w:val="22"/>
          <w:szCs w:val="22"/>
        </w:rPr>
        <w:t xml:space="preserve">The </w:t>
      </w:r>
      <w:proofErr w:type="gramStart"/>
      <w:r w:rsidRPr="006420AC">
        <w:rPr>
          <w:rFonts w:asciiTheme="majorHAnsi" w:hAnsiTheme="majorHAnsi"/>
          <w:sz w:val="22"/>
          <w:szCs w:val="22"/>
        </w:rPr>
        <w:t>following additional definitions were also developed by the Working Group</w:t>
      </w:r>
      <w:proofErr w:type="gramEnd"/>
      <w:r w:rsidRPr="006420AC">
        <w:rPr>
          <w:rFonts w:asciiTheme="majorHAnsi" w:hAnsiTheme="majorHAnsi"/>
          <w:sz w:val="22"/>
          <w:szCs w:val="22"/>
        </w:rPr>
        <w:t>:</w:t>
      </w:r>
    </w:p>
    <w:p w:rsidR="006420AC" w:rsidRPr="006420AC" w:rsidRDefault="006420AC" w:rsidP="006420AC">
      <w:pPr>
        <w:spacing w:before="100" w:beforeAutospacing="1" w:after="100" w:afterAutospacing="1" w:line="276" w:lineRule="auto"/>
        <w:contextualSpacing/>
        <w:rPr>
          <w:rFonts w:asciiTheme="majorHAnsi" w:hAnsiTheme="majorHAnsi"/>
          <w:sz w:val="22"/>
          <w:szCs w:val="22"/>
        </w:rPr>
      </w:pPr>
    </w:p>
    <w:p w:rsidR="00CF1A18" w:rsidRPr="006420AC" w:rsidRDefault="00CF1A18" w:rsidP="006420AC">
      <w:pPr>
        <w:numPr>
          <w:ilvl w:val="0"/>
          <w:numId w:val="1"/>
        </w:numPr>
        <w:spacing w:before="120" w:after="120" w:line="276" w:lineRule="auto"/>
        <w:contextualSpacing/>
        <w:rPr>
          <w:rFonts w:asciiTheme="majorHAnsi" w:hAnsiTheme="majorHAnsi"/>
          <w:sz w:val="22"/>
          <w:szCs w:val="22"/>
        </w:rPr>
      </w:pPr>
      <w:r w:rsidRPr="006420AC">
        <w:rPr>
          <w:rFonts w:asciiTheme="majorHAnsi" w:hAnsiTheme="majorHAnsi"/>
          <w:sz w:val="22"/>
          <w:szCs w:val="22"/>
        </w:rPr>
        <w:t xml:space="preserve">The term </w:t>
      </w:r>
      <w:r w:rsidRPr="006420AC">
        <w:rPr>
          <w:rFonts w:asciiTheme="majorHAnsi" w:hAnsiTheme="majorHAnsi"/>
          <w:b/>
          <w:sz w:val="22"/>
          <w:szCs w:val="22"/>
        </w:rPr>
        <w:t>“person”</w:t>
      </w:r>
      <w:r w:rsidRPr="006420AC">
        <w:rPr>
          <w:rFonts w:asciiTheme="majorHAnsi" w:hAnsiTheme="majorHAnsi"/>
          <w:sz w:val="22"/>
          <w:szCs w:val="22"/>
        </w:rPr>
        <w:t xml:space="preserve"> as used in these definitions is understood to include natural and legal persons, as well as organizations and entities.</w:t>
      </w:r>
    </w:p>
    <w:p w:rsidR="00CF1A18" w:rsidRPr="006420AC" w:rsidRDefault="00CF1A18" w:rsidP="006420AC">
      <w:pPr>
        <w:pStyle w:val="ListParagraph"/>
        <w:numPr>
          <w:ilvl w:val="0"/>
          <w:numId w:val="1"/>
        </w:numPr>
        <w:spacing w:before="120" w:after="120" w:line="276" w:lineRule="auto"/>
        <w:rPr>
          <w:rFonts w:asciiTheme="majorHAnsi" w:hAnsiTheme="majorHAnsi"/>
          <w:sz w:val="22"/>
          <w:szCs w:val="22"/>
        </w:rPr>
      </w:pPr>
      <w:r w:rsidRPr="006420AC">
        <w:rPr>
          <w:rFonts w:asciiTheme="majorHAnsi" w:hAnsiTheme="majorHAnsi"/>
          <w:b/>
          <w:sz w:val="22"/>
          <w:szCs w:val="22"/>
        </w:rPr>
        <w:t>“Law enforcement authority”</w:t>
      </w:r>
      <w:r w:rsidRPr="006420AC">
        <w:rPr>
          <w:rFonts w:asciiTheme="majorHAnsi" w:hAnsiTheme="majorHAnsi"/>
          <w:sz w:val="22"/>
          <w:szCs w:val="22"/>
        </w:rPr>
        <w:t xml:space="preserve"> means law enforcement, consumer protection, quasi-governmental or other similar authorities designated from time to time by the national or territorial government of the jurisdiction in which the P/P service provider is established or maintains a physical office.</w:t>
      </w:r>
    </w:p>
    <w:p w:rsidR="00CF1A18" w:rsidRPr="006420AC" w:rsidRDefault="00CF1A18" w:rsidP="00CF1A18">
      <w:pPr>
        <w:spacing w:line="276" w:lineRule="auto"/>
        <w:rPr>
          <w:rFonts w:asciiTheme="majorHAnsi" w:hAnsiTheme="majorHAnsi"/>
          <w:sz w:val="22"/>
          <w:szCs w:val="22"/>
        </w:rPr>
      </w:pPr>
    </w:p>
    <w:sectPr w:rsidR="00CF1A18" w:rsidRPr="006420AC"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18" w:rsidRDefault="00CF1A18" w:rsidP="00CF1A18">
      <w:pPr>
        <w:spacing w:line="240" w:lineRule="auto"/>
      </w:pPr>
      <w:r>
        <w:separator/>
      </w:r>
    </w:p>
  </w:endnote>
  <w:endnote w:type="continuationSeparator" w:id="0">
    <w:p w:rsidR="00CF1A18" w:rsidRDefault="00CF1A18" w:rsidP="00CF1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18" w:rsidRDefault="00CF1A18" w:rsidP="00CF1A18">
      <w:pPr>
        <w:spacing w:line="240" w:lineRule="auto"/>
      </w:pPr>
      <w:r>
        <w:separator/>
      </w:r>
    </w:p>
  </w:footnote>
  <w:footnote w:type="continuationSeparator" w:id="0">
    <w:p w:rsidR="00CF1A18" w:rsidRDefault="00CF1A18" w:rsidP="00CF1A1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E09"/>
    <w:multiLevelType w:val="hybridMultilevel"/>
    <w:tmpl w:val="C9A2F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5E73A5"/>
    <w:multiLevelType w:val="hybridMultilevel"/>
    <w:tmpl w:val="25D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5779A5"/>
    <w:multiLevelType w:val="hybridMultilevel"/>
    <w:tmpl w:val="3620DFE4"/>
    <w:lvl w:ilvl="0" w:tplc="EB04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B2357"/>
    <w:multiLevelType w:val="hybridMultilevel"/>
    <w:tmpl w:val="F1A2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D26DCF"/>
    <w:multiLevelType w:val="hybridMultilevel"/>
    <w:tmpl w:val="B284FB60"/>
    <w:lvl w:ilvl="0" w:tplc="59A6D0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18"/>
    <w:rsid w:val="006420AC"/>
    <w:rsid w:val="00A9584F"/>
    <w:rsid w:val="00CF1A18"/>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18"/>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F1A18"/>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rsid w:val="00CF1A18"/>
    <w:rPr>
      <w:rFonts w:ascii="Times New Roman" w:eastAsia="Times New Roman" w:hAnsi="Times New Roman" w:cs="Times New Roman"/>
      <w:sz w:val="20"/>
      <w:szCs w:val="20"/>
    </w:rPr>
  </w:style>
  <w:style w:type="character" w:styleId="FootnoteReference">
    <w:name w:val="footnote reference"/>
    <w:uiPriority w:val="99"/>
    <w:rsid w:val="00CF1A18"/>
    <w:rPr>
      <w:vertAlign w:val="superscript"/>
    </w:rPr>
  </w:style>
  <w:style w:type="paragraph" w:styleId="ListParagraph">
    <w:name w:val="List Paragraph"/>
    <w:basedOn w:val="Normal"/>
    <w:uiPriority w:val="34"/>
    <w:qFormat/>
    <w:rsid w:val="00CF1A18"/>
    <w:pPr>
      <w:ind w:left="720"/>
      <w:contextualSpacing/>
    </w:pPr>
  </w:style>
  <w:style w:type="character" w:styleId="Hyperlink">
    <w:name w:val="Hyperlink"/>
    <w:uiPriority w:val="99"/>
    <w:unhideWhenUsed/>
    <w:rsid w:val="00CF1A18"/>
    <w:rPr>
      <w:color w:val="0000FF"/>
      <w:u w:val="single"/>
    </w:rPr>
  </w:style>
  <w:style w:type="character" w:styleId="FollowedHyperlink">
    <w:name w:val="FollowedHyperlink"/>
    <w:basedOn w:val="DefaultParagraphFont"/>
    <w:uiPriority w:val="99"/>
    <w:semiHidden/>
    <w:unhideWhenUsed/>
    <w:rsid w:val="006420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18"/>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F1A18"/>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rsid w:val="00CF1A18"/>
    <w:rPr>
      <w:rFonts w:ascii="Times New Roman" w:eastAsia="Times New Roman" w:hAnsi="Times New Roman" w:cs="Times New Roman"/>
      <w:sz w:val="20"/>
      <w:szCs w:val="20"/>
    </w:rPr>
  </w:style>
  <w:style w:type="character" w:styleId="FootnoteReference">
    <w:name w:val="footnote reference"/>
    <w:uiPriority w:val="99"/>
    <w:rsid w:val="00CF1A18"/>
    <w:rPr>
      <w:vertAlign w:val="superscript"/>
    </w:rPr>
  </w:style>
  <w:style w:type="paragraph" w:styleId="ListParagraph">
    <w:name w:val="List Paragraph"/>
    <w:basedOn w:val="Normal"/>
    <w:uiPriority w:val="34"/>
    <w:qFormat/>
    <w:rsid w:val="00CF1A18"/>
    <w:pPr>
      <w:ind w:left="720"/>
      <w:contextualSpacing/>
    </w:pPr>
  </w:style>
  <w:style w:type="character" w:styleId="Hyperlink">
    <w:name w:val="Hyperlink"/>
    <w:uiPriority w:val="99"/>
    <w:unhideWhenUsed/>
    <w:rsid w:val="00CF1A18"/>
    <w:rPr>
      <w:color w:val="0000FF"/>
      <w:u w:val="single"/>
    </w:rPr>
  </w:style>
  <w:style w:type="character" w:styleId="FollowedHyperlink">
    <w:name w:val="FollowedHyperlink"/>
    <w:basedOn w:val="DefaultParagraphFont"/>
    <w:uiPriority w:val="99"/>
    <w:semiHidden/>
    <w:unhideWhenUsed/>
    <w:rsid w:val="00642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issues/whois/whois-working-definitions-study-terms-18feb09.pdf" TargetMode="External"/><Relationship Id="rId9" Type="http://schemas.openxmlformats.org/officeDocument/2006/relationships/hyperlink" Target="http://www.icann.org/en/resources/registrars/raa/approved-with-specs-27jun13-en.pdf" TargetMode="External"/><Relationship Id="rId10" Type="http://schemas.openxmlformats.org/officeDocument/2006/relationships/hyperlink" Target="http://gnso.icann.org/issues/whois/whois-proxy-privacy-relay-reveal-studies-tor-29sep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738</Words>
  <Characters>4211</Characters>
  <Application>Microsoft Macintosh Word</Application>
  <DocSecurity>0</DocSecurity>
  <Lines>35</Lines>
  <Paragraphs>9</Paragraphs>
  <ScaleCrop>false</ScaleCrop>
  <Company>ICANN</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2015-01-29T07:41:00Z</dcterms:created>
  <dcterms:modified xsi:type="dcterms:W3CDTF">2015-01-29T07:56:00Z</dcterms:modified>
</cp:coreProperties>
</file>