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60847" w14:textId="77777777" w:rsidR="00757879" w:rsidRDefault="0022342B">
      <w:pPr>
        <w:jc w:val="center"/>
        <w:rPr>
          <w:rFonts w:asciiTheme="majorHAnsi" w:hAnsiTheme="majorHAnsi"/>
          <w:b/>
          <w:sz w:val="22"/>
          <w:szCs w:val="22"/>
        </w:rPr>
      </w:pPr>
      <w:r>
        <w:rPr>
          <w:rFonts w:asciiTheme="majorHAnsi" w:hAnsiTheme="majorHAnsi"/>
          <w:b/>
          <w:sz w:val="22"/>
          <w:szCs w:val="22"/>
        </w:rPr>
        <w:t>DRAFT PRELIMINARY CONCLUSIONS FOR CATEGORY F – FOR DISCUSSION</w:t>
      </w:r>
    </w:p>
    <w:p w14:paraId="52486DF3" w14:textId="69E278E0" w:rsidR="00757879" w:rsidRDefault="0022342B">
      <w:pPr>
        <w:jc w:val="center"/>
        <w:rPr>
          <w:rFonts w:asciiTheme="majorHAnsi" w:hAnsiTheme="majorHAnsi"/>
          <w:b/>
          <w:sz w:val="22"/>
          <w:szCs w:val="22"/>
        </w:rPr>
      </w:pPr>
      <w:r>
        <w:rPr>
          <w:rFonts w:asciiTheme="majorHAnsi" w:hAnsiTheme="majorHAnsi"/>
          <w:b/>
          <w:sz w:val="22"/>
          <w:szCs w:val="22"/>
        </w:rPr>
        <w:t>22 September 2014</w:t>
      </w:r>
    </w:p>
    <w:p w14:paraId="3FAEDB52" w14:textId="77777777" w:rsidR="00757879" w:rsidRDefault="00757879">
      <w:pPr>
        <w:rPr>
          <w:rFonts w:asciiTheme="majorHAnsi" w:hAnsiTheme="majorHAnsi"/>
          <w:b/>
          <w:sz w:val="22"/>
          <w:szCs w:val="22"/>
        </w:rPr>
      </w:pPr>
    </w:p>
    <w:p w14:paraId="32209CAD" w14:textId="77777777" w:rsidR="00757879" w:rsidRDefault="00757879">
      <w:pPr>
        <w:rPr>
          <w:rFonts w:asciiTheme="majorHAnsi" w:hAnsiTheme="majorHAnsi"/>
          <w:b/>
          <w:sz w:val="22"/>
          <w:szCs w:val="22"/>
        </w:rPr>
      </w:pPr>
    </w:p>
    <w:p w14:paraId="2827620E" w14:textId="77777777" w:rsidR="00757879" w:rsidRDefault="0022342B">
      <w:pPr>
        <w:rPr>
          <w:rFonts w:asciiTheme="majorHAnsi" w:hAnsiTheme="majorHAnsi"/>
          <w:b/>
          <w:sz w:val="22"/>
          <w:szCs w:val="22"/>
        </w:rPr>
      </w:pPr>
      <w:r>
        <w:rPr>
          <w:rFonts w:asciiTheme="majorHAnsi" w:hAnsiTheme="majorHAnsi"/>
          <w:b/>
          <w:sz w:val="22"/>
          <w:szCs w:val="22"/>
        </w:rPr>
        <w:t>WG Recommended Definitions</w:t>
      </w:r>
    </w:p>
    <w:p w14:paraId="09E97853" w14:textId="77777777" w:rsidR="00757879" w:rsidRDefault="00757879">
      <w:pPr>
        <w:rPr>
          <w:rFonts w:asciiTheme="majorHAnsi" w:hAnsiTheme="majorHAnsi"/>
          <w:sz w:val="22"/>
          <w:szCs w:val="22"/>
        </w:rPr>
      </w:pPr>
    </w:p>
    <w:p w14:paraId="5CB9B555" w14:textId="77777777" w:rsidR="00757879" w:rsidRDefault="0022342B">
      <w:pPr>
        <w:ind w:firstLine="720"/>
        <w:rPr>
          <w:rFonts w:asciiTheme="majorHAnsi" w:hAnsiTheme="majorHAnsi"/>
          <w:sz w:val="22"/>
          <w:szCs w:val="22"/>
        </w:rPr>
      </w:pPr>
      <w:r>
        <w:rPr>
          <w:rFonts w:asciiTheme="majorHAnsi" w:hAnsiTheme="majorHAnsi"/>
          <w:sz w:val="22"/>
          <w:szCs w:val="22"/>
        </w:rPr>
        <w:t>The WG’s review of a sample of P/P service provider policies as well as of prior ICANN work on this issue indicates that there is currently no consistent, universally-accepted or well-understood single definition of “Reveal” as the word is used by the ICANN community. The WG has developed the following definitions to cover the two aspects of what a “Reveal” request is commonly understood to mean, and recommends that ICANN adopt these definitions in its P/P Service Provider Accreditation Program, and in any relevant contracts and related policies:</w:t>
      </w:r>
    </w:p>
    <w:p w14:paraId="5B6E6C06" w14:textId="77777777" w:rsidR="00757879" w:rsidRDefault="00757879">
      <w:pPr>
        <w:rPr>
          <w:rFonts w:asciiTheme="majorHAnsi" w:hAnsiTheme="majorHAnsi"/>
          <w:sz w:val="22"/>
          <w:szCs w:val="22"/>
        </w:rPr>
      </w:pPr>
    </w:p>
    <w:p w14:paraId="3632FC78" w14:textId="77777777" w:rsidR="00757879" w:rsidRDefault="00F472BB">
      <w:pPr>
        <w:pStyle w:val="ListParagraph"/>
        <w:widowControl w:val="0"/>
        <w:numPr>
          <w:ilvl w:val="0"/>
          <w:numId w:val="2"/>
        </w:numPr>
        <w:autoSpaceDE w:val="0"/>
        <w:autoSpaceDN w:val="0"/>
        <w:adjustRightInd w:val="0"/>
        <w:rPr>
          <w:rFonts w:asciiTheme="majorHAnsi" w:eastAsia="MS Mincho" w:hAnsiTheme="majorHAnsi" w:cs="Calibri"/>
          <w:sz w:val="22"/>
          <w:szCs w:val="22"/>
        </w:rPr>
      </w:pPr>
      <w:r>
        <w:rPr>
          <w:rFonts w:asciiTheme="majorHAnsi" w:hAnsiTheme="majorHAnsi"/>
          <w:b/>
          <w:bCs/>
          <w:i/>
          <w:iCs/>
          <w:sz w:val="22"/>
          <w:szCs w:val="22"/>
        </w:rPr>
        <w:t>“</w:t>
      </w:r>
      <w:r w:rsidR="0022342B">
        <w:rPr>
          <w:rFonts w:asciiTheme="majorHAnsi" w:hAnsiTheme="majorHAnsi"/>
          <w:b/>
          <w:bCs/>
          <w:i/>
          <w:iCs/>
          <w:sz w:val="22"/>
          <w:szCs w:val="22"/>
        </w:rPr>
        <w:t xml:space="preserve">Publication” </w:t>
      </w:r>
      <w:r w:rsidR="0022342B">
        <w:rPr>
          <w:rFonts w:asciiTheme="majorHAnsi" w:hAnsiTheme="majorHAnsi"/>
          <w:sz w:val="22"/>
          <w:szCs w:val="22"/>
        </w:rPr>
        <w:t>means</w:t>
      </w:r>
      <w:r w:rsidR="0022342B">
        <w:rPr>
          <w:rFonts w:asciiTheme="majorHAnsi" w:eastAsia="MS Mincho" w:hAnsiTheme="majorHAnsi" w:cs="Calibri"/>
          <w:sz w:val="22"/>
          <w:szCs w:val="22"/>
        </w:rPr>
        <w:t xml:space="preserve"> the reveal of a person’s (i.e. the licensee or beneficial owner of a registered domain name) identity/contact details in the Whois system</w:t>
      </w:r>
    </w:p>
    <w:p w14:paraId="5D0C5CB6" w14:textId="77777777" w:rsidR="00757879" w:rsidRDefault="00757879">
      <w:pPr>
        <w:widowControl w:val="0"/>
        <w:autoSpaceDE w:val="0"/>
        <w:autoSpaceDN w:val="0"/>
        <w:adjustRightInd w:val="0"/>
        <w:rPr>
          <w:rFonts w:asciiTheme="majorHAnsi" w:eastAsia="MS Mincho" w:hAnsiTheme="majorHAnsi" w:cs="Calibri"/>
          <w:b/>
          <w:bCs/>
          <w:i/>
          <w:iCs/>
          <w:sz w:val="22"/>
          <w:szCs w:val="22"/>
        </w:rPr>
      </w:pPr>
    </w:p>
    <w:p w14:paraId="3E4D9925" w14:textId="41D6861E" w:rsidR="00757879" w:rsidRDefault="0022342B">
      <w:pPr>
        <w:pStyle w:val="ListParagraph"/>
        <w:widowControl w:val="0"/>
        <w:numPr>
          <w:ilvl w:val="0"/>
          <w:numId w:val="2"/>
        </w:numPr>
        <w:autoSpaceDE w:val="0"/>
        <w:autoSpaceDN w:val="0"/>
        <w:adjustRightInd w:val="0"/>
        <w:rPr>
          <w:rFonts w:asciiTheme="majorHAnsi" w:eastAsia="MS Mincho" w:hAnsiTheme="majorHAnsi" w:cs="Calibri"/>
          <w:sz w:val="22"/>
          <w:szCs w:val="22"/>
        </w:rPr>
      </w:pPr>
      <w:r>
        <w:rPr>
          <w:rFonts w:asciiTheme="majorHAnsi" w:eastAsia="MS Mincho" w:hAnsiTheme="majorHAnsi" w:cs="Calibri"/>
          <w:b/>
          <w:bCs/>
          <w:i/>
          <w:iCs/>
          <w:sz w:val="22"/>
          <w:szCs w:val="22"/>
        </w:rPr>
        <w:t xml:space="preserve">“Disclosure” </w:t>
      </w:r>
      <w:r>
        <w:rPr>
          <w:rFonts w:asciiTheme="majorHAnsi" w:eastAsia="MS Mincho" w:hAnsiTheme="majorHAnsi" w:cs="Calibri"/>
          <w:sz w:val="22"/>
          <w:szCs w:val="22"/>
        </w:rPr>
        <w:t>means the reveal of a person’s (i.e. the licensee or beneficial owner of a registered domain name) identity/contact details to a third party requestor.</w:t>
      </w:r>
    </w:p>
    <w:p w14:paraId="41F8F0EA" w14:textId="77777777" w:rsidR="00757879" w:rsidRDefault="00757879">
      <w:pPr>
        <w:widowControl w:val="0"/>
        <w:autoSpaceDE w:val="0"/>
        <w:autoSpaceDN w:val="0"/>
        <w:adjustRightInd w:val="0"/>
        <w:rPr>
          <w:rFonts w:asciiTheme="majorHAnsi" w:eastAsia="MS Mincho" w:hAnsiTheme="majorHAnsi" w:cs="Calibri"/>
          <w:sz w:val="22"/>
          <w:szCs w:val="22"/>
        </w:rPr>
      </w:pPr>
    </w:p>
    <w:p w14:paraId="063F1DFF" w14:textId="77777777" w:rsidR="00757879" w:rsidRDefault="0022342B">
      <w:pPr>
        <w:pStyle w:val="ListParagraph"/>
        <w:widowControl w:val="0"/>
        <w:numPr>
          <w:ilvl w:val="0"/>
          <w:numId w:val="2"/>
        </w:numPr>
        <w:autoSpaceDE w:val="0"/>
        <w:autoSpaceDN w:val="0"/>
        <w:adjustRightInd w:val="0"/>
        <w:rPr>
          <w:rFonts w:asciiTheme="majorHAnsi" w:eastAsia="MS Mincho" w:hAnsiTheme="majorHAnsi" w:cs="Calibri"/>
          <w:sz w:val="22"/>
          <w:szCs w:val="22"/>
        </w:rPr>
      </w:pPr>
      <w:r>
        <w:rPr>
          <w:rFonts w:asciiTheme="majorHAnsi" w:eastAsia="MS Mincho" w:hAnsiTheme="majorHAnsi" w:cs="Calibri"/>
          <w:sz w:val="22"/>
          <w:szCs w:val="22"/>
        </w:rPr>
        <w:t xml:space="preserve">The term </w:t>
      </w:r>
      <w:r>
        <w:rPr>
          <w:rFonts w:asciiTheme="majorHAnsi" w:eastAsia="MS Mincho" w:hAnsiTheme="majorHAnsi" w:cs="Calibri"/>
          <w:b/>
          <w:i/>
          <w:sz w:val="22"/>
          <w:szCs w:val="22"/>
        </w:rPr>
        <w:t>“person”</w:t>
      </w:r>
      <w:r>
        <w:rPr>
          <w:rFonts w:asciiTheme="majorHAnsi" w:eastAsia="MS Mincho" w:hAnsiTheme="majorHAnsi" w:cs="Calibri"/>
          <w:sz w:val="22"/>
          <w:szCs w:val="22"/>
        </w:rPr>
        <w:t xml:space="preserve"> as used in these definitions is understood to include natural and legal persons, as well as organizations and entities.</w:t>
      </w:r>
    </w:p>
    <w:p w14:paraId="3E6E8313" w14:textId="77777777" w:rsidR="00757879" w:rsidRDefault="00757879">
      <w:pPr>
        <w:rPr>
          <w:rFonts w:asciiTheme="majorHAnsi" w:hAnsiTheme="majorHAnsi"/>
          <w:sz w:val="22"/>
          <w:szCs w:val="22"/>
        </w:rPr>
      </w:pPr>
    </w:p>
    <w:p w14:paraId="30A735A9" w14:textId="2784943E" w:rsidR="00757879" w:rsidRDefault="0022342B">
      <w:pPr>
        <w:ind w:firstLine="720"/>
        <w:rPr>
          <w:rFonts w:asciiTheme="majorHAnsi" w:hAnsiTheme="majorHAnsi"/>
          <w:sz w:val="22"/>
          <w:szCs w:val="22"/>
        </w:rPr>
      </w:pPr>
      <w:r>
        <w:rPr>
          <w:rFonts w:asciiTheme="majorHAnsi" w:hAnsiTheme="majorHAnsi"/>
          <w:sz w:val="22"/>
          <w:szCs w:val="22"/>
        </w:rPr>
        <w:t xml:space="preserve">The WG also agreed that there may be a need in certain circumstances to differentiate between a request made by law enforcement authorities (LEA) and one made by other third parties such as intellectual property rights holders or private anti abuse organizations. In proposing certain recommendations concerning requests made by LEA, the WG notes that a definition of LEA appears in the 2013 RAA </w:t>
      </w:r>
      <w:r w:rsidR="0059439F">
        <w:rPr>
          <w:rFonts w:asciiTheme="majorHAnsi" w:hAnsiTheme="majorHAnsi"/>
          <w:sz w:val="22"/>
          <w:szCs w:val="22"/>
        </w:rPr>
        <w:t xml:space="preserve">(see </w:t>
      </w:r>
      <w:r w:rsidR="0059439F" w:rsidRPr="0059439F">
        <w:rPr>
          <w:rFonts w:asciiTheme="majorHAnsi" w:hAnsiTheme="majorHAnsi"/>
          <w:sz w:val="22"/>
          <w:szCs w:val="22"/>
        </w:rPr>
        <w:t>https://www.icann.org/resources/pages/approved-with-specs-2013-09-17-en</w:t>
      </w:r>
      <w:r w:rsidR="0059439F">
        <w:rPr>
          <w:rFonts w:asciiTheme="majorHAnsi" w:hAnsiTheme="majorHAnsi"/>
          <w:sz w:val="22"/>
          <w:szCs w:val="22"/>
        </w:rPr>
        <w:t>)</w:t>
      </w:r>
      <w:r>
        <w:rPr>
          <w:rFonts w:asciiTheme="majorHAnsi" w:hAnsiTheme="majorHAnsi"/>
          <w:sz w:val="22"/>
          <w:szCs w:val="22"/>
        </w:rPr>
        <w:t xml:space="preserve"> and recommends adopting the same definition in the ICANN Accreditation Program, and in related contracts and policies:</w:t>
      </w:r>
    </w:p>
    <w:p w14:paraId="19C2725B" w14:textId="77777777" w:rsidR="00757879" w:rsidRDefault="00757879">
      <w:pPr>
        <w:rPr>
          <w:rFonts w:asciiTheme="majorHAnsi" w:hAnsiTheme="majorHAnsi"/>
          <w:sz w:val="22"/>
          <w:szCs w:val="22"/>
        </w:rPr>
      </w:pPr>
    </w:p>
    <w:p w14:paraId="53A9DE5B" w14:textId="2437C67F" w:rsidR="00757879" w:rsidRDefault="0022342B">
      <w:pPr>
        <w:pStyle w:val="ListParagraph"/>
        <w:numPr>
          <w:ilvl w:val="0"/>
          <w:numId w:val="1"/>
        </w:numPr>
        <w:rPr>
          <w:rFonts w:asciiTheme="majorHAnsi" w:hAnsiTheme="majorHAnsi"/>
          <w:sz w:val="22"/>
          <w:szCs w:val="22"/>
        </w:rPr>
      </w:pPr>
      <w:r>
        <w:rPr>
          <w:rFonts w:asciiTheme="majorHAnsi" w:hAnsiTheme="majorHAnsi"/>
          <w:b/>
          <w:i/>
          <w:sz w:val="22"/>
          <w:szCs w:val="22"/>
        </w:rPr>
        <w:t>“Law enforcement authority”</w:t>
      </w:r>
      <w:r>
        <w:rPr>
          <w:rFonts w:asciiTheme="majorHAnsi" w:hAnsiTheme="majorHAnsi"/>
          <w:sz w:val="22"/>
          <w:szCs w:val="22"/>
        </w:rPr>
        <w:t xml:space="preserve"> means </w:t>
      </w:r>
      <w:r>
        <w:rPr>
          <w:rFonts w:asciiTheme="majorHAnsi" w:eastAsia="Times New Roman" w:hAnsiTheme="majorHAnsi" w:cs="Times New Roman"/>
          <w:sz w:val="22"/>
          <w:szCs w:val="22"/>
        </w:rPr>
        <w:t>law enforcement, consumer protection, quasi-governmental or other similar authorities designated from time to time by the national or territorial government of the jurisdiction in which the</w:t>
      </w:r>
      <w:r>
        <w:rPr>
          <w:rStyle w:val="apple-converted-space"/>
          <w:rFonts w:asciiTheme="majorHAnsi" w:eastAsia="Times New Roman" w:hAnsiTheme="majorHAnsi" w:cs="Times New Roman"/>
          <w:sz w:val="22"/>
          <w:szCs w:val="22"/>
        </w:rPr>
        <w:t> </w:t>
      </w:r>
      <w:r>
        <w:rPr>
          <w:rFonts w:asciiTheme="majorHAnsi" w:eastAsia="Times New Roman" w:hAnsiTheme="majorHAnsi" w:cs="Times New Roman"/>
          <w:sz w:val="22"/>
          <w:szCs w:val="22"/>
        </w:rPr>
        <w:t>P/P service provider</w:t>
      </w:r>
      <w:r>
        <w:rPr>
          <w:rStyle w:val="apple-converted-space"/>
          <w:rFonts w:asciiTheme="majorHAnsi" w:eastAsia="Times New Roman" w:hAnsiTheme="majorHAnsi" w:cs="Times New Roman"/>
          <w:sz w:val="22"/>
          <w:szCs w:val="22"/>
        </w:rPr>
        <w:t> </w:t>
      </w:r>
      <w:r>
        <w:rPr>
          <w:rFonts w:asciiTheme="majorHAnsi" w:eastAsia="Times New Roman" w:hAnsiTheme="majorHAnsi" w:cs="Times New Roman"/>
          <w:sz w:val="22"/>
          <w:szCs w:val="22"/>
        </w:rPr>
        <w:t>is established or maintains a physical office</w:t>
      </w:r>
      <w:r>
        <w:rPr>
          <w:rStyle w:val="FootnoteReference"/>
          <w:rFonts w:asciiTheme="majorHAnsi" w:eastAsia="Times New Roman" w:hAnsiTheme="majorHAnsi" w:cs="Times New Roman"/>
          <w:sz w:val="22"/>
          <w:szCs w:val="22"/>
        </w:rPr>
        <w:footnoteReference w:id="1"/>
      </w:r>
      <w:r>
        <w:rPr>
          <w:rFonts w:asciiTheme="majorHAnsi" w:eastAsia="Times New Roman" w:hAnsiTheme="majorHAnsi" w:cs="Times New Roman"/>
          <w:sz w:val="22"/>
          <w:szCs w:val="22"/>
        </w:rPr>
        <w:t>.</w:t>
      </w:r>
      <w:r>
        <w:rPr>
          <w:rStyle w:val="apple-converted-space"/>
          <w:rFonts w:asciiTheme="majorHAnsi" w:eastAsia="Times New Roman" w:hAnsiTheme="majorHAnsi" w:cs="Times New Roman"/>
          <w:sz w:val="22"/>
          <w:szCs w:val="22"/>
        </w:rPr>
        <w:t> </w:t>
      </w:r>
    </w:p>
    <w:p w14:paraId="36C425F8" w14:textId="77777777" w:rsidR="00757879" w:rsidRDefault="00757879">
      <w:pPr>
        <w:rPr>
          <w:rFonts w:asciiTheme="majorHAnsi" w:hAnsiTheme="majorHAnsi"/>
          <w:sz w:val="22"/>
          <w:szCs w:val="22"/>
        </w:rPr>
      </w:pPr>
    </w:p>
    <w:p w14:paraId="1DF17DED" w14:textId="77777777" w:rsidR="00757879" w:rsidRDefault="00757879">
      <w:pPr>
        <w:rPr>
          <w:rFonts w:asciiTheme="majorHAnsi" w:hAnsiTheme="majorHAnsi"/>
          <w:b/>
          <w:sz w:val="22"/>
          <w:szCs w:val="22"/>
        </w:rPr>
      </w:pPr>
    </w:p>
    <w:p w14:paraId="5478B6FA" w14:textId="77777777" w:rsidR="00757879" w:rsidRDefault="0022342B">
      <w:pPr>
        <w:rPr>
          <w:rFonts w:asciiTheme="majorHAnsi" w:hAnsiTheme="majorHAnsi"/>
          <w:b/>
          <w:sz w:val="22"/>
          <w:szCs w:val="22"/>
        </w:rPr>
      </w:pPr>
      <w:r>
        <w:rPr>
          <w:rFonts w:asciiTheme="majorHAnsi" w:hAnsiTheme="majorHAnsi"/>
          <w:b/>
          <w:sz w:val="22"/>
          <w:szCs w:val="22"/>
        </w:rPr>
        <w:t>General Recommendations on Publication and Disclosure</w:t>
      </w:r>
    </w:p>
    <w:p w14:paraId="36107268" w14:textId="77777777" w:rsidR="00757879" w:rsidRDefault="00757879">
      <w:pPr>
        <w:rPr>
          <w:rFonts w:asciiTheme="majorHAnsi" w:hAnsiTheme="majorHAnsi"/>
          <w:sz w:val="22"/>
          <w:szCs w:val="22"/>
        </w:rPr>
      </w:pPr>
    </w:p>
    <w:p w14:paraId="3001D49A" w14:textId="0A02AC83" w:rsidR="00757879" w:rsidRDefault="0022342B">
      <w:pPr>
        <w:ind w:firstLine="720"/>
        <w:rPr>
          <w:rFonts w:asciiTheme="majorHAnsi" w:hAnsiTheme="majorHAnsi"/>
          <w:sz w:val="22"/>
          <w:szCs w:val="22"/>
        </w:rPr>
      </w:pPr>
      <w:r>
        <w:rPr>
          <w:rFonts w:asciiTheme="majorHAnsi" w:hAnsiTheme="majorHAnsi"/>
          <w:sz w:val="22"/>
          <w:szCs w:val="22"/>
        </w:rPr>
        <w:t xml:space="preserve">The WG reviewed the Publication and Disclosure practices of several P/P service providers, some of whom were represented in the WG. Most providers reported using a manual rather than an automated system to deal with Disclosure requests, in the sense that </w:t>
      </w:r>
      <w:r w:rsidR="00F472BB">
        <w:rPr>
          <w:rFonts w:asciiTheme="majorHAnsi" w:hAnsiTheme="majorHAnsi"/>
          <w:sz w:val="22"/>
          <w:szCs w:val="22"/>
        </w:rPr>
        <w:t>an employee</w:t>
      </w:r>
      <w:r>
        <w:rPr>
          <w:rFonts w:asciiTheme="majorHAnsi" w:hAnsiTheme="majorHAnsi"/>
          <w:sz w:val="22"/>
          <w:szCs w:val="22"/>
        </w:rPr>
        <w:t xml:space="preserve"> initially reviews a request prior to a decision </w:t>
      </w:r>
      <w:r w:rsidR="0059439F">
        <w:rPr>
          <w:rFonts w:asciiTheme="majorHAnsi" w:hAnsiTheme="majorHAnsi"/>
          <w:sz w:val="22"/>
          <w:szCs w:val="22"/>
        </w:rPr>
        <w:t xml:space="preserve">being </w:t>
      </w:r>
      <w:r>
        <w:rPr>
          <w:rFonts w:asciiTheme="majorHAnsi" w:hAnsiTheme="majorHAnsi"/>
          <w:sz w:val="22"/>
          <w:szCs w:val="22"/>
        </w:rPr>
        <w:t xml:space="preserve">made on whether to comply.  For at least one provider, its policies and practices were intended to encourage the requestor and the customer to deal directly with each other as far as possible. </w:t>
      </w:r>
    </w:p>
    <w:p w14:paraId="5145E319" w14:textId="77777777" w:rsidR="00757879" w:rsidRDefault="00757879">
      <w:pPr>
        <w:ind w:firstLine="720"/>
        <w:rPr>
          <w:rFonts w:asciiTheme="majorHAnsi" w:hAnsiTheme="majorHAnsi"/>
          <w:sz w:val="22"/>
          <w:szCs w:val="22"/>
        </w:rPr>
      </w:pPr>
    </w:p>
    <w:p w14:paraId="0126170B" w14:textId="22AA351B" w:rsidR="00757879" w:rsidRDefault="0022342B">
      <w:pPr>
        <w:ind w:firstLine="720"/>
        <w:rPr>
          <w:rFonts w:asciiTheme="majorHAnsi" w:hAnsiTheme="majorHAnsi"/>
          <w:sz w:val="22"/>
          <w:szCs w:val="22"/>
        </w:rPr>
      </w:pPr>
      <w:r>
        <w:rPr>
          <w:rFonts w:asciiTheme="majorHAnsi" w:hAnsiTheme="majorHAnsi"/>
          <w:sz w:val="22"/>
          <w:szCs w:val="22"/>
        </w:rPr>
        <w:lastRenderedPageBreak/>
        <w:t xml:space="preserve">The WG agreed that none of its recommendations should be read as being intended to alter (or mandate the alteration of) the prevailing practice among providers to review requests manually or to facilitate direct resolution of an issue between a requestor and a customer.   We note that disclosure of at least some contact details of the customer may in </w:t>
      </w:r>
      <w:r w:rsidR="0059439F">
        <w:rPr>
          <w:rFonts w:asciiTheme="majorHAnsi" w:hAnsiTheme="majorHAnsi"/>
          <w:sz w:val="22"/>
          <w:szCs w:val="22"/>
        </w:rPr>
        <w:t>some</w:t>
      </w:r>
      <w:r w:rsidR="0059439F">
        <w:rPr>
          <w:rFonts w:asciiTheme="majorHAnsi" w:hAnsiTheme="majorHAnsi"/>
          <w:sz w:val="22"/>
          <w:szCs w:val="22"/>
        </w:rPr>
        <w:t xml:space="preserve"> </w:t>
      </w:r>
      <w:r>
        <w:rPr>
          <w:rFonts w:asciiTheme="majorHAnsi" w:hAnsiTheme="majorHAnsi"/>
          <w:sz w:val="22"/>
          <w:szCs w:val="22"/>
        </w:rPr>
        <w:t xml:space="preserve">cases be required in order to facilitate such direct resolution.   </w:t>
      </w:r>
    </w:p>
    <w:p w14:paraId="2D4EB61F" w14:textId="77777777" w:rsidR="00757879" w:rsidRDefault="00757879">
      <w:pPr>
        <w:rPr>
          <w:rFonts w:asciiTheme="majorHAnsi" w:hAnsiTheme="majorHAnsi"/>
          <w:sz w:val="22"/>
          <w:szCs w:val="22"/>
        </w:rPr>
      </w:pPr>
    </w:p>
    <w:p w14:paraId="3FAD94C9" w14:textId="77777777" w:rsidR="00757879" w:rsidRDefault="0022342B">
      <w:pPr>
        <w:ind w:firstLine="720"/>
        <w:rPr>
          <w:rFonts w:asciiTheme="majorHAnsi" w:hAnsiTheme="majorHAnsi"/>
          <w:sz w:val="22"/>
          <w:szCs w:val="22"/>
        </w:rPr>
      </w:pPr>
      <w:r>
        <w:rPr>
          <w:rFonts w:asciiTheme="majorHAnsi" w:hAnsiTheme="majorHAnsi"/>
          <w:sz w:val="22"/>
          <w:szCs w:val="22"/>
        </w:rPr>
        <w:t xml:space="preserve">The WG has not yet finalized a conclusion on whether to recommend uniform minimum standards for providers to apply in determining when to Disclose or Publish, or in verifying a requestor’s identity. </w:t>
      </w:r>
    </w:p>
    <w:p w14:paraId="7BB5FFCD" w14:textId="77777777" w:rsidR="0059439F" w:rsidRDefault="0059439F" w:rsidP="0059439F">
      <w:pPr>
        <w:rPr>
          <w:rFonts w:asciiTheme="majorHAnsi" w:hAnsiTheme="majorHAnsi"/>
          <w:sz w:val="22"/>
          <w:szCs w:val="22"/>
        </w:rPr>
      </w:pPr>
    </w:p>
    <w:p w14:paraId="6BB86A9C" w14:textId="691A2685" w:rsidR="00757879" w:rsidRDefault="0022342B">
      <w:pPr>
        <w:ind w:firstLine="720"/>
        <w:rPr>
          <w:rFonts w:asciiTheme="majorHAnsi" w:hAnsiTheme="majorHAnsi"/>
          <w:sz w:val="22"/>
          <w:szCs w:val="22"/>
        </w:rPr>
      </w:pPr>
      <w:r>
        <w:rPr>
          <w:rFonts w:asciiTheme="majorHAnsi" w:hAnsiTheme="majorHAnsi"/>
          <w:sz w:val="22"/>
          <w:szCs w:val="22"/>
        </w:rPr>
        <w:t xml:space="preserve">The WG agrees that there can be significant differences between the consequences of Publication of a customer’s details in the public Whois system compared to Disclosure of the same details to a single third party requestor. Specifically, the WG agrees that there may be a greater need for safeguards to ensure customer protection with respect to </w:t>
      </w:r>
      <w:r w:rsidR="0059439F">
        <w:rPr>
          <w:rFonts w:asciiTheme="majorHAnsi" w:hAnsiTheme="majorHAnsi"/>
          <w:sz w:val="22"/>
          <w:szCs w:val="22"/>
        </w:rPr>
        <w:t>P</w:t>
      </w:r>
      <w:r w:rsidR="0059439F">
        <w:rPr>
          <w:rFonts w:asciiTheme="majorHAnsi" w:hAnsiTheme="majorHAnsi"/>
          <w:sz w:val="22"/>
          <w:szCs w:val="22"/>
        </w:rPr>
        <w:t xml:space="preserve">ublication </w:t>
      </w:r>
      <w:r>
        <w:rPr>
          <w:rFonts w:asciiTheme="majorHAnsi" w:hAnsiTheme="majorHAnsi"/>
          <w:sz w:val="22"/>
          <w:szCs w:val="22"/>
        </w:rPr>
        <w:t xml:space="preserve">than with respect to </w:t>
      </w:r>
      <w:r w:rsidR="0059439F">
        <w:rPr>
          <w:rFonts w:asciiTheme="majorHAnsi" w:hAnsiTheme="majorHAnsi"/>
          <w:sz w:val="22"/>
          <w:szCs w:val="22"/>
        </w:rPr>
        <w:t>D</w:t>
      </w:r>
      <w:r w:rsidR="0059439F">
        <w:rPr>
          <w:rFonts w:asciiTheme="majorHAnsi" w:hAnsiTheme="majorHAnsi"/>
          <w:sz w:val="22"/>
          <w:szCs w:val="22"/>
        </w:rPr>
        <w:t>isclosure</w:t>
      </w:r>
      <w:r w:rsidR="0059439F">
        <w:rPr>
          <w:rFonts w:asciiTheme="majorHAnsi" w:hAnsiTheme="majorHAnsi"/>
          <w:sz w:val="22"/>
          <w:szCs w:val="22"/>
        </w:rPr>
        <w:t>.</w:t>
      </w:r>
      <w:r w:rsidR="0059439F">
        <w:rPr>
          <w:rFonts w:asciiTheme="majorHAnsi" w:hAnsiTheme="majorHAnsi"/>
          <w:sz w:val="22"/>
          <w:szCs w:val="22"/>
        </w:rPr>
        <w:t xml:space="preserve"> </w:t>
      </w:r>
      <w:r>
        <w:rPr>
          <w:rFonts w:asciiTheme="majorHAnsi" w:hAnsiTheme="majorHAnsi"/>
          <w:sz w:val="22"/>
          <w:szCs w:val="22"/>
        </w:rPr>
        <w:t xml:space="preserve">The WG therefore recommends that </w:t>
      </w:r>
      <w:r>
        <w:rPr>
          <w:rFonts w:asciiTheme="majorHAnsi" w:hAnsiTheme="majorHAnsi"/>
          <w:b/>
          <w:i/>
          <w:sz w:val="22"/>
          <w:szCs w:val="22"/>
        </w:rPr>
        <w:t xml:space="preserve">accredited providers should indicate clearly in their terms of service when these terms refer to Publication requests (and their consequences) and when to Disclosure requests (and their consequences).  </w:t>
      </w:r>
      <w:r>
        <w:rPr>
          <w:rFonts w:asciiTheme="majorHAnsi" w:hAnsiTheme="majorHAnsi"/>
          <w:sz w:val="22"/>
          <w:szCs w:val="22"/>
        </w:rPr>
        <w:t xml:space="preserve">The WG further recommends that </w:t>
      </w:r>
      <w:r>
        <w:rPr>
          <w:rFonts w:asciiTheme="majorHAnsi" w:hAnsiTheme="majorHAnsi"/>
          <w:b/>
          <w:i/>
          <w:sz w:val="22"/>
          <w:szCs w:val="22"/>
        </w:rPr>
        <w:t>accredited providers should indicate clearly the meaning and consequences of Publication in their terms of service.</w:t>
      </w:r>
    </w:p>
    <w:p w14:paraId="1CDEC4C2" w14:textId="77777777" w:rsidR="00757879" w:rsidRDefault="00757879">
      <w:pPr>
        <w:ind w:firstLine="720"/>
        <w:rPr>
          <w:rFonts w:asciiTheme="majorHAnsi" w:hAnsiTheme="majorHAnsi"/>
          <w:sz w:val="22"/>
          <w:szCs w:val="22"/>
        </w:rPr>
      </w:pPr>
    </w:p>
    <w:p w14:paraId="292EFCA7" w14:textId="1B8A7234" w:rsidR="00757879" w:rsidRDefault="0022342B">
      <w:pPr>
        <w:ind w:firstLine="720"/>
        <w:rPr>
          <w:rFonts w:asciiTheme="majorHAnsi" w:hAnsiTheme="majorHAnsi"/>
          <w:sz w:val="22"/>
          <w:szCs w:val="22"/>
        </w:rPr>
      </w:pPr>
      <w:r>
        <w:rPr>
          <w:rFonts w:asciiTheme="majorHAnsi" w:hAnsiTheme="majorHAnsi"/>
          <w:sz w:val="22"/>
          <w:szCs w:val="22"/>
        </w:rPr>
        <w:t xml:space="preserve">The WG notes that several providers currently include in their terms of service or other published policies provisions pursuant to which the provider may </w:t>
      </w:r>
      <w:proofErr w:type="gramStart"/>
      <w:r>
        <w:rPr>
          <w:rFonts w:asciiTheme="majorHAnsi" w:hAnsiTheme="majorHAnsi"/>
          <w:sz w:val="22"/>
          <w:szCs w:val="22"/>
        </w:rPr>
        <w:t>Disclose</w:t>
      </w:r>
      <w:proofErr w:type="gramEnd"/>
      <w:r>
        <w:rPr>
          <w:rFonts w:asciiTheme="majorHAnsi" w:hAnsiTheme="majorHAnsi"/>
          <w:sz w:val="22"/>
          <w:szCs w:val="22"/>
        </w:rPr>
        <w:t xml:space="preserve"> or Publish a customer’s details, or suspend or terminate service to a customer. Possible circumstances include where action is required by legal process such as court orders, subpoenas, or warrants, by ICANN Consensus Policy or by Registry requirements. Occasions also may arise in the course of resolving third party claims involving the domain name or its uses, including where necessary to protect property or rights, the safety of the public or any person, or to prevent or stop activity </w:t>
      </w:r>
      <w:bookmarkStart w:id="0" w:name="_GoBack"/>
      <w:bookmarkEnd w:id="0"/>
      <w:r w:rsidR="0059439F">
        <w:rPr>
          <w:rFonts w:asciiTheme="majorHAnsi" w:hAnsiTheme="majorHAnsi"/>
          <w:sz w:val="22"/>
          <w:szCs w:val="22"/>
        </w:rPr>
        <w:t>that</w:t>
      </w:r>
      <w:r w:rsidR="0059439F">
        <w:rPr>
          <w:rFonts w:asciiTheme="majorHAnsi" w:hAnsiTheme="majorHAnsi"/>
          <w:sz w:val="22"/>
          <w:szCs w:val="22"/>
        </w:rPr>
        <w:t xml:space="preserve"> </w:t>
      </w:r>
      <w:r>
        <w:rPr>
          <w:rFonts w:asciiTheme="majorHAnsi" w:hAnsiTheme="majorHAnsi"/>
          <w:sz w:val="22"/>
          <w:szCs w:val="22"/>
        </w:rPr>
        <w:t xml:space="preserve">may be illegal or unethical. Without mandating that such specific provisions be included in an accredited provider’s terms of service, the WG nonetheless recommends that </w:t>
      </w:r>
      <w:r>
        <w:rPr>
          <w:rFonts w:asciiTheme="majorHAnsi" w:hAnsiTheme="majorHAnsi"/>
          <w:b/>
          <w:i/>
          <w:sz w:val="22"/>
          <w:szCs w:val="22"/>
        </w:rPr>
        <w:t>accredited providers should indicate clearly in their terms of service the specific grounds upon which a customer’s details may be Disclosed or Published or service suspended or terminated</w:t>
      </w:r>
      <w:r w:rsidR="0059439F">
        <w:rPr>
          <w:rStyle w:val="FootnoteReference"/>
          <w:rFonts w:asciiTheme="majorHAnsi" w:hAnsiTheme="majorHAnsi"/>
          <w:b/>
          <w:i/>
          <w:sz w:val="22"/>
          <w:szCs w:val="22"/>
        </w:rPr>
        <w:footnoteReference w:id="2"/>
      </w:r>
      <w:r>
        <w:rPr>
          <w:rFonts w:asciiTheme="majorHAnsi" w:hAnsiTheme="majorHAnsi"/>
          <w:sz w:val="22"/>
          <w:szCs w:val="22"/>
        </w:rPr>
        <w:t>.</w:t>
      </w:r>
    </w:p>
    <w:p w14:paraId="0A9F52A9" w14:textId="77777777" w:rsidR="00757879" w:rsidRDefault="00757879">
      <w:pPr>
        <w:ind w:firstLine="720"/>
        <w:rPr>
          <w:rFonts w:asciiTheme="majorHAnsi" w:hAnsiTheme="majorHAnsi"/>
          <w:sz w:val="22"/>
          <w:szCs w:val="22"/>
        </w:rPr>
      </w:pPr>
    </w:p>
    <w:p w14:paraId="1D32D585" w14:textId="77777777" w:rsidR="00757879" w:rsidRDefault="0022342B">
      <w:pPr>
        <w:ind w:firstLine="720"/>
        <w:rPr>
          <w:rFonts w:asciiTheme="majorHAnsi" w:hAnsiTheme="majorHAnsi"/>
          <w:sz w:val="22"/>
          <w:szCs w:val="22"/>
        </w:rPr>
      </w:pPr>
      <w:r>
        <w:rPr>
          <w:rFonts w:asciiTheme="majorHAnsi" w:hAnsiTheme="majorHAnsi"/>
          <w:sz w:val="22"/>
          <w:szCs w:val="22"/>
        </w:rPr>
        <w:t xml:space="preserve">The WG further recommends that, </w:t>
      </w:r>
      <w:r>
        <w:rPr>
          <w:rFonts w:asciiTheme="majorHAnsi" w:hAnsiTheme="majorHAnsi"/>
          <w:b/>
          <w:i/>
          <w:sz w:val="22"/>
          <w:szCs w:val="22"/>
        </w:rPr>
        <w:t xml:space="preserve">in deciding whether or not to comply with a Disclosure or Publication request, providers not mandate that the requestor must have first made a Relay </w:t>
      </w:r>
      <w:commentRangeStart w:id="1"/>
      <w:r>
        <w:rPr>
          <w:rFonts w:asciiTheme="majorHAnsi" w:hAnsiTheme="majorHAnsi"/>
          <w:b/>
          <w:i/>
          <w:sz w:val="22"/>
          <w:szCs w:val="22"/>
        </w:rPr>
        <w:t>request</w:t>
      </w:r>
      <w:commentRangeEnd w:id="1"/>
      <w:r>
        <w:rPr>
          <w:rStyle w:val="CommentReference"/>
          <w:rFonts w:asciiTheme="majorHAnsi" w:hAnsiTheme="majorHAnsi"/>
          <w:b/>
          <w:i/>
          <w:sz w:val="22"/>
          <w:szCs w:val="22"/>
        </w:rPr>
        <w:commentReference w:id="1"/>
      </w:r>
      <w:r>
        <w:rPr>
          <w:rFonts w:asciiTheme="majorHAnsi" w:hAnsiTheme="majorHAnsi"/>
          <w:b/>
          <w:i/>
          <w:sz w:val="22"/>
          <w:szCs w:val="22"/>
        </w:rPr>
        <w:t>.</w:t>
      </w:r>
    </w:p>
    <w:p w14:paraId="423604AA" w14:textId="77777777" w:rsidR="00757879" w:rsidRDefault="00757879">
      <w:pPr>
        <w:rPr>
          <w:rFonts w:asciiTheme="majorHAnsi" w:hAnsiTheme="majorHAnsi"/>
          <w:b/>
          <w:sz w:val="22"/>
          <w:szCs w:val="22"/>
        </w:rPr>
      </w:pPr>
    </w:p>
    <w:p w14:paraId="2D5DD430" w14:textId="77777777" w:rsidR="00757879" w:rsidRDefault="00757879">
      <w:pPr>
        <w:rPr>
          <w:rFonts w:asciiTheme="majorHAnsi" w:hAnsiTheme="majorHAnsi"/>
          <w:b/>
          <w:sz w:val="22"/>
          <w:szCs w:val="22"/>
        </w:rPr>
      </w:pPr>
    </w:p>
    <w:p w14:paraId="03A1F488" w14:textId="77777777" w:rsidR="00757879" w:rsidRDefault="0022342B">
      <w:pPr>
        <w:rPr>
          <w:rFonts w:asciiTheme="majorHAnsi" w:hAnsiTheme="majorHAnsi"/>
          <w:b/>
          <w:sz w:val="22"/>
          <w:szCs w:val="22"/>
        </w:rPr>
      </w:pPr>
      <w:r>
        <w:rPr>
          <w:rFonts w:asciiTheme="majorHAnsi" w:hAnsiTheme="majorHAnsi"/>
          <w:b/>
          <w:sz w:val="22"/>
          <w:szCs w:val="22"/>
        </w:rPr>
        <w:t>WG Recommendations Specific to LEA Requests</w:t>
      </w:r>
    </w:p>
    <w:p w14:paraId="772EB6A2" w14:textId="77777777" w:rsidR="00757879" w:rsidRDefault="00757879">
      <w:pPr>
        <w:rPr>
          <w:rFonts w:asciiTheme="majorHAnsi" w:hAnsiTheme="majorHAnsi"/>
          <w:sz w:val="22"/>
          <w:szCs w:val="22"/>
        </w:rPr>
      </w:pPr>
    </w:p>
    <w:p w14:paraId="56214BA7" w14:textId="77777777" w:rsidR="00757879" w:rsidRDefault="0022342B">
      <w:pPr>
        <w:rPr>
          <w:rFonts w:asciiTheme="majorHAnsi" w:hAnsiTheme="majorHAnsi"/>
          <w:sz w:val="22"/>
          <w:szCs w:val="22"/>
        </w:rPr>
      </w:pPr>
      <w:r>
        <w:rPr>
          <w:rFonts w:asciiTheme="majorHAnsi" w:hAnsiTheme="majorHAnsi"/>
          <w:sz w:val="22"/>
          <w:szCs w:val="22"/>
        </w:rPr>
        <w:t xml:space="preserve">[TBA – including whether accredited providers must comply with express LEA requests not to notify a customer, whether there should be mandatory Publication for certain types of activity </w:t>
      </w:r>
      <w:r>
        <w:rPr>
          <w:rFonts w:asciiTheme="majorHAnsi" w:hAnsiTheme="majorHAnsi"/>
          <w:sz w:val="22"/>
          <w:szCs w:val="22"/>
        </w:rPr>
        <w:lastRenderedPageBreak/>
        <w:t>e.g. malware/viruses or violation of terms of service relating to illegal activity, and what (if any) remedies there can or should be for unwarranted Publication]</w:t>
      </w:r>
    </w:p>
    <w:p w14:paraId="56602799" w14:textId="77777777" w:rsidR="00757879" w:rsidRDefault="00757879">
      <w:pPr>
        <w:rPr>
          <w:rFonts w:asciiTheme="majorHAnsi" w:hAnsiTheme="majorHAnsi"/>
          <w:sz w:val="22"/>
          <w:szCs w:val="22"/>
        </w:rPr>
      </w:pPr>
    </w:p>
    <w:p w14:paraId="41DC01EE" w14:textId="77777777" w:rsidR="00757879" w:rsidRDefault="00757879">
      <w:pPr>
        <w:rPr>
          <w:rFonts w:asciiTheme="majorHAnsi" w:hAnsiTheme="majorHAnsi"/>
          <w:b/>
          <w:sz w:val="22"/>
          <w:szCs w:val="22"/>
        </w:rPr>
      </w:pPr>
    </w:p>
    <w:p w14:paraId="3042F023" w14:textId="77777777" w:rsidR="00757879" w:rsidRDefault="0022342B">
      <w:pPr>
        <w:rPr>
          <w:rFonts w:asciiTheme="majorHAnsi" w:hAnsiTheme="majorHAnsi"/>
          <w:b/>
          <w:sz w:val="22"/>
          <w:szCs w:val="22"/>
        </w:rPr>
      </w:pPr>
      <w:r>
        <w:rPr>
          <w:rFonts w:asciiTheme="majorHAnsi" w:hAnsiTheme="majorHAnsi"/>
          <w:b/>
          <w:sz w:val="22"/>
          <w:szCs w:val="22"/>
        </w:rPr>
        <w:t>WG Recommendations Specific to Other Third Party Requests</w:t>
      </w:r>
    </w:p>
    <w:p w14:paraId="13033F0B" w14:textId="77777777" w:rsidR="00757879" w:rsidRDefault="00757879">
      <w:pPr>
        <w:rPr>
          <w:rFonts w:asciiTheme="majorHAnsi" w:hAnsiTheme="majorHAnsi"/>
          <w:sz w:val="22"/>
          <w:szCs w:val="22"/>
        </w:rPr>
      </w:pPr>
    </w:p>
    <w:p w14:paraId="7E9631AE" w14:textId="77777777" w:rsidR="00757879" w:rsidRDefault="0022342B">
      <w:pPr>
        <w:rPr>
          <w:rFonts w:asciiTheme="majorHAnsi" w:hAnsiTheme="majorHAnsi"/>
          <w:sz w:val="22"/>
          <w:szCs w:val="22"/>
        </w:rPr>
      </w:pPr>
      <w:r>
        <w:rPr>
          <w:rFonts w:asciiTheme="majorHAnsi" w:hAnsiTheme="majorHAnsi"/>
          <w:sz w:val="22"/>
          <w:szCs w:val="22"/>
        </w:rPr>
        <w:t>[TBA – including whether accredited providers must comply with express requests for Disclosure for the purpose of sending cease and desist letters or notices of formal legal proceedings against the customer, and whether customer notification in such cases is to be mandatory]</w:t>
      </w:r>
    </w:p>
    <w:p w14:paraId="62FCD240" w14:textId="77777777" w:rsidR="00757879" w:rsidRDefault="00757879">
      <w:pPr>
        <w:rPr>
          <w:rFonts w:asciiTheme="majorHAnsi" w:hAnsiTheme="majorHAnsi"/>
          <w:b/>
          <w:sz w:val="22"/>
          <w:szCs w:val="22"/>
        </w:rPr>
      </w:pPr>
    </w:p>
    <w:p w14:paraId="181ACCC6" w14:textId="77777777" w:rsidR="00757879" w:rsidRDefault="00757879">
      <w:pPr>
        <w:rPr>
          <w:rFonts w:asciiTheme="majorHAnsi" w:hAnsiTheme="majorHAnsi"/>
          <w:b/>
          <w:sz w:val="22"/>
          <w:szCs w:val="22"/>
        </w:rPr>
      </w:pPr>
    </w:p>
    <w:p w14:paraId="572E9481" w14:textId="77777777" w:rsidR="00757879" w:rsidRDefault="0022342B">
      <w:pPr>
        <w:rPr>
          <w:rFonts w:asciiTheme="majorHAnsi" w:hAnsiTheme="majorHAnsi"/>
          <w:b/>
          <w:sz w:val="22"/>
          <w:szCs w:val="22"/>
        </w:rPr>
      </w:pPr>
      <w:r>
        <w:rPr>
          <w:rFonts w:asciiTheme="majorHAnsi" w:hAnsiTheme="majorHAnsi"/>
          <w:b/>
          <w:sz w:val="22"/>
          <w:szCs w:val="22"/>
        </w:rPr>
        <w:t>WG Recommendations on Customer Notification and the Availability of Alternative Options</w:t>
      </w:r>
    </w:p>
    <w:p w14:paraId="31040B21" w14:textId="77777777" w:rsidR="00757879" w:rsidRDefault="00757879">
      <w:pPr>
        <w:rPr>
          <w:rFonts w:asciiTheme="majorHAnsi" w:hAnsiTheme="majorHAnsi"/>
          <w:sz w:val="22"/>
          <w:szCs w:val="22"/>
        </w:rPr>
      </w:pPr>
    </w:p>
    <w:p w14:paraId="032BCAE8" w14:textId="16E1A1DB" w:rsidR="00757879" w:rsidRDefault="0022342B">
      <w:pPr>
        <w:ind w:firstLine="720"/>
        <w:rPr>
          <w:rFonts w:asciiTheme="majorHAnsi" w:hAnsiTheme="majorHAnsi"/>
          <w:sz w:val="22"/>
          <w:szCs w:val="22"/>
        </w:rPr>
      </w:pPr>
      <w:r>
        <w:rPr>
          <w:rFonts w:asciiTheme="majorHAnsi" w:hAnsiTheme="majorHAnsi"/>
          <w:sz w:val="22"/>
          <w:szCs w:val="22"/>
        </w:rPr>
        <w:t xml:space="preserve">The WG recommends that </w:t>
      </w:r>
      <w:r>
        <w:rPr>
          <w:rFonts w:asciiTheme="majorHAnsi" w:hAnsiTheme="majorHAnsi"/>
          <w:b/>
          <w:i/>
          <w:sz w:val="22"/>
          <w:szCs w:val="22"/>
        </w:rPr>
        <w:t>accredited providers should indicate clearly, in their terms of service and on their websites, whether or not a customer: (1) will be notified when a provider receives a Publication or Disclosure request from a third party; and (2) in the case of Publication, whether the customer may opt to cancel its domain registration prior to and in lieu of Publication.</w:t>
      </w:r>
      <w:r>
        <w:rPr>
          <w:rFonts w:asciiTheme="majorHAnsi" w:hAnsiTheme="majorHAnsi"/>
          <w:sz w:val="22"/>
          <w:szCs w:val="22"/>
        </w:rPr>
        <w:t xml:space="preserve"> </w:t>
      </w:r>
    </w:p>
    <w:p w14:paraId="4213D88F" w14:textId="77777777" w:rsidR="00757879" w:rsidRDefault="00757879">
      <w:pPr>
        <w:rPr>
          <w:rFonts w:asciiTheme="majorHAnsi" w:hAnsiTheme="majorHAnsi"/>
          <w:sz w:val="22"/>
          <w:szCs w:val="22"/>
        </w:rPr>
      </w:pPr>
    </w:p>
    <w:p w14:paraId="0E67BB39" w14:textId="77777777" w:rsidR="00757879" w:rsidRDefault="00757879">
      <w:pPr>
        <w:rPr>
          <w:rFonts w:asciiTheme="majorHAnsi" w:hAnsiTheme="majorHAnsi"/>
          <w:b/>
          <w:sz w:val="22"/>
          <w:szCs w:val="22"/>
        </w:rPr>
      </w:pPr>
    </w:p>
    <w:p w14:paraId="3C8638F2" w14:textId="77777777" w:rsidR="00757879" w:rsidRDefault="0022342B">
      <w:pPr>
        <w:rPr>
          <w:rFonts w:asciiTheme="majorHAnsi" w:hAnsiTheme="majorHAnsi"/>
          <w:b/>
          <w:sz w:val="22"/>
          <w:szCs w:val="22"/>
        </w:rPr>
      </w:pPr>
      <w:r>
        <w:rPr>
          <w:rFonts w:asciiTheme="majorHAnsi" w:hAnsiTheme="majorHAnsi"/>
          <w:b/>
          <w:sz w:val="22"/>
          <w:szCs w:val="22"/>
        </w:rPr>
        <w:t>WG Recommendations on Requestor Notification</w:t>
      </w:r>
    </w:p>
    <w:p w14:paraId="04438172" w14:textId="77777777" w:rsidR="00757879" w:rsidRDefault="00757879">
      <w:pPr>
        <w:rPr>
          <w:rFonts w:asciiTheme="majorHAnsi" w:hAnsiTheme="majorHAnsi"/>
          <w:b/>
          <w:sz w:val="22"/>
          <w:szCs w:val="22"/>
        </w:rPr>
      </w:pPr>
    </w:p>
    <w:p w14:paraId="2CC9AA9D" w14:textId="690B0541" w:rsidR="00757879" w:rsidRDefault="0022342B">
      <w:pPr>
        <w:ind w:firstLine="720"/>
        <w:rPr>
          <w:rFonts w:asciiTheme="majorHAnsi" w:hAnsiTheme="majorHAnsi"/>
          <w:sz w:val="22"/>
          <w:szCs w:val="22"/>
        </w:rPr>
      </w:pPr>
      <w:r>
        <w:rPr>
          <w:rFonts w:asciiTheme="majorHAnsi" w:hAnsiTheme="majorHAnsi"/>
          <w:sz w:val="22"/>
          <w:szCs w:val="22"/>
        </w:rPr>
        <w:t xml:space="preserve">The WG recommends that </w:t>
      </w:r>
      <w:r>
        <w:rPr>
          <w:rFonts w:asciiTheme="majorHAnsi" w:hAnsiTheme="majorHAnsi"/>
          <w:b/>
          <w:i/>
          <w:sz w:val="22"/>
          <w:szCs w:val="22"/>
        </w:rPr>
        <w:t>accredited providers should indicate clearly, on their websites and in all Publication or Disclosure-related materials, that a requestor will be notified in a timely manner of the provider’s decision: (1) to notify its customer of the request; and (2) whether or not the provider agrees to comply with the request to Disclose or Publish.</w:t>
      </w:r>
    </w:p>
    <w:p w14:paraId="4FA3055A" w14:textId="77777777" w:rsidR="00757879" w:rsidRDefault="00757879">
      <w:pPr>
        <w:rPr>
          <w:rFonts w:asciiTheme="majorHAnsi" w:hAnsiTheme="majorHAnsi"/>
          <w:sz w:val="22"/>
          <w:szCs w:val="22"/>
        </w:rPr>
      </w:pPr>
    </w:p>
    <w:p w14:paraId="3C113000" w14:textId="77777777" w:rsidR="00757879" w:rsidRDefault="00757879">
      <w:pPr>
        <w:rPr>
          <w:rFonts w:asciiTheme="majorHAnsi" w:hAnsiTheme="majorHAnsi"/>
          <w:b/>
          <w:sz w:val="22"/>
          <w:szCs w:val="22"/>
        </w:rPr>
      </w:pPr>
    </w:p>
    <w:p w14:paraId="7A6B55D3" w14:textId="77777777" w:rsidR="00757879" w:rsidRDefault="0022342B">
      <w:pPr>
        <w:rPr>
          <w:rFonts w:asciiTheme="majorHAnsi" w:hAnsiTheme="majorHAnsi"/>
          <w:b/>
          <w:sz w:val="22"/>
          <w:szCs w:val="22"/>
        </w:rPr>
      </w:pPr>
      <w:r>
        <w:rPr>
          <w:rFonts w:asciiTheme="majorHAnsi" w:hAnsiTheme="majorHAnsi"/>
          <w:b/>
          <w:sz w:val="22"/>
          <w:szCs w:val="22"/>
        </w:rPr>
        <w:t>WG Recommendations on Categorizing Third Party Requests and the Use of Standard Request Forms</w:t>
      </w:r>
    </w:p>
    <w:p w14:paraId="02C87A17" w14:textId="77777777" w:rsidR="00757879" w:rsidRDefault="00757879">
      <w:pPr>
        <w:rPr>
          <w:rFonts w:asciiTheme="majorHAnsi" w:hAnsiTheme="majorHAnsi"/>
          <w:sz w:val="22"/>
          <w:szCs w:val="22"/>
        </w:rPr>
      </w:pPr>
    </w:p>
    <w:p w14:paraId="60007056" w14:textId="77777777" w:rsidR="00757879" w:rsidRDefault="0022342B">
      <w:pPr>
        <w:ind w:firstLine="720"/>
        <w:rPr>
          <w:rFonts w:asciiTheme="majorHAnsi" w:hAnsiTheme="majorHAnsi"/>
          <w:sz w:val="22"/>
          <w:szCs w:val="22"/>
        </w:rPr>
      </w:pPr>
      <w:r>
        <w:rPr>
          <w:rFonts w:asciiTheme="majorHAnsi" w:hAnsiTheme="majorHAnsi"/>
          <w:sz w:val="22"/>
          <w:szCs w:val="22"/>
        </w:rPr>
        <w:t xml:space="preserve">The WG’s review of provider policies shows that least one provider has in place distinct policies dealing specifically with different types of claims for which a Disclosure request is made, e.g. UDRP Filings, Trademark &amp; Copyright Infringement Complaints, and Subpoenas (Civil and Criminal). The WG believes that such categorization can be a voluntary best practice to be recommended to providers, but does not presently recommend mandating this as a requirement for the Accreditation Program. </w:t>
      </w:r>
    </w:p>
    <w:p w14:paraId="0BE284FD" w14:textId="77777777" w:rsidR="00757879" w:rsidRDefault="00757879">
      <w:pPr>
        <w:ind w:firstLine="720"/>
        <w:rPr>
          <w:rFonts w:asciiTheme="majorHAnsi" w:hAnsiTheme="majorHAnsi"/>
          <w:sz w:val="22"/>
          <w:szCs w:val="22"/>
        </w:rPr>
      </w:pPr>
    </w:p>
    <w:p w14:paraId="0C149E0D" w14:textId="77777777" w:rsidR="00757879" w:rsidRDefault="0022342B">
      <w:pPr>
        <w:ind w:firstLine="720"/>
        <w:rPr>
          <w:rFonts w:asciiTheme="majorHAnsi" w:hAnsiTheme="majorHAnsi"/>
          <w:sz w:val="22"/>
          <w:szCs w:val="22"/>
        </w:rPr>
      </w:pPr>
      <w:r>
        <w:rPr>
          <w:rFonts w:asciiTheme="majorHAnsi" w:hAnsiTheme="majorHAnsi"/>
          <w:sz w:val="22"/>
          <w:szCs w:val="22"/>
        </w:rPr>
        <w:t xml:space="preserve">Nonetheless, the WG recommends that ICANN’s Accreditation Program include a requirement for </w:t>
      </w:r>
      <w:r>
        <w:rPr>
          <w:rFonts w:asciiTheme="majorHAnsi" w:hAnsiTheme="majorHAnsi"/>
          <w:b/>
          <w:i/>
          <w:sz w:val="22"/>
          <w:szCs w:val="22"/>
        </w:rPr>
        <w:t>all accredited providers to include on their websites, and in all Publication or Disclosure-related policies and documents, a link to a [standardized] Request Form or an equivalent list of specific criteria that the provider requires in order to comply with such requests.</w:t>
      </w:r>
      <w:r>
        <w:rPr>
          <w:rFonts w:asciiTheme="majorHAnsi" w:hAnsiTheme="majorHAnsi"/>
          <w:sz w:val="22"/>
          <w:szCs w:val="22"/>
        </w:rPr>
        <w:t xml:space="preserve"> </w:t>
      </w:r>
    </w:p>
    <w:p w14:paraId="0E001EC9" w14:textId="77777777" w:rsidR="00757879" w:rsidRDefault="00757879">
      <w:pPr>
        <w:ind w:firstLine="720"/>
        <w:rPr>
          <w:rFonts w:asciiTheme="majorHAnsi" w:hAnsiTheme="majorHAnsi"/>
          <w:sz w:val="22"/>
          <w:szCs w:val="22"/>
        </w:rPr>
      </w:pPr>
    </w:p>
    <w:p w14:paraId="35A9B221" w14:textId="77777777" w:rsidR="00757879" w:rsidRDefault="00757879">
      <w:pPr>
        <w:rPr>
          <w:rFonts w:asciiTheme="majorHAnsi" w:hAnsiTheme="majorHAnsi"/>
          <w:sz w:val="22"/>
          <w:szCs w:val="22"/>
        </w:rPr>
      </w:pPr>
    </w:p>
    <w:sectPr w:rsidR="00757879">
      <w:foot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y Wong" w:date="2014-09-17T13:20:00Z" w:initials="MW">
    <w:p w14:paraId="66F76CD8" w14:textId="77777777" w:rsidR="00757879" w:rsidRDefault="0022342B">
      <w:pPr>
        <w:pStyle w:val="CommentText"/>
      </w:pPr>
      <w:r>
        <w:rPr>
          <w:rStyle w:val="CommentReference"/>
        </w:rPr>
        <w:annotationRef/>
      </w:r>
      <w:r>
        <w:t>This came from the Relay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C02E2" w15:done="0"/>
  <w15:commentEx w15:paraId="66F76CD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412CE" w14:textId="77777777" w:rsidR="0022342B" w:rsidRDefault="0022342B">
      <w:r>
        <w:separator/>
      </w:r>
    </w:p>
  </w:endnote>
  <w:endnote w:type="continuationSeparator" w:id="0">
    <w:p w14:paraId="23DF9644" w14:textId="77777777" w:rsidR="0022342B" w:rsidRDefault="0022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682C" w14:textId="66D57F61" w:rsidR="00757879" w:rsidRDefault="00757879">
    <w:pPr>
      <w:pStyle w:val="DocI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AC7E0" w14:textId="77777777" w:rsidR="0022342B" w:rsidRDefault="0022342B">
      <w:r>
        <w:separator/>
      </w:r>
    </w:p>
  </w:footnote>
  <w:footnote w:type="continuationSeparator" w:id="0">
    <w:p w14:paraId="592BB664" w14:textId="77777777" w:rsidR="0022342B" w:rsidRDefault="0022342B">
      <w:r>
        <w:continuationSeparator/>
      </w:r>
    </w:p>
  </w:footnote>
  <w:footnote w:id="1">
    <w:p w14:paraId="22A81E95" w14:textId="77777777" w:rsidR="00757879" w:rsidRDefault="0022342B">
      <w:pPr>
        <w:pStyle w:val="FootnoteText"/>
        <w:rPr>
          <w:rFonts w:asciiTheme="majorHAnsi" w:hAnsiTheme="majorHAnsi"/>
          <w:sz w:val="20"/>
          <w:szCs w:val="20"/>
        </w:rPr>
      </w:pPr>
      <w:r>
        <w:rPr>
          <w:rStyle w:val="FootnoteReference"/>
          <w:rFonts w:asciiTheme="majorHAnsi" w:hAnsiTheme="majorHAnsi"/>
          <w:sz w:val="20"/>
          <w:szCs w:val="20"/>
        </w:rPr>
        <w:footnoteRef/>
      </w:r>
      <w:r>
        <w:rPr>
          <w:rFonts w:asciiTheme="majorHAnsi" w:hAnsiTheme="majorHAnsi"/>
          <w:sz w:val="20"/>
          <w:szCs w:val="20"/>
        </w:rPr>
        <w:t xml:space="preserve"> This is based on the wording of Section 3.18.2 of the 2013 RAA.</w:t>
      </w:r>
    </w:p>
  </w:footnote>
  <w:footnote w:id="2">
    <w:p w14:paraId="651C0ECB" w14:textId="3ADD8B2F" w:rsidR="0059439F" w:rsidRPr="0059439F" w:rsidRDefault="0059439F">
      <w:pPr>
        <w:pStyle w:val="FootnoteText"/>
        <w:rPr>
          <w:rFonts w:asciiTheme="majorHAnsi" w:hAnsiTheme="majorHAnsi"/>
          <w:sz w:val="20"/>
          <w:szCs w:val="20"/>
        </w:rPr>
      </w:pPr>
      <w:r w:rsidRPr="0059439F">
        <w:rPr>
          <w:rStyle w:val="FootnoteReference"/>
          <w:rFonts w:asciiTheme="majorHAnsi" w:hAnsiTheme="majorHAnsi"/>
          <w:sz w:val="20"/>
          <w:szCs w:val="20"/>
        </w:rPr>
        <w:footnoteRef/>
      </w:r>
      <w:r w:rsidRPr="0059439F">
        <w:rPr>
          <w:rFonts w:asciiTheme="majorHAnsi" w:hAnsiTheme="majorHAnsi"/>
          <w:sz w:val="20"/>
          <w:szCs w:val="20"/>
        </w:rPr>
        <w:t xml:space="preserve"> The current P/P Specification in the 2013 RAA requires that P/P providers who are, or who are Affiliated with, Registrars post their terms of service either on their, or on their Affiliated providers’ websites, including the circumstances under which they terminate service and when they reveal or disclose the customer’s identity and details: see Section 2.4 of the Specification: </w:t>
      </w:r>
      <w:hyperlink r:id="rId1" w:history="1">
        <w:r w:rsidRPr="0059439F">
          <w:rPr>
            <w:rStyle w:val="Hyperlink"/>
            <w:rFonts w:asciiTheme="majorHAnsi" w:hAnsiTheme="majorHAnsi"/>
            <w:sz w:val="20"/>
            <w:szCs w:val="20"/>
          </w:rPr>
          <w:t>https://www.icann.org/resources/pages/approved-with-specs-2013-09-17-en#privacy-proxy</w:t>
        </w:r>
      </w:hyperlink>
      <w:r w:rsidRPr="0059439F">
        <w:rPr>
          <w:rFonts w:asciiTheme="majorHAnsi" w:hAnsiTheme="majorHAnsi"/>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F3F95"/>
    <w:multiLevelType w:val="hybridMultilevel"/>
    <w:tmpl w:val="E2A6B70E"/>
    <w:lvl w:ilvl="0" w:tplc="5B56581E">
      <w:start w:val="1"/>
      <w:numFmt w:val="bullet"/>
      <w:lvlText w:val=""/>
      <w:lvlJc w:val="left"/>
      <w:pPr>
        <w:ind w:left="720" w:hanging="360"/>
      </w:pPr>
      <w:rPr>
        <w:rFonts w:ascii="Symbol" w:hAnsi="Symbol" w:hint="default"/>
      </w:rPr>
    </w:lvl>
    <w:lvl w:ilvl="1" w:tplc="F3F6EE88" w:tentative="1">
      <w:start w:val="1"/>
      <w:numFmt w:val="bullet"/>
      <w:lvlText w:val="o"/>
      <w:lvlJc w:val="left"/>
      <w:pPr>
        <w:ind w:left="1440" w:hanging="360"/>
      </w:pPr>
      <w:rPr>
        <w:rFonts w:ascii="Courier New" w:hAnsi="Courier New" w:cs="Courier New" w:hint="default"/>
      </w:rPr>
    </w:lvl>
    <w:lvl w:ilvl="2" w:tplc="85B03194" w:tentative="1">
      <w:start w:val="1"/>
      <w:numFmt w:val="bullet"/>
      <w:lvlText w:val=""/>
      <w:lvlJc w:val="left"/>
      <w:pPr>
        <w:ind w:left="2160" w:hanging="360"/>
      </w:pPr>
      <w:rPr>
        <w:rFonts w:ascii="Wingdings" w:hAnsi="Wingdings" w:hint="default"/>
      </w:rPr>
    </w:lvl>
    <w:lvl w:ilvl="3" w:tplc="79C610AE" w:tentative="1">
      <w:start w:val="1"/>
      <w:numFmt w:val="bullet"/>
      <w:lvlText w:val=""/>
      <w:lvlJc w:val="left"/>
      <w:pPr>
        <w:ind w:left="2880" w:hanging="360"/>
      </w:pPr>
      <w:rPr>
        <w:rFonts w:ascii="Symbol" w:hAnsi="Symbol" w:hint="default"/>
      </w:rPr>
    </w:lvl>
    <w:lvl w:ilvl="4" w:tplc="3C0ACB8A" w:tentative="1">
      <w:start w:val="1"/>
      <w:numFmt w:val="bullet"/>
      <w:lvlText w:val="o"/>
      <w:lvlJc w:val="left"/>
      <w:pPr>
        <w:ind w:left="3600" w:hanging="360"/>
      </w:pPr>
      <w:rPr>
        <w:rFonts w:ascii="Courier New" w:hAnsi="Courier New" w:cs="Courier New" w:hint="default"/>
      </w:rPr>
    </w:lvl>
    <w:lvl w:ilvl="5" w:tplc="2BA853EC" w:tentative="1">
      <w:start w:val="1"/>
      <w:numFmt w:val="bullet"/>
      <w:lvlText w:val=""/>
      <w:lvlJc w:val="left"/>
      <w:pPr>
        <w:ind w:left="4320" w:hanging="360"/>
      </w:pPr>
      <w:rPr>
        <w:rFonts w:ascii="Wingdings" w:hAnsi="Wingdings" w:hint="default"/>
      </w:rPr>
    </w:lvl>
    <w:lvl w:ilvl="6" w:tplc="0CC05D9E" w:tentative="1">
      <w:start w:val="1"/>
      <w:numFmt w:val="bullet"/>
      <w:lvlText w:val=""/>
      <w:lvlJc w:val="left"/>
      <w:pPr>
        <w:ind w:left="5040" w:hanging="360"/>
      </w:pPr>
      <w:rPr>
        <w:rFonts w:ascii="Symbol" w:hAnsi="Symbol" w:hint="default"/>
      </w:rPr>
    </w:lvl>
    <w:lvl w:ilvl="7" w:tplc="E9A85134" w:tentative="1">
      <w:start w:val="1"/>
      <w:numFmt w:val="bullet"/>
      <w:lvlText w:val="o"/>
      <w:lvlJc w:val="left"/>
      <w:pPr>
        <w:ind w:left="5760" w:hanging="360"/>
      </w:pPr>
      <w:rPr>
        <w:rFonts w:ascii="Courier New" w:hAnsi="Courier New" w:cs="Courier New" w:hint="default"/>
      </w:rPr>
    </w:lvl>
    <w:lvl w:ilvl="8" w:tplc="BAEA1E0A" w:tentative="1">
      <w:start w:val="1"/>
      <w:numFmt w:val="bullet"/>
      <w:lvlText w:val=""/>
      <w:lvlJc w:val="left"/>
      <w:pPr>
        <w:ind w:left="6480" w:hanging="360"/>
      </w:pPr>
      <w:rPr>
        <w:rFonts w:ascii="Wingdings" w:hAnsi="Wingdings" w:hint="default"/>
      </w:rPr>
    </w:lvl>
  </w:abstractNum>
  <w:abstractNum w:abstractNumId="1">
    <w:nsid w:val="7BE604C9"/>
    <w:multiLevelType w:val="hybridMultilevel"/>
    <w:tmpl w:val="A3964E46"/>
    <w:lvl w:ilvl="0" w:tplc="A216A7CC">
      <w:start w:val="1"/>
      <w:numFmt w:val="bullet"/>
      <w:lvlText w:val=""/>
      <w:lvlJc w:val="left"/>
      <w:pPr>
        <w:ind w:left="1080" w:hanging="360"/>
      </w:pPr>
      <w:rPr>
        <w:rFonts w:ascii="Symbol" w:hAnsi="Symbol" w:hint="default"/>
      </w:rPr>
    </w:lvl>
    <w:lvl w:ilvl="1" w:tplc="DE26E902" w:tentative="1">
      <w:start w:val="1"/>
      <w:numFmt w:val="bullet"/>
      <w:lvlText w:val="o"/>
      <w:lvlJc w:val="left"/>
      <w:pPr>
        <w:ind w:left="1800" w:hanging="360"/>
      </w:pPr>
      <w:rPr>
        <w:rFonts w:ascii="Courier New" w:hAnsi="Courier New" w:cs="Courier New" w:hint="default"/>
      </w:rPr>
    </w:lvl>
    <w:lvl w:ilvl="2" w:tplc="7F3E1224" w:tentative="1">
      <w:start w:val="1"/>
      <w:numFmt w:val="bullet"/>
      <w:lvlText w:val=""/>
      <w:lvlJc w:val="left"/>
      <w:pPr>
        <w:ind w:left="2520" w:hanging="360"/>
      </w:pPr>
      <w:rPr>
        <w:rFonts w:ascii="Wingdings" w:hAnsi="Wingdings" w:hint="default"/>
      </w:rPr>
    </w:lvl>
    <w:lvl w:ilvl="3" w:tplc="48E27FB4" w:tentative="1">
      <w:start w:val="1"/>
      <w:numFmt w:val="bullet"/>
      <w:lvlText w:val=""/>
      <w:lvlJc w:val="left"/>
      <w:pPr>
        <w:ind w:left="3240" w:hanging="360"/>
      </w:pPr>
      <w:rPr>
        <w:rFonts w:ascii="Symbol" w:hAnsi="Symbol" w:hint="default"/>
      </w:rPr>
    </w:lvl>
    <w:lvl w:ilvl="4" w:tplc="9920F0D0" w:tentative="1">
      <w:start w:val="1"/>
      <w:numFmt w:val="bullet"/>
      <w:lvlText w:val="o"/>
      <w:lvlJc w:val="left"/>
      <w:pPr>
        <w:ind w:left="3960" w:hanging="360"/>
      </w:pPr>
      <w:rPr>
        <w:rFonts w:ascii="Courier New" w:hAnsi="Courier New" w:cs="Courier New" w:hint="default"/>
      </w:rPr>
    </w:lvl>
    <w:lvl w:ilvl="5" w:tplc="F09AEF0A" w:tentative="1">
      <w:start w:val="1"/>
      <w:numFmt w:val="bullet"/>
      <w:lvlText w:val=""/>
      <w:lvlJc w:val="left"/>
      <w:pPr>
        <w:ind w:left="4680" w:hanging="360"/>
      </w:pPr>
      <w:rPr>
        <w:rFonts w:ascii="Wingdings" w:hAnsi="Wingdings" w:hint="default"/>
      </w:rPr>
    </w:lvl>
    <w:lvl w:ilvl="6" w:tplc="13B44CBC" w:tentative="1">
      <w:start w:val="1"/>
      <w:numFmt w:val="bullet"/>
      <w:lvlText w:val=""/>
      <w:lvlJc w:val="left"/>
      <w:pPr>
        <w:ind w:left="5400" w:hanging="360"/>
      </w:pPr>
      <w:rPr>
        <w:rFonts w:ascii="Symbol" w:hAnsi="Symbol" w:hint="default"/>
      </w:rPr>
    </w:lvl>
    <w:lvl w:ilvl="7" w:tplc="428A042C" w:tentative="1">
      <w:start w:val="1"/>
      <w:numFmt w:val="bullet"/>
      <w:lvlText w:val="o"/>
      <w:lvlJc w:val="left"/>
      <w:pPr>
        <w:ind w:left="6120" w:hanging="360"/>
      </w:pPr>
      <w:rPr>
        <w:rFonts w:ascii="Courier New" w:hAnsi="Courier New" w:cs="Courier New" w:hint="default"/>
      </w:rPr>
    </w:lvl>
    <w:lvl w:ilvl="8" w:tplc="558404D6"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eme B">
    <w15:presenceInfo w15:providerId="Windows Live" w15:userId="e7f778361ef85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879"/>
    <w:rsid w:val="0022342B"/>
    <w:rsid w:val="0059439F"/>
    <w:rsid w:val="00757879"/>
    <w:rsid w:val="009B0F2E"/>
    <w:rsid w:val="00F47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A4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unhideWhenUsed/>
    <w:rPr>
      <w:vertAlign w:val="superscript"/>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DocID">
    <w:name w:val="DocID"/>
    <w:basedOn w:val="Normal"/>
    <w:next w:val="Normal"/>
    <w:link w:val="DocIDChar"/>
    <w:pPr>
      <w:ind w:left="-1037" w:firstLine="720"/>
    </w:pPr>
    <w:rPr>
      <w:rFonts w:ascii="Trebuchet MS" w:hAnsi="Trebuchet MS"/>
      <w:color w:val="000000"/>
      <w:sz w:val="16"/>
      <w:szCs w:val="22"/>
    </w:rPr>
  </w:style>
  <w:style w:type="character" w:customStyle="1" w:styleId="DocIDChar">
    <w:name w:val="DocID Char"/>
    <w:basedOn w:val="DefaultParagraphFont"/>
    <w:link w:val="DocID"/>
    <w:rPr>
      <w:rFonts w:ascii="Trebuchet MS" w:hAnsi="Trebuchet MS"/>
      <w:color w:val="000000"/>
      <w:sz w:val="16"/>
      <w:szCs w:val="22"/>
    </w:rPr>
  </w:style>
  <w:style w:type="character" w:styleId="Hyperlink">
    <w:name w:val="Hyperlink"/>
    <w:basedOn w:val="DefaultParagraphFont"/>
    <w:uiPriority w:val="99"/>
    <w:unhideWhenUsed/>
    <w:rsid w:val="0059439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unhideWhenUsed/>
    <w:rPr>
      <w:vertAlign w:val="superscript"/>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DocID">
    <w:name w:val="DocID"/>
    <w:basedOn w:val="Normal"/>
    <w:next w:val="Normal"/>
    <w:link w:val="DocIDChar"/>
    <w:pPr>
      <w:ind w:left="-1037" w:firstLine="720"/>
    </w:pPr>
    <w:rPr>
      <w:rFonts w:ascii="Trebuchet MS" w:hAnsi="Trebuchet MS"/>
      <w:color w:val="000000"/>
      <w:sz w:val="16"/>
      <w:szCs w:val="22"/>
    </w:rPr>
  </w:style>
  <w:style w:type="character" w:customStyle="1" w:styleId="DocIDChar">
    <w:name w:val="DocID Char"/>
    <w:basedOn w:val="DefaultParagraphFont"/>
    <w:link w:val="DocID"/>
    <w:rPr>
      <w:rFonts w:ascii="Trebuchet MS" w:hAnsi="Trebuchet MS"/>
      <w:color w:val="000000"/>
      <w:sz w:val="16"/>
      <w:szCs w:val="22"/>
    </w:rPr>
  </w:style>
  <w:style w:type="character" w:styleId="Hyperlink">
    <w:name w:val="Hyperlink"/>
    <w:basedOn w:val="DefaultParagraphFont"/>
    <w:uiPriority w:val="99"/>
    <w:unhideWhenUsed/>
    <w:rsid w:val="005943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approved-with-specs-2013-09-17-en#privacy-pro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1161</Words>
  <Characters>6622</Characters>
  <Application>Microsoft Macintosh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Bunton</dc:creator>
  <cp:lastModifiedBy>Mary Wong</cp:lastModifiedBy>
  <cp:revision>2</cp:revision>
  <dcterms:created xsi:type="dcterms:W3CDTF">2014-09-22T19:33:00Z</dcterms:created>
  <dcterms:modified xsi:type="dcterms:W3CDTF">2014-09-22T19:33:00Z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6391715.1/40541-00001</vt:lpwstr>
  </property>
</Properties>
</file>