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4F" w:rsidRPr="00421167" w:rsidRDefault="00421167">
      <w:pPr>
        <w:rPr>
          <w:b/>
        </w:rPr>
      </w:pPr>
      <w:r w:rsidRPr="00421167">
        <w:rPr>
          <w:b/>
        </w:rPr>
        <w:t xml:space="preserve">COMPILATION OF COMMON </w:t>
      </w:r>
      <w:r>
        <w:rPr>
          <w:b/>
        </w:rPr>
        <w:t>CONTRACTUAL TERMS</w:t>
      </w:r>
      <w:r w:rsidRPr="00421167">
        <w:rPr>
          <w:b/>
        </w:rPr>
        <w:t xml:space="preserve"> FROM THE AVAILABLE SAMPLING OF P/P SERVICE TERMS &amp; CONDITIONS</w:t>
      </w:r>
      <w:r w:rsidR="004E3F99">
        <w:rPr>
          <w:b/>
        </w:rPr>
        <w:t xml:space="preserve"> (as of 5 September 2014)</w:t>
      </w:r>
    </w:p>
    <w:p w:rsidR="00421167" w:rsidRDefault="00421167"/>
    <w:p w:rsidR="00421167" w:rsidRDefault="00421167">
      <w:r w:rsidRPr="009610C3">
        <w:rPr>
          <w:b/>
          <w:u w:val="single"/>
        </w:rPr>
        <w:t>Note</w:t>
      </w:r>
      <w:r>
        <w:t>: The following are terms and conditions</w:t>
      </w:r>
      <w:r w:rsidR="009610C3">
        <w:t>,</w:t>
      </w:r>
      <w:r>
        <w:t xml:space="preserve"> found across </w:t>
      </w:r>
      <w:r w:rsidRPr="009610C3">
        <w:rPr>
          <w:b/>
          <w:u w:val="single"/>
        </w:rPr>
        <w:t>at least two</w:t>
      </w:r>
      <w:r w:rsidR="009610C3">
        <w:rPr>
          <w:b/>
          <w:u w:val="single"/>
        </w:rPr>
        <w:t xml:space="preserve"> or more</w:t>
      </w:r>
      <w:r>
        <w:t xml:space="preserve"> of the sampled providers, relating to circumstances </w:t>
      </w:r>
      <w:r w:rsidR="009610C3">
        <w:t xml:space="preserve">leading either to </w:t>
      </w:r>
      <w:r>
        <w:t xml:space="preserve">“publication” or “disclosure” (both terms as defined by the WG) of a customer’s details </w:t>
      </w:r>
    </w:p>
    <w:p w:rsidR="004E3F99" w:rsidRDefault="004E3F99"/>
    <w:p w:rsidR="004E3F99" w:rsidRDefault="004E3F99" w:rsidP="004E3F99">
      <w:pPr>
        <w:jc w:val="center"/>
      </w:pPr>
      <w:r>
        <w:t>_____________________________________________________</w:t>
      </w:r>
    </w:p>
    <w:p w:rsidR="00421167" w:rsidRDefault="00421167"/>
    <w:p w:rsidR="00A876EA" w:rsidRPr="004E3F99" w:rsidRDefault="004E3F99">
      <w:pPr>
        <w:rPr>
          <w:b/>
        </w:rPr>
      </w:pPr>
      <w:r>
        <w:rPr>
          <w:b/>
        </w:rPr>
        <w:t xml:space="preserve">1. </w:t>
      </w:r>
      <w:r w:rsidRPr="004E3F99">
        <w:rPr>
          <w:b/>
        </w:rPr>
        <w:t xml:space="preserve">What are </w:t>
      </w:r>
      <w:r>
        <w:rPr>
          <w:b/>
        </w:rPr>
        <w:t xml:space="preserve">some of </w:t>
      </w:r>
      <w:r w:rsidRPr="004E3F99">
        <w:rPr>
          <w:b/>
        </w:rPr>
        <w:t xml:space="preserve">the </w:t>
      </w:r>
      <w:r>
        <w:rPr>
          <w:b/>
        </w:rPr>
        <w:t>g</w:t>
      </w:r>
      <w:r w:rsidRPr="004E3F99">
        <w:rPr>
          <w:b/>
        </w:rPr>
        <w:t xml:space="preserve">rounds for </w:t>
      </w:r>
      <w:r>
        <w:rPr>
          <w:b/>
        </w:rPr>
        <w:t>t</w:t>
      </w:r>
      <w:r w:rsidRPr="004E3F99">
        <w:rPr>
          <w:b/>
        </w:rPr>
        <w:t>erminating a</w:t>
      </w:r>
      <w:r w:rsidR="00A876EA" w:rsidRPr="004E3F99">
        <w:rPr>
          <w:b/>
        </w:rPr>
        <w:t xml:space="preserve"> </w:t>
      </w:r>
      <w:r>
        <w:rPr>
          <w:b/>
        </w:rPr>
        <w:t>customer’s P/P s</w:t>
      </w:r>
      <w:r w:rsidR="00A876EA" w:rsidRPr="004E3F99">
        <w:rPr>
          <w:b/>
        </w:rPr>
        <w:t>ervice</w:t>
      </w:r>
      <w:r w:rsidRPr="004E3F99">
        <w:rPr>
          <w:b/>
        </w:rPr>
        <w:t>?</w:t>
      </w:r>
    </w:p>
    <w:p w:rsidR="00A876EA" w:rsidRDefault="00A876EA"/>
    <w:p w:rsidR="00A876EA" w:rsidRDefault="009610C3" w:rsidP="004E3F99">
      <w:pPr>
        <w:pStyle w:val="ListParagraph"/>
        <w:numPr>
          <w:ilvl w:val="0"/>
          <w:numId w:val="3"/>
        </w:numPr>
        <w:spacing w:after="120"/>
        <w:ind w:left="720"/>
        <w:contextualSpacing w:val="0"/>
      </w:pPr>
      <w:r>
        <w:t>Customer v</w:t>
      </w:r>
      <w:r w:rsidR="00A876EA">
        <w:t>iolation of service terms and conditions</w:t>
      </w:r>
      <w:r w:rsidR="00421167">
        <w:t xml:space="preserve"> (in one case of a registrar-Affiliated service, </w:t>
      </w:r>
      <w:r>
        <w:t>the service is terminated</w:t>
      </w:r>
      <w:r w:rsidR="00421167">
        <w:t xml:space="preserve"> if there is a violation of the registration agreement)</w:t>
      </w:r>
    </w:p>
    <w:p w:rsidR="00421167" w:rsidRDefault="00421167" w:rsidP="004E3F99">
      <w:pPr>
        <w:pStyle w:val="ListParagraph"/>
        <w:numPr>
          <w:ilvl w:val="0"/>
          <w:numId w:val="3"/>
        </w:numPr>
        <w:spacing w:after="120"/>
        <w:ind w:left="720"/>
        <w:contextualSpacing w:val="0"/>
      </w:pPr>
      <w:r>
        <w:t xml:space="preserve">Third party complaint/allegation that either the registration or the domain name infringes a trademark, trade name or other legal right (in one case, this </w:t>
      </w:r>
      <w:r w:rsidR="009610C3">
        <w:t xml:space="preserve">also </w:t>
      </w:r>
      <w:r>
        <w:t>includes the provider’s “good faith belief“ of such infringement)</w:t>
      </w:r>
    </w:p>
    <w:p w:rsidR="00421167" w:rsidRDefault="00421167" w:rsidP="004E3F99">
      <w:pPr>
        <w:pStyle w:val="ListParagraph"/>
        <w:numPr>
          <w:ilvl w:val="0"/>
          <w:numId w:val="3"/>
        </w:numPr>
        <w:spacing w:after="120"/>
        <w:ind w:left="720"/>
        <w:contextualSpacing w:val="0"/>
      </w:pPr>
      <w:r>
        <w:t>Resolution of any third party complaints (whether threatened or actually made) arising out of the customer’s use of the domain name</w:t>
      </w:r>
    </w:p>
    <w:p w:rsidR="009610C3" w:rsidRDefault="009610C3" w:rsidP="004E3F99">
      <w:pPr>
        <w:pStyle w:val="ListParagraph"/>
        <w:numPr>
          <w:ilvl w:val="0"/>
          <w:numId w:val="3"/>
        </w:numPr>
        <w:spacing w:after="120"/>
        <w:ind w:left="720"/>
        <w:contextualSpacing w:val="0"/>
      </w:pPr>
      <w:r>
        <w:t>Where required by law</w:t>
      </w:r>
    </w:p>
    <w:p w:rsidR="00CA15B8" w:rsidRDefault="00CA15B8" w:rsidP="004E3F99">
      <w:pPr>
        <w:pStyle w:val="ListParagraph"/>
        <w:numPr>
          <w:ilvl w:val="0"/>
          <w:numId w:val="3"/>
        </w:numPr>
        <w:spacing w:after="120"/>
        <w:ind w:left="720"/>
        <w:contextualSpacing w:val="0"/>
      </w:pPr>
      <w:r>
        <w:t>To avoid financial loss or legal liability</w:t>
      </w:r>
    </w:p>
    <w:p w:rsidR="009610C3" w:rsidRDefault="009610C3" w:rsidP="004E3F99">
      <w:pPr>
        <w:pStyle w:val="ListParagraph"/>
        <w:numPr>
          <w:ilvl w:val="0"/>
          <w:numId w:val="3"/>
        </w:numPr>
        <w:spacing w:after="120"/>
        <w:ind w:left="720"/>
        <w:contextualSpacing w:val="0"/>
      </w:pPr>
      <w:r>
        <w:t>To comply with law enforcement requests or court orders</w:t>
      </w:r>
    </w:p>
    <w:p w:rsidR="009610C3" w:rsidRDefault="009610C3" w:rsidP="004E3F99">
      <w:pPr>
        <w:pStyle w:val="ListParagraph"/>
        <w:numPr>
          <w:ilvl w:val="0"/>
          <w:numId w:val="3"/>
        </w:numPr>
        <w:spacing w:after="120"/>
        <w:ind w:left="720"/>
        <w:contextualSpacing w:val="0"/>
      </w:pPr>
      <w:r>
        <w:t xml:space="preserve">To comply with ICANN’s policies </w:t>
      </w:r>
    </w:p>
    <w:p w:rsidR="009610C3" w:rsidRDefault="009610C3" w:rsidP="004E3F99">
      <w:pPr>
        <w:pStyle w:val="ListParagraph"/>
        <w:numPr>
          <w:ilvl w:val="0"/>
          <w:numId w:val="3"/>
        </w:numPr>
        <w:spacing w:after="120"/>
        <w:ind w:left="720"/>
        <w:contextualSpacing w:val="0"/>
      </w:pPr>
      <w:r>
        <w:t>To comply with ICANN’s dispute resolution policies (in some cases, there is a specific ground noting receipt of a formal request from a UDRP or other dispute resolution service provider)</w:t>
      </w:r>
    </w:p>
    <w:p w:rsidR="009610C3" w:rsidRDefault="009610C3" w:rsidP="004E3F99">
      <w:pPr>
        <w:pStyle w:val="ListParagraph"/>
        <w:numPr>
          <w:ilvl w:val="0"/>
          <w:numId w:val="3"/>
        </w:numPr>
        <w:spacing w:after="120"/>
        <w:ind w:left="720"/>
        <w:contextualSpacing w:val="0"/>
      </w:pPr>
      <w:r>
        <w:t>To comply with Registry requirements</w:t>
      </w:r>
    </w:p>
    <w:p w:rsidR="009610C3" w:rsidRDefault="009610C3" w:rsidP="004E3F99">
      <w:pPr>
        <w:pStyle w:val="ListParagraph"/>
        <w:numPr>
          <w:ilvl w:val="0"/>
          <w:numId w:val="3"/>
        </w:numPr>
        <w:spacing w:after="120"/>
        <w:ind w:left="720"/>
        <w:contextualSpacing w:val="0"/>
      </w:pPr>
      <w:r>
        <w:t>To comply with legal process or complaints served on the service relating to the customer’s use or registration of a domain name</w:t>
      </w:r>
    </w:p>
    <w:p w:rsidR="00CA15B8" w:rsidRDefault="00CA15B8" w:rsidP="004E3F99">
      <w:pPr>
        <w:pStyle w:val="ListParagraph"/>
        <w:numPr>
          <w:ilvl w:val="0"/>
          <w:numId w:val="3"/>
        </w:numPr>
        <w:spacing w:after="120"/>
        <w:ind w:left="720"/>
        <w:contextualSpacing w:val="0"/>
      </w:pPr>
      <w:r>
        <w:t>If customer is using either the service or the domain name to either engage in, or hide its involvement in, illegal activities</w:t>
      </w:r>
    </w:p>
    <w:p w:rsidR="00CA15B8" w:rsidRDefault="00CA15B8" w:rsidP="004E3F99">
      <w:pPr>
        <w:pStyle w:val="ListParagraph"/>
        <w:numPr>
          <w:ilvl w:val="0"/>
          <w:numId w:val="3"/>
        </w:numPr>
        <w:spacing w:after="120"/>
        <w:ind w:left="720"/>
        <w:contextualSpacing w:val="0"/>
      </w:pPr>
      <w:r>
        <w:t>If customer is using either the service or the domain name to engage in morally objectionable activities (one provider gives examples such as appealing purely to the prurient inte</w:t>
      </w:r>
      <w:r w:rsidR="004E3F99">
        <w:t xml:space="preserve">rests of others, obscenity and </w:t>
      </w:r>
      <w:r>
        <w:t>activities that are racially or ethnically objectionable)</w:t>
      </w:r>
    </w:p>
    <w:p w:rsidR="00CA15B8" w:rsidRDefault="00CA15B8" w:rsidP="004E3F99">
      <w:pPr>
        <w:pStyle w:val="ListParagraph"/>
        <w:numPr>
          <w:ilvl w:val="0"/>
          <w:numId w:val="3"/>
        </w:numPr>
        <w:spacing w:after="120"/>
        <w:ind w:left="720"/>
        <w:contextualSpacing w:val="0"/>
      </w:pPr>
      <w:r>
        <w:t>If customer is using the service in order to transmit viruses, malware and other harmful computer programs</w:t>
      </w:r>
    </w:p>
    <w:p w:rsidR="00CA15B8" w:rsidRDefault="00CA15B8"/>
    <w:p w:rsidR="004E3F99" w:rsidRDefault="004E3F99"/>
    <w:p w:rsidR="00CA15B8" w:rsidRDefault="00CA15B8">
      <w:r w:rsidRPr="004E3F99">
        <w:rPr>
          <w:u w:val="single"/>
        </w:rPr>
        <w:lastRenderedPageBreak/>
        <w:t>Notes</w:t>
      </w:r>
      <w:r>
        <w:t>:</w:t>
      </w:r>
    </w:p>
    <w:p w:rsidR="00CA15B8" w:rsidRDefault="00CA15B8"/>
    <w:p w:rsidR="00CA15B8" w:rsidRDefault="00CA15B8" w:rsidP="004E3F99">
      <w:pPr>
        <w:pStyle w:val="ListParagraph"/>
        <w:numPr>
          <w:ilvl w:val="0"/>
          <w:numId w:val="4"/>
        </w:numPr>
      </w:pPr>
      <w:r>
        <w:t xml:space="preserve">Where some providers link some of the above grounds specifically either to suspension or </w:t>
      </w:r>
      <w:r w:rsidR="004E3F99">
        <w:t>terminat</w:t>
      </w:r>
      <w:r>
        <w:t xml:space="preserve">ion of the service, others </w:t>
      </w:r>
      <w:r w:rsidR="004E3F99">
        <w:t>link one or more grounds specifically either to publication or disclosure of the customer’s details, and some providers use more general language that gives them the discretion to publish, disclose and/or terminate</w:t>
      </w:r>
    </w:p>
    <w:p w:rsidR="00CA15B8" w:rsidRDefault="00CA15B8"/>
    <w:p w:rsidR="00A876EA" w:rsidRDefault="00421167" w:rsidP="004E3F99">
      <w:pPr>
        <w:pStyle w:val="ListParagraph"/>
        <w:numPr>
          <w:ilvl w:val="0"/>
          <w:numId w:val="4"/>
        </w:numPr>
      </w:pPr>
      <w:r>
        <w:t>F</w:t>
      </w:r>
      <w:r w:rsidR="004E3F99">
        <w:t>or some providers, f</w:t>
      </w:r>
      <w:r>
        <w:t>ailure to pay can result in either termination OR suspension (potentially followed by termination) o</w:t>
      </w:r>
      <w:r w:rsidR="004E3F99">
        <w:t>f the service</w:t>
      </w:r>
    </w:p>
    <w:p w:rsidR="00421167" w:rsidRDefault="00421167"/>
    <w:p w:rsidR="00A876EA" w:rsidRPr="004E3F99" w:rsidRDefault="004E3F99">
      <w:pPr>
        <w:rPr>
          <w:b/>
        </w:rPr>
      </w:pPr>
      <w:r w:rsidRPr="004E3F99">
        <w:rPr>
          <w:b/>
        </w:rPr>
        <w:t>2. Are customers notified when the service</w:t>
      </w:r>
      <w:r>
        <w:rPr>
          <w:b/>
        </w:rPr>
        <w:t xml:space="preserve"> is terminated for cause (e.g. on the basis of</w:t>
      </w:r>
      <w:bookmarkStart w:id="0" w:name="_GoBack"/>
      <w:bookmarkEnd w:id="0"/>
      <w:r w:rsidRPr="004E3F99">
        <w:rPr>
          <w:b/>
        </w:rPr>
        <w:t xml:space="preserve"> one of the above grounds)?</w:t>
      </w:r>
    </w:p>
    <w:p w:rsidR="00A876EA" w:rsidRDefault="00A876EA"/>
    <w:p w:rsidR="00A876EA" w:rsidRDefault="00A876EA" w:rsidP="004E3F99">
      <w:pPr>
        <w:pStyle w:val="ListParagraph"/>
        <w:numPr>
          <w:ilvl w:val="0"/>
          <w:numId w:val="5"/>
        </w:numPr>
      </w:pPr>
      <w:r>
        <w:t>One provider endeavors to give notice, another states they may terminate service without notice, a third provides notice for certain grounds of termination, others do not include a clause on notice</w:t>
      </w:r>
    </w:p>
    <w:p w:rsidR="00A876EA" w:rsidRDefault="00A876EA"/>
    <w:p w:rsidR="00A876EA" w:rsidRPr="004E3F99" w:rsidRDefault="004E3F99">
      <w:pPr>
        <w:rPr>
          <w:b/>
        </w:rPr>
      </w:pPr>
      <w:r w:rsidRPr="004E3F99">
        <w:rPr>
          <w:b/>
        </w:rPr>
        <w:t xml:space="preserve">3. Is there a clause that informs customers of the consequences of termination of the service (i.e. publication)? </w:t>
      </w:r>
    </w:p>
    <w:p w:rsidR="00A876EA" w:rsidRDefault="00A876EA"/>
    <w:p w:rsidR="00A876EA" w:rsidRDefault="004E3F99" w:rsidP="004E3F99">
      <w:pPr>
        <w:pStyle w:val="ListParagraph"/>
        <w:numPr>
          <w:ilvl w:val="0"/>
          <w:numId w:val="5"/>
        </w:numPr>
      </w:pPr>
      <w:r>
        <w:t>Some providers include this explicitly</w:t>
      </w:r>
    </w:p>
    <w:p w:rsidR="004E3F99" w:rsidRDefault="004E3F99"/>
    <w:p w:rsidR="004E3F99" w:rsidRPr="004E3F99" w:rsidRDefault="004E3F99">
      <w:pPr>
        <w:rPr>
          <w:b/>
        </w:rPr>
      </w:pPr>
      <w:r w:rsidRPr="004E3F99">
        <w:rPr>
          <w:b/>
        </w:rPr>
        <w:t>4. Other common terms?</w:t>
      </w:r>
    </w:p>
    <w:p w:rsidR="004E3F99" w:rsidRDefault="004E3F99"/>
    <w:p w:rsidR="004E3F99" w:rsidRDefault="004E3F99" w:rsidP="004E3F99">
      <w:pPr>
        <w:pStyle w:val="ListParagraph"/>
        <w:numPr>
          <w:ilvl w:val="0"/>
          <w:numId w:val="5"/>
        </w:numPr>
      </w:pPr>
      <w:r>
        <w:t>Most providers state expressly that publication, disclosure and/or termination of the service will not expose them to any liability (or damages) to the customer</w:t>
      </w:r>
    </w:p>
    <w:sectPr w:rsidR="004E3F99"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DC4"/>
    <w:multiLevelType w:val="hybridMultilevel"/>
    <w:tmpl w:val="46FA3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292406"/>
    <w:multiLevelType w:val="hybridMultilevel"/>
    <w:tmpl w:val="553AF93C"/>
    <w:lvl w:ilvl="0" w:tplc="4AC6181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E774F3"/>
    <w:multiLevelType w:val="hybridMultilevel"/>
    <w:tmpl w:val="05C6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F21E7D"/>
    <w:multiLevelType w:val="hybridMultilevel"/>
    <w:tmpl w:val="250A3836"/>
    <w:lvl w:ilvl="0" w:tplc="4AC6181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021720"/>
    <w:multiLevelType w:val="hybridMultilevel"/>
    <w:tmpl w:val="A026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6EA"/>
    <w:rsid w:val="00421167"/>
    <w:rsid w:val="004E3F99"/>
    <w:rsid w:val="009610C3"/>
    <w:rsid w:val="00A876EA"/>
    <w:rsid w:val="00A9584F"/>
    <w:rsid w:val="00CA15B8"/>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1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475</Words>
  <Characters>2713</Characters>
  <Application>Microsoft Macintosh Word</Application>
  <DocSecurity>0</DocSecurity>
  <Lines>22</Lines>
  <Paragraphs>6</Paragraphs>
  <ScaleCrop>false</ScaleCrop>
  <Company>ICANN</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2014-09-05T19:12:00Z</dcterms:created>
  <dcterms:modified xsi:type="dcterms:W3CDTF">2014-09-05T20:03:00Z</dcterms:modified>
</cp:coreProperties>
</file>