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43C" w:rsidRDefault="00371A24">
      <w:pPr>
        <w:jc w:val="center"/>
        <w:rPr>
          <w:rFonts w:asciiTheme="majorHAnsi" w:hAnsiTheme="majorHAnsi"/>
          <w:b/>
        </w:rPr>
      </w:pPr>
      <w:r>
        <w:rPr>
          <w:rFonts w:asciiTheme="majorHAnsi" w:hAnsiTheme="majorHAnsi"/>
          <w:b/>
        </w:rPr>
        <w:t xml:space="preserve">SUMMARY OF WG DISCUSSION/STATUS ON CHARTER QUESTION E-1 (AS OF </w:t>
      </w:r>
      <w:r w:rsidR="009E67BF">
        <w:rPr>
          <w:rFonts w:asciiTheme="majorHAnsi" w:hAnsiTheme="majorHAnsi"/>
          <w:b/>
        </w:rPr>
        <w:t>7</w:t>
      </w:r>
      <w:r w:rsidR="009E67BF">
        <w:rPr>
          <w:rFonts w:asciiTheme="majorHAnsi" w:hAnsiTheme="majorHAnsi"/>
          <w:b/>
        </w:rPr>
        <w:t xml:space="preserve"> </w:t>
      </w:r>
      <w:r>
        <w:rPr>
          <w:rFonts w:asciiTheme="majorHAnsi" w:hAnsiTheme="majorHAnsi"/>
          <w:b/>
        </w:rPr>
        <w:t>AUGUST</w:t>
      </w:r>
      <w:r w:rsidR="009E67BF">
        <w:rPr>
          <w:rFonts w:asciiTheme="majorHAnsi" w:hAnsiTheme="majorHAnsi"/>
          <w:b/>
        </w:rPr>
        <w:t xml:space="preserve"> 2014</w:t>
      </w:r>
      <w:r>
        <w:rPr>
          <w:rFonts w:asciiTheme="majorHAnsi" w:hAnsiTheme="majorHAnsi"/>
          <w:b/>
        </w:rPr>
        <w:t>)</w:t>
      </w:r>
    </w:p>
    <w:p w:rsidR="0003643C" w:rsidRDefault="0003643C">
      <w:pPr>
        <w:rPr>
          <w:rFonts w:ascii="Calibri" w:hAnsi="Calibri" w:cs="Calibri"/>
          <w:b/>
          <w:sz w:val="22"/>
          <w:szCs w:val="22"/>
        </w:rPr>
      </w:pPr>
    </w:p>
    <w:p w:rsidR="0003643C" w:rsidRDefault="00371A24">
      <w:pPr>
        <w:rPr>
          <w:rFonts w:ascii="Calibri" w:hAnsi="Calibri" w:cs="Calibri"/>
          <w:b/>
          <w:sz w:val="22"/>
          <w:szCs w:val="22"/>
        </w:rPr>
      </w:pPr>
      <w:r>
        <w:rPr>
          <w:rFonts w:ascii="Calibri" w:hAnsi="Calibri" w:cs="Calibri"/>
          <w:b/>
          <w:sz w:val="22"/>
          <w:szCs w:val="22"/>
        </w:rPr>
        <w:t>Charter Question E-1:</w:t>
      </w:r>
    </w:p>
    <w:p w:rsidR="0003643C" w:rsidRDefault="00371A24">
      <w:pPr>
        <w:rPr>
          <w:i/>
        </w:rPr>
      </w:pPr>
      <w:r>
        <w:rPr>
          <w:rFonts w:ascii="Calibri" w:hAnsi="Calibri" w:cs="Calibri"/>
          <w:b/>
          <w:i/>
          <w:sz w:val="22"/>
          <w:szCs w:val="22"/>
        </w:rPr>
        <w:t>What, if any, are the baseline minimum standardized relay processes that should be adopted by ICANN-accredited privacy/proxy service providers?</w:t>
      </w:r>
    </w:p>
    <w:p w:rsidR="0003643C" w:rsidRDefault="0003643C"/>
    <w:p w:rsidR="0003643C" w:rsidRDefault="00371A24">
      <w:pPr>
        <w:rPr>
          <w:rFonts w:ascii="Calibri" w:hAnsi="Calibri"/>
          <w:sz w:val="22"/>
          <w:szCs w:val="22"/>
        </w:rPr>
      </w:pPr>
      <w:r>
        <w:rPr>
          <w:rFonts w:ascii="Calibri" w:hAnsi="Calibri"/>
          <w:sz w:val="22"/>
          <w:szCs w:val="22"/>
        </w:rPr>
        <w:t>Most WG members agree on the following:</w:t>
      </w:r>
    </w:p>
    <w:p w:rsidR="0003643C" w:rsidRDefault="0003643C">
      <w:pPr>
        <w:rPr>
          <w:rFonts w:ascii="Calibri" w:hAnsi="Calibri"/>
          <w:sz w:val="22"/>
          <w:szCs w:val="22"/>
        </w:rPr>
      </w:pPr>
    </w:p>
    <w:p w:rsidR="0003643C" w:rsidRPr="00371A24" w:rsidRDefault="00371A24" w:rsidP="00371A24">
      <w:pPr>
        <w:pStyle w:val="ListParagraph"/>
        <w:numPr>
          <w:ilvl w:val="0"/>
          <w:numId w:val="3"/>
        </w:numPr>
        <w:rPr>
          <w:rFonts w:ascii="Calibri" w:hAnsi="Calibri"/>
          <w:sz w:val="22"/>
          <w:szCs w:val="22"/>
        </w:rPr>
      </w:pPr>
      <w:r w:rsidRPr="00371A24">
        <w:rPr>
          <w:rFonts w:ascii="Calibri" w:hAnsi="Calibri"/>
          <w:sz w:val="22"/>
          <w:szCs w:val="22"/>
        </w:rPr>
        <w:t>Provider</w:t>
      </w:r>
      <w:r>
        <w:rPr>
          <w:rFonts w:ascii="Calibri" w:hAnsi="Calibri"/>
          <w:sz w:val="22"/>
          <w:szCs w:val="22"/>
        </w:rPr>
        <w:t xml:space="preserve">s must have </w:t>
      </w:r>
      <w:r w:rsidRPr="00371A24">
        <w:rPr>
          <w:rFonts w:ascii="Calibri" w:hAnsi="Calibri"/>
          <w:sz w:val="22"/>
          <w:szCs w:val="22"/>
        </w:rPr>
        <w:t xml:space="preserve">mechanisms </w:t>
      </w:r>
      <w:r>
        <w:rPr>
          <w:rFonts w:ascii="Calibri" w:hAnsi="Calibri"/>
          <w:sz w:val="22"/>
          <w:szCs w:val="22"/>
        </w:rPr>
        <w:t xml:space="preserve">in place </w:t>
      </w:r>
      <w:r w:rsidRPr="00371A24">
        <w:rPr>
          <w:rFonts w:ascii="Calibri" w:hAnsi="Calibri"/>
          <w:sz w:val="22"/>
          <w:szCs w:val="22"/>
        </w:rPr>
        <w:t xml:space="preserve">by which </w:t>
      </w:r>
      <w:r>
        <w:rPr>
          <w:rFonts w:ascii="Calibri" w:hAnsi="Calibri"/>
          <w:sz w:val="22"/>
          <w:szCs w:val="22"/>
        </w:rPr>
        <w:t>registrants/</w:t>
      </w:r>
      <w:r w:rsidRPr="00371A24">
        <w:rPr>
          <w:rFonts w:ascii="Calibri" w:hAnsi="Calibri"/>
          <w:sz w:val="22"/>
          <w:szCs w:val="22"/>
        </w:rPr>
        <w:t xml:space="preserve">customers will receive relayed </w:t>
      </w:r>
      <w:r>
        <w:rPr>
          <w:rFonts w:ascii="Calibri" w:hAnsi="Calibri"/>
          <w:sz w:val="22"/>
          <w:szCs w:val="22"/>
        </w:rPr>
        <w:t xml:space="preserve">requestor </w:t>
      </w:r>
      <w:r w:rsidRPr="00371A24">
        <w:rPr>
          <w:rFonts w:ascii="Calibri" w:hAnsi="Calibri"/>
          <w:sz w:val="22"/>
          <w:szCs w:val="22"/>
        </w:rPr>
        <w:t>messages on topics required by the accreditation standards.</w:t>
      </w:r>
      <w:r>
        <w:rPr>
          <w:rStyle w:val="FootnoteReference"/>
          <w:rFonts w:ascii="Calibri" w:hAnsi="Calibri"/>
          <w:sz w:val="22"/>
          <w:szCs w:val="22"/>
        </w:rPr>
        <w:footnoteReference w:id="1"/>
      </w:r>
    </w:p>
    <w:p w:rsidR="0003643C" w:rsidRDefault="0003643C">
      <w:pPr>
        <w:rPr>
          <w:rFonts w:ascii="Calibri" w:hAnsi="Calibri"/>
          <w:sz w:val="22"/>
          <w:szCs w:val="22"/>
        </w:rPr>
      </w:pPr>
    </w:p>
    <w:p w:rsidR="0003643C" w:rsidRPr="00371A24" w:rsidRDefault="00371A24" w:rsidP="00371A24">
      <w:pPr>
        <w:pStyle w:val="ListParagraph"/>
        <w:numPr>
          <w:ilvl w:val="0"/>
          <w:numId w:val="1"/>
        </w:numPr>
        <w:rPr>
          <w:rFonts w:ascii="Calibri" w:hAnsi="Calibri"/>
          <w:sz w:val="22"/>
          <w:szCs w:val="22"/>
        </w:rPr>
      </w:pPr>
      <w:r>
        <w:rPr>
          <w:rFonts w:ascii="Calibri" w:hAnsi="Calibri"/>
          <w:sz w:val="22"/>
          <w:szCs w:val="22"/>
        </w:rPr>
        <w:t xml:space="preserve">At a minimum, all communications required by the RAA and ICANN Consensus Policies must be forwarded. </w:t>
      </w:r>
    </w:p>
    <w:p w:rsidR="0003643C" w:rsidRDefault="0003643C">
      <w:pPr>
        <w:rPr>
          <w:rFonts w:ascii="Calibri" w:hAnsi="Calibri"/>
          <w:sz w:val="22"/>
          <w:szCs w:val="22"/>
        </w:rPr>
      </w:pPr>
    </w:p>
    <w:p w:rsidR="0003643C" w:rsidRPr="009E67BF" w:rsidRDefault="00371A24" w:rsidP="009E67BF">
      <w:pPr>
        <w:pStyle w:val="ListParagraph"/>
        <w:numPr>
          <w:ilvl w:val="0"/>
          <w:numId w:val="4"/>
        </w:numPr>
        <w:rPr>
          <w:rFonts w:ascii="Calibri" w:hAnsi="Calibri"/>
          <w:sz w:val="22"/>
          <w:szCs w:val="22"/>
        </w:rPr>
      </w:pPr>
      <w:r w:rsidRPr="009E67BF">
        <w:rPr>
          <w:rFonts w:ascii="Calibri" w:hAnsi="Calibri"/>
          <w:sz w:val="22"/>
          <w:szCs w:val="22"/>
        </w:rPr>
        <w:t xml:space="preserve">Provider contract provisions concerning registrant/customer ability to choose what kinds of messages are forwarded may not contravene the requirements of </w:t>
      </w:r>
      <w:r w:rsidR="00335EBE">
        <w:rPr>
          <w:rFonts w:ascii="Calibri" w:hAnsi="Calibri"/>
          <w:sz w:val="22"/>
          <w:szCs w:val="22"/>
        </w:rPr>
        <w:t xml:space="preserve">any </w:t>
      </w:r>
      <w:r w:rsidRPr="009E67BF">
        <w:rPr>
          <w:rFonts w:ascii="Calibri" w:hAnsi="Calibri"/>
          <w:sz w:val="22"/>
          <w:szCs w:val="22"/>
        </w:rPr>
        <w:t xml:space="preserve">privacy and proxy service accreditation standards adopted by ICANN. </w:t>
      </w:r>
    </w:p>
    <w:p w:rsidR="00371A24" w:rsidRDefault="00371A24">
      <w:pPr>
        <w:rPr>
          <w:rFonts w:ascii="Calibri" w:hAnsi="Calibri"/>
          <w:b/>
          <w:i/>
          <w:sz w:val="22"/>
          <w:szCs w:val="22"/>
        </w:rPr>
      </w:pPr>
    </w:p>
    <w:p w:rsidR="0003643C" w:rsidRDefault="00371A24">
      <w:pPr>
        <w:rPr>
          <w:rFonts w:ascii="Calibri" w:hAnsi="Calibri"/>
          <w:b/>
          <w:i/>
          <w:sz w:val="22"/>
          <w:szCs w:val="22"/>
        </w:rPr>
      </w:pPr>
      <w:r>
        <w:rPr>
          <w:rFonts w:ascii="Calibri" w:hAnsi="Calibri"/>
          <w:b/>
          <w:i/>
          <w:sz w:val="22"/>
          <w:szCs w:val="22"/>
        </w:rPr>
        <w:t>WG options on the question “what should be the minimum standard for relay via e-mail/web forms?”</w:t>
      </w:r>
    </w:p>
    <w:p w:rsidR="0003643C" w:rsidRDefault="0003643C">
      <w:pPr>
        <w:rPr>
          <w:rFonts w:ascii="Calibri" w:hAnsi="Calibri"/>
          <w:sz w:val="22"/>
          <w:szCs w:val="22"/>
        </w:rPr>
      </w:pPr>
    </w:p>
    <w:p w:rsidR="0003643C" w:rsidRDefault="00371A24">
      <w:pPr>
        <w:ind w:firstLine="720"/>
        <w:rPr>
          <w:rFonts w:ascii="Calibri" w:hAnsi="Calibri"/>
          <w:sz w:val="22"/>
          <w:szCs w:val="22"/>
        </w:rPr>
      </w:pPr>
      <w:r>
        <w:rPr>
          <w:rFonts w:ascii="Calibri" w:hAnsi="Calibri"/>
          <w:sz w:val="22"/>
          <w:szCs w:val="22"/>
          <w:u w:val="single"/>
        </w:rPr>
        <w:t>Option #1</w:t>
      </w:r>
      <w:r>
        <w:rPr>
          <w:rFonts w:ascii="Calibri" w:hAnsi="Calibri"/>
          <w:sz w:val="22"/>
          <w:szCs w:val="22"/>
        </w:rPr>
        <w:t xml:space="preserve">: A provider must relay all electronic requests received (including emails and via web forms), but may implement commercially reasonable safeguards (including CAPTCHA) to filter out spam and other forms of </w:t>
      </w:r>
      <w:r w:rsidR="009E67BF">
        <w:rPr>
          <w:rFonts w:ascii="Calibri" w:hAnsi="Calibri"/>
          <w:sz w:val="22"/>
          <w:szCs w:val="22"/>
        </w:rPr>
        <w:t>abus</w:t>
      </w:r>
      <w:r w:rsidR="009E67BF">
        <w:rPr>
          <w:rFonts w:ascii="Calibri" w:hAnsi="Calibri"/>
          <w:sz w:val="22"/>
          <w:szCs w:val="22"/>
        </w:rPr>
        <w:t>ive communications</w:t>
      </w:r>
      <w:r>
        <w:rPr>
          <w:rFonts w:ascii="Calibri" w:hAnsi="Calibri"/>
          <w:sz w:val="22"/>
          <w:szCs w:val="22"/>
        </w:rPr>
        <w:t>.</w:t>
      </w:r>
    </w:p>
    <w:p w:rsidR="0003643C" w:rsidRDefault="0003643C" w:rsidP="009E67BF">
      <w:pPr>
        <w:rPr>
          <w:rFonts w:ascii="Calibri" w:hAnsi="Calibri"/>
          <w:sz w:val="22"/>
          <w:szCs w:val="22"/>
        </w:rPr>
      </w:pPr>
      <w:bookmarkStart w:id="0" w:name="_GoBack"/>
      <w:bookmarkEnd w:id="0"/>
    </w:p>
    <w:p w:rsidR="0003643C" w:rsidRDefault="00371A24">
      <w:pPr>
        <w:ind w:firstLine="720"/>
        <w:rPr>
          <w:rFonts w:ascii="Calibri" w:hAnsi="Calibri"/>
          <w:sz w:val="22"/>
          <w:szCs w:val="22"/>
        </w:rPr>
      </w:pPr>
      <w:r>
        <w:rPr>
          <w:rFonts w:ascii="Calibri" w:hAnsi="Calibri"/>
          <w:sz w:val="22"/>
          <w:szCs w:val="22"/>
          <w:u w:val="single"/>
        </w:rPr>
        <w:t>Option #2</w:t>
      </w:r>
      <w:r>
        <w:rPr>
          <w:rFonts w:ascii="Calibri" w:hAnsi="Calibri"/>
          <w:sz w:val="22"/>
          <w:szCs w:val="22"/>
        </w:rPr>
        <w:t>: A provider must relay all e-mail/web form notices required under the RAA or an ICANN Consensus Policy, requests received from law enforcement authorities</w:t>
      </w:r>
      <w:r w:rsidR="00E4399A">
        <w:rPr>
          <w:rFonts w:ascii="Calibri" w:hAnsi="Calibri"/>
          <w:sz w:val="22"/>
          <w:szCs w:val="22"/>
        </w:rPr>
        <w:t>,</w:t>
      </w:r>
      <w:r>
        <w:rPr>
          <w:rFonts w:ascii="Calibri" w:hAnsi="Calibri"/>
          <w:sz w:val="22"/>
          <w:szCs w:val="22"/>
        </w:rPr>
        <w:t xml:space="preserve"> and third party requests containing allegations of abuse (i.e. illegal activity)</w:t>
      </w:r>
      <w:r>
        <w:rPr>
          <w:rStyle w:val="FootnoteReference"/>
          <w:rFonts w:ascii="Calibri" w:hAnsi="Calibri"/>
          <w:sz w:val="22"/>
          <w:szCs w:val="22"/>
        </w:rPr>
        <w:footnoteReference w:id="2"/>
      </w:r>
      <w:r>
        <w:rPr>
          <w:rFonts w:ascii="Calibri" w:hAnsi="Calibri"/>
          <w:sz w:val="22"/>
          <w:szCs w:val="22"/>
        </w:rPr>
        <w:t>.</w:t>
      </w:r>
    </w:p>
    <w:p w:rsidR="0003643C" w:rsidRDefault="0003643C">
      <w:pPr>
        <w:rPr>
          <w:rFonts w:ascii="Calibri" w:hAnsi="Calibri"/>
          <w:sz w:val="22"/>
          <w:szCs w:val="22"/>
        </w:rPr>
      </w:pPr>
    </w:p>
    <w:p w:rsidR="0003643C" w:rsidRDefault="00371A24">
      <w:pPr>
        <w:rPr>
          <w:rFonts w:ascii="Calibri" w:hAnsi="Calibri"/>
          <w:b/>
          <w:i/>
          <w:sz w:val="22"/>
          <w:szCs w:val="22"/>
        </w:rPr>
      </w:pPr>
      <w:r>
        <w:rPr>
          <w:rFonts w:ascii="Calibri" w:hAnsi="Calibri"/>
          <w:b/>
          <w:i/>
          <w:sz w:val="22"/>
          <w:szCs w:val="22"/>
        </w:rPr>
        <w:t>WG options on the question “what obligation, if any, should a provider have to notify relay requestors in the event of communications failure?”</w:t>
      </w:r>
    </w:p>
    <w:p w:rsidR="0003643C" w:rsidRDefault="0003643C">
      <w:pPr>
        <w:rPr>
          <w:rFonts w:ascii="Calibri" w:hAnsi="Calibri"/>
          <w:sz w:val="22"/>
          <w:szCs w:val="22"/>
        </w:rPr>
      </w:pPr>
    </w:p>
    <w:p w:rsidR="0003643C" w:rsidRPr="009E67BF" w:rsidRDefault="00A84BEF">
      <w:pPr>
        <w:ind w:firstLine="720"/>
        <w:rPr>
          <w:rFonts w:asciiTheme="majorHAnsi" w:hAnsiTheme="majorHAnsi"/>
          <w:sz w:val="22"/>
          <w:szCs w:val="22"/>
        </w:rPr>
      </w:pPr>
      <w:r>
        <w:rPr>
          <w:rFonts w:ascii="Calibri" w:hAnsi="Calibri"/>
          <w:sz w:val="22"/>
          <w:szCs w:val="22"/>
          <w:u w:val="single"/>
        </w:rPr>
        <w:t>Current Proposal under Consideration</w:t>
      </w:r>
      <w:r w:rsidR="00371A24">
        <w:rPr>
          <w:rFonts w:ascii="Calibri" w:hAnsi="Calibri"/>
          <w:sz w:val="22"/>
          <w:szCs w:val="22"/>
        </w:rPr>
        <w:t>: A provider must promptly notify a requestor if it knows that an electronic communication for forwarding was not delivered</w:t>
      </w:r>
      <w:r w:rsidR="00371A24">
        <w:rPr>
          <w:rStyle w:val="FootnoteReference"/>
          <w:rFonts w:ascii="Calibri" w:hAnsi="Calibri"/>
          <w:sz w:val="22"/>
          <w:szCs w:val="22"/>
        </w:rPr>
        <w:footnoteReference w:id="3"/>
      </w:r>
      <w:r w:rsidR="00371A24" w:rsidRPr="009E67BF">
        <w:rPr>
          <w:rFonts w:asciiTheme="majorHAnsi" w:hAnsiTheme="majorHAnsi"/>
          <w:sz w:val="22"/>
          <w:szCs w:val="22"/>
        </w:rPr>
        <w:t xml:space="preserve"> </w:t>
      </w:r>
      <w:r w:rsidR="00371A24" w:rsidRPr="009E67BF">
        <w:rPr>
          <w:rFonts w:asciiTheme="majorHAnsi" w:eastAsia="Times New Roman" w:hAnsiTheme="majorHAnsi"/>
          <w:sz w:val="22"/>
          <w:szCs w:val="22"/>
        </w:rPr>
        <w:t xml:space="preserve">to the e-mail address </w:t>
      </w:r>
      <w:r>
        <w:rPr>
          <w:rFonts w:asciiTheme="majorHAnsi" w:eastAsia="Times New Roman" w:hAnsiTheme="majorHAnsi"/>
          <w:sz w:val="22"/>
          <w:szCs w:val="22"/>
        </w:rPr>
        <w:t xml:space="preserve">that was provided by </w:t>
      </w:r>
      <w:r w:rsidR="00371A24" w:rsidRPr="009E67BF">
        <w:rPr>
          <w:rFonts w:asciiTheme="majorHAnsi" w:eastAsia="Times New Roman" w:hAnsiTheme="majorHAnsi"/>
          <w:sz w:val="22"/>
          <w:szCs w:val="22"/>
        </w:rPr>
        <w:t>the registrant/customer</w:t>
      </w:r>
    </w:p>
    <w:p w:rsidR="0003643C" w:rsidRDefault="0003643C">
      <w:pPr>
        <w:ind w:firstLine="720"/>
        <w:rPr>
          <w:rFonts w:ascii="Calibri" w:hAnsi="Calibri"/>
          <w:sz w:val="22"/>
          <w:szCs w:val="22"/>
        </w:rPr>
      </w:pPr>
    </w:p>
    <w:p w:rsidR="0003643C" w:rsidRDefault="00371A24">
      <w:pPr>
        <w:rPr>
          <w:rFonts w:ascii="Calibri" w:hAnsi="Calibri"/>
          <w:b/>
          <w:i/>
          <w:sz w:val="22"/>
          <w:szCs w:val="22"/>
        </w:rPr>
      </w:pPr>
      <w:r>
        <w:rPr>
          <w:rFonts w:ascii="Calibri" w:hAnsi="Calibri"/>
          <w:b/>
          <w:i/>
          <w:sz w:val="22"/>
          <w:szCs w:val="22"/>
        </w:rPr>
        <w:t>Remaining/Open Questions</w:t>
      </w:r>
    </w:p>
    <w:p w:rsidR="0003643C" w:rsidRDefault="0003643C">
      <w:pPr>
        <w:rPr>
          <w:rFonts w:ascii="Calibri" w:hAnsi="Calibri"/>
          <w:sz w:val="22"/>
          <w:szCs w:val="22"/>
        </w:rPr>
      </w:pPr>
    </w:p>
    <w:p w:rsidR="0003643C" w:rsidRDefault="00371A24">
      <w:pPr>
        <w:pStyle w:val="ListParagraph"/>
        <w:numPr>
          <w:ilvl w:val="0"/>
          <w:numId w:val="2"/>
        </w:numPr>
        <w:rPr>
          <w:rFonts w:ascii="Calibri" w:hAnsi="Calibri"/>
          <w:sz w:val="22"/>
          <w:szCs w:val="22"/>
        </w:rPr>
      </w:pPr>
      <w:r>
        <w:rPr>
          <w:rFonts w:ascii="Calibri" w:hAnsi="Calibri"/>
          <w:sz w:val="22"/>
          <w:szCs w:val="22"/>
        </w:rPr>
        <w:t>Should providers be required to forward hard copy notices to registrants/</w:t>
      </w:r>
      <w:r w:rsidR="00F02219">
        <w:rPr>
          <w:rFonts w:ascii="Calibri" w:hAnsi="Calibri"/>
          <w:sz w:val="22"/>
          <w:szCs w:val="22"/>
        </w:rPr>
        <w:t>customers</w:t>
      </w:r>
      <w:r>
        <w:rPr>
          <w:rFonts w:ascii="Calibri" w:hAnsi="Calibri"/>
          <w:sz w:val="22"/>
          <w:szCs w:val="22"/>
        </w:rPr>
        <w:t>, on request, in cases where electronic communications are known to be undeliverable?</w:t>
      </w:r>
    </w:p>
    <w:p w:rsidR="0003643C" w:rsidRDefault="00371A24">
      <w:pPr>
        <w:pStyle w:val="ListParagraph"/>
        <w:numPr>
          <w:ilvl w:val="0"/>
          <w:numId w:val="2"/>
        </w:numPr>
        <w:rPr>
          <w:rFonts w:ascii="Calibri" w:hAnsi="Calibri"/>
          <w:sz w:val="22"/>
          <w:szCs w:val="22"/>
        </w:rPr>
      </w:pPr>
      <w:r>
        <w:rPr>
          <w:rFonts w:ascii="Calibri" w:hAnsi="Calibri"/>
          <w:sz w:val="22"/>
          <w:szCs w:val="22"/>
        </w:rPr>
        <w:t>Should providers be permitted to charge a reasonable fee to forward communications that incur a cost to do so (this could include monetary costs such as charges for registered mail and/or other resource costs such as man-hours to review/strip out personal information from a communication)?</w:t>
      </w:r>
    </w:p>
    <w:p w:rsidR="0003643C" w:rsidRDefault="0003643C" w:rsidP="00371A24">
      <w:pPr>
        <w:pStyle w:val="ListParagraph"/>
        <w:ind w:left="0"/>
        <w:rPr>
          <w:rFonts w:ascii="Calibri" w:hAnsi="Calibri"/>
          <w:sz w:val="22"/>
          <w:szCs w:val="22"/>
        </w:rPr>
      </w:pPr>
    </w:p>
    <w:p w:rsidR="0003643C" w:rsidRDefault="0003643C"/>
    <w:sectPr w:rsidR="0003643C">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EBE" w:rsidRDefault="00335EBE">
      <w:r>
        <w:separator/>
      </w:r>
    </w:p>
  </w:endnote>
  <w:endnote w:type="continuationSeparator" w:id="0">
    <w:p w:rsidR="00335EBE" w:rsidRDefault="0033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BE" w:rsidRDefault="00335EBE">
    <w:pPr>
      <w:pStyle w:val="DocI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EBE" w:rsidRDefault="00335EBE">
      <w:r>
        <w:separator/>
      </w:r>
    </w:p>
  </w:footnote>
  <w:footnote w:type="continuationSeparator" w:id="0">
    <w:p w:rsidR="00335EBE" w:rsidRDefault="00335EBE">
      <w:r>
        <w:continuationSeparator/>
      </w:r>
    </w:p>
  </w:footnote>
  <w:footnote w:id="1">
    <w:p w:rsidR="00335EBE" w:rsidRPr="00371A24" w:rsidRDefault="00335EBE">
      <w:pPr>
        <w:pStyle w:val="FootnoteText"/>
        <w:rPr>
          <w:rFonts w:asciiTheme="majorHAnsi" w:hAnsiTheme="majorHAnsi"/>
          <w:sz w:val="20"/>
          <w:szCs w:val="20"/>
        </w:rPr>
      </w:pPr>
      <w:r>
        <w:rPr>
          <w:rStyle w:val="FootnoteReference"/>
        </w:rPr>
        <w:footnoteRef/>
      </w:r>
      <w:r>
        <w:t xml:space="preserve"> </w:t>
      </w:r>
      <w:r w:rsidRPr="00371A24">
        <w:rPr>
          <w:rFonts w:asciiTheme="majorHAnsi" w:hAnsiTheme="majorHAnsi"/>
          <w:sz w:val="20"/>
          <w:szCs w:val="20"/>
        </w:rPr>
        <w:t>For simplicity, we will use the term “forward” with respect to all such mechanisms.</w:t>
      </w:r>
    </w:p>
  </w:footnote>
  <w:footnote w:id="2">
    <w:p w:rsidR="00335EBE" w:rsidRDefault="00335EBE">
      <w:pPr>
        <w:pStyle w:val="FootnoteText"/>
        <w:rPr>
          <w:rFonts w:asciiTheme="majorHAnsi" w:hAnsiTheme="majorHAnsi"/>
          <w:sz w:val="20"/>
          <w:szCs w:val="20"/>
        </w:rPr>
      </w:pPr>
      <w:r>
        <w:rPr>
          <w:rStyle w:val="FootnoteReference"/>
          <w:rFonts w:asciiTheme="majorHAnsi" w:hAnsiTheme="majorHAnsi"/>
          <w:sz w:val="20"/>
          <w:szCs w:val="20"/>
        </w:rPr>
        <w:footnoteRef/>
      </w:r>
      <w:r>
        <w:rPr>
          <w:rFonts w:asciiTheme="majorHAnsi" w:hAnsiTheme="majorHAnsi"/>
          <w:sz w:val="20"/>
          <w:szCs w:val="20"/>
        </w:rPr>
        <w:t xml:space="preserve"> The WG will be addressing the question of scope of “illegal activity” as part of the Charter Question E-2 discussions; as such, the WG’s recommendations as to the extent of a provider’s obligation to relay under E-1 may be affected. Note also that as part of its deliberations on Charter Question D-4, the WG discussed the forms of “malicious conduct” that can be reported to a provider’s point of contact for abuse reports, and agreed that Section 3 of the Public Interest Commitment specification in the New </w:t>
      </w:r>
      <w:proofErr w:type="spellStart"/>
      <w:r>
        <w:rPr>
          <w:rFonts w:asciiTheme="majorHAnsi" w:hAnsiTheme="majorHAnsi"/>
          <w:sz w:val="20"/>
          <w:szCs w:val="20"/>
        </w:rPr>
        <w:t>gTLD</w:t>
      </w:r>
      <w:proofErr w:type="spellEnd"/>
      <w:r>
        <w:rPr>
          <w:rFonts w:asciiTheme="majorHAnsi" w:hAnsiTheme="majorHAnsi"/>
          <w:sz w:val="20"/>
          <w:szCs w:val="20"/>
        </w:rPr>
        <w:t xml:space="preserve"> Registry Agreement as well as Safeguard 2, Annex 1 of the GAC’s Beijing </w:t>
      </w:r>
      <w:proofErr w:type="spellStart"/>
      <w:r>
        <w:rPr>
          <w:rFonts w:asciiTheme="majorHAnsi" w:hAnsiTheme="majorHAnsi"/>
          <w:sz w:val="20"/>
          <w:szCs w:val="20"/>
        </w:rPr>
        <w:t>Communique</w:t>
      </w:r>
      <w:proofErr w:type="spellEnd"/>
      <w:r>
        <w:rPr>
          <w:rFonts w:asciiTheme="majorHAnsi" w:hAnsiTheme="majorHAnsi"/>
          <w:sz w:val="20"/>
          <w:szCs w:val="20"/>
        </w:rPr>
        <w:t xml:space="preserve"> would provide a starting point for such a list.</w:t>
      </w:r>
    </w:p>
  </w:footnote>
  <w:footnote w:id="3">
    <w:p w:rsidR="00335EBE" w:rsidRDefault="00335EBE">
      <w:pPr>
        <w:pStyle w:val="FootnoteText"/>
      </w:pPr>
      <w:r>
        <w:rPr>
          <w:rStyle w:val="FootnoteReference"/>
          <w:rFonts w:asciiTheme="majorHAnsi" w:hAnsiTheme="majorHAnsi"/>
          <w:sz w:val="20"/>
          <w:szCs w:val="20"/>
        </w:rPr>
        <w:footnoteRef/>
      </w:r>
      <w:r>
        <w:rPr>
          <w:rFonts w:asciiTheme="majorHAnsi" w:hAnsiTheme="majorHAnsi"/>
          <w:sz w:val="20"/>
          <w:szCs w:val="20"/>
        </w:rPr>
        <w:t xml:space="preserve"> The WG agreed that the standard here is “undeliverable”, not “no response” on the part of the intended recipient as a provider may not receive affirmative notice of a delivery failure. Most WG members agree that determinations concerning forms of notification and feasibility questions related to relay processes and “</w:t>
      </w:r>
      <w:proofErr w:type="spellStart"/>
      <w:r>
        <w:rPr>
          <w:rFonts w:asciiTheme="majorHAnsi" w:hAnsiTheme="majorHAnsi"/>
          <w:sz w:val="20"/>
          <w:szCs w:val="20"/>
        </w:rPr>
        <w:t>undeliverability</w:t>
      </w:r>
      <w:proofErr w:type="spellEnd"/>
      <w:r>
        <w:rPr>
          <w:rFonts w:asciiTheme="majorHAnsi" w:hAnsiTheme="majorHAnsi"/>
          <w:sz w:val="20"/>
          <w:szCs w:val="20"/>
        </w:rPr>
        <w:t>” should be left to the implementation team. The team should consider technical aspects as well as the extent to which any required form of undeliverable notification will contravene the purposes of proxy and privacy services.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07DE"/>
    <w:multiLevelType w:val="hybridMultilevel"/>
    <w:tmpl w:val="10700624"/>
    <w:lvl w:ilvl="0" w:tplc="E8220044">
      <w:start w:val="1"/>
      <w:numFmt w:val="bullet"/>
      <w:lvlText w:val=""/>
      <w:lvlJc w:val="left"/>
      <w:pPr>
        <w:ind w:left="720" w:hanging="360"/>
      </w:pPr>
      <w:rPr>
        <w:rFonts w:ascii="Symbol" w:hAnsi="Symbol" w:hint="default"/>
      </w:rPr>
    </w:lvl>
    <w:lvl w:ilvl="1" w:tplc="89BA49AC" w:tentative="1">
      <w:start w:val="1"/>
      <w:numFmt w:val="bullet"/>
      <w:lvlText w:val="o"/>
      <w:lvlJc w:val="left"/>
      <w:pPr>
        <w:ind w:left="1440" w:hanging="360"/>
      </w:pPr>
      <w:rPr>
        <w:rFonts w:ascii="Courier New" w:hAnsi="Courier New" w:cs="Courier New" w:hint="default"/>
      </w:rPr>
    </w:lvl>
    <w:lvl w:ilvl="2" w:tplc="C7E8CD36" w:tentative="1">
      <w:start w:val="1"/>
      <w:numFmt w:val="bullet"/>
      <w:lvlText w:val=""/>
      <w:lvlJc w:val="left"/>
      <w:pPr>
        <w:ind w:left="2160" w:hanging="360"/>
      </w:pPr>
      <w:rPr>
        <w:rFonts w:ascii="Wingdings" w:hAnsi="Wingdings" w:hint="default"/>
      </w:rPr>
    </w:lvl>
    <w:lvl w:ilvl="3" w:tplc="4342C038" w:tentative="1">
      <w:start w:val="1"/>
      <w:numFmt w:val="bullet"/>
      <w:lvlText w:val=""/>
      <w:lvlJc w:val="left"/>
      <w:pPr>
        <w:ind w:left="2880" w:hanging="360"/>
      </w:pPr>
      <w:rPr>
        <w:rFonts w:ascii="Symbol" w:hAnsi="Symbol" w:hint="default"/>
      </w:rPr>
    </w:lvl>
    <w:lvl w:ilvl="4" w:tplc="B9A8F90E" w:tentative="1">
      <w:start w:val="1"/>
      <w:numFmt w:val="bullet"/>
      <w:lvlText w:val="o"/>
      <w:lvlJc w:val="left"/>
      <w:pPr>
        <w:ind w:left="3600" w:hanging="360"/>
      </w:pPr>
      <w:rPr>
        <w:rFonts w:ascii="Courier New" w:hAnsi="Courier New" w:cs="Courier New" w:hint="default"/>
      </w:rPr>
    </w:lvl>
    <w:lvl w:ilvl="5" w:tplc="0F30E26A" w:tentative="1">
      <w:start w:val="1"/>
      <w:numFmt w:val="bullet"/>
      <w:lvlText w:val=""/>
      <w:lvlJc w:val="left"/>
      <w:pPr>
        <w:ind w:left="4320" w:hanging="360"/>
      </w:pPr>
      <w:rPr>
        <w:rFonts w:ascii="Wingdings" w:hAnsi="Wingdings" w:hint="default"/>
      </w:rPr>
    </w:lvl>
    <w:lvl w:ilvl="6" w:tplc="C2E67942" w:tentative="1">
      <w:start w:val="1"/>
      <w:numFmt w:val="bullet"/>
      <w:lvlText w:val=""/>
      <w:lvlJc w:val="left"/>
      <w:pPr>
        <w:ind w:left="5040" w:hanging="360"/>
      </w:pPr>
      <w:rPr>
        <w:rFonts w:ascii="Symbol" w:hAnsi="Symbol" w:hint="default"/>
      </w:rPr>
    </w:lvl>
    <w:lvl w:ilvl="7" w:tplc="35126230" w:tentative="1">
      <w:start w:val="1"/>
      <w:numFmt w:val="bullet"/>
      <w:lvlText w:val="o"/>
      <w:lvlJc w:val="left"/>
      <w:pPr>
        <w:ind w:left="5760" w:hanging="360"/>
      </w:pPr>
      <w:rPr>
        <w:rFonts w:ascii="Courier New" w:hAnsi="Courier New" w:cs="Courier New" w:hint="default"/>
      </w:rPr>
    </w:lvl>
    <w:lvl w:ilvl="8" w:tplc="241A6F50" w:tentative="1">
      <w:start w:val="1"/>
      <w:numFmt w:val="bullet"/>
      <w:lvlText w:val=""/>
      <w:lvlJc w:val="left"/>
      <w:pPr>
        <w:ind w:left="6480" w:hanging="360"/>
      </w:pPr>
      <w:rPr>
        <w:rFonts w:ascii="Wingdings" w:hAnsi="Wingdings" w:hint="default"/>
      </w:rPr>
    </w:lvl>
  </w:abstractNum>
  <w:abstractNum w:abstractNumId="1">
    <w:nsid w:val="12F920C9"/>
    <w:multiLevelType w:val="hybridMultilevel"/>
    <w:tmpl w:val="006A1D32"/>
    <w:lvl w:ilvl="0" w:tplc="6A9664B6">
      <w:start w:val="1"/>
      <w:numFmt w:val="bullet"/>
      <w:lvlText w:val=""/>
      <w:lvlJc w:val="left"/>
      <w:pPr>
        <w:ind w:left="720" w:hanging="360"/>
      </w:pPr>
      <w:rPr>
        <w:rFonts w:ascii="Symbol" w:hAnsi="Symbol" w:hint="default"/>
      </w:rPr>
    </w:lvl>
    <w:lvl w:ilvl="1" w:tplc="27566280" w:tentative="1">
      <w:start w:val="1"/>
      <w:numFmt w:val="bullet"/>
      <w:lvlText w:val="o"/>
      <w:lvlJc w:val="left"/>
      <w:pPr>
        <w:ind w:left="1440" w:hanging="360"/>
      </w:pPr>
      <w:rPr>
        <w:rFonts w:ascii="Courier New" w:hAnsi="Courier New" w:cs="Courier New" w:hint="default"/>
      </w:rPr>
    </w:lvl>
    <w:lvl w:ilvl="2" w:tplc="4A3894FA" w:tentative="1">
      <w:start w:val="1"/>
      <w:numFmt w:val="bullet"/>
      <w:lvlText w:val=""/>
      <w:lvlJc w:val="left"/>
      <w:pPr>
        <w:ind w:left="2160" w:hanging="360"/>
      </w:pPr>
      <w:rPr>
        <w:rFonts w:ascii="Wingdings" w:hAnsi="Wingdings" w:hint="default"/>
      </w:rPr>
    </w:lvl>
    <w:lvl w:ilvl="3" w:tplc="E6145172" w:tentative="1">
      <w:start w:val="1"/>
      <w:numFmt w:val="bullet"/>
      <w:lvlText w:val=""/>
      <w:lvlJc w:val="left"/>
      <w:pPr>
        <w:ind w:left="2880" w:hanging="360"/>
      </w:pPr>
      <w:rPr>
        <w:rFonts w:ascii="Symbol" w:hAnsi="Symbol" w:hint="default"/>
      </w:rPr>
    </w:lvl>
    <w:lvl w:ilvl="4" w:tplc="E0187D38" w:tentative="1">
      <w:start w:val="1"/>
      <w:numFmt w:val="bullet"/>
      <w:lvlText w:val="o"/>
      <w:lvlJc w:val="left"/>
      <w:pPr>
        <w:ind w:left="3600" w:hanging="360"/>
      </w:pPr>
      <w:rPr>
        <w:rFonts w:ascii="Courier New" w:hAnsi="Courier New" w:cs="Courier New" w:hint="default"/>
      </w:rPr>
    </w:lvl>
    <w:lvl w:ilvl="5" w:tplc="39AE1D5E" w:tentative="1">
      <w:start w:val="1"/>
      <w:numFmt w:val="bullet"/>
      <w:lvlText w:val=""/>
      <w:lvlJc w:val="left"/>
      <w:pPr>
        <w:ind w:left="4320" w:hanging="360"/>
      </w:pPr>
      <w:rPr>
        <w:rFonts w:ascii="Wingdings" w:hAnsi="Wingdings" w:hint="default"/>
      </w:rPr>
    </w:lvl>
    <w:lvl w:ilvl="6" w:tplc="FFCC00C0" w:tentative="1">
      <w:start w:val="1"/>
      <w:numFmt w:val="bullet"/>
      <w:lvlText w:val=""/>
      <w:lvlJc w:val="left"/>
      <w:pPr>
        <w:ind w:left="5040" w:hanging="360"/>
      </w:pPr>
      <w:rPr>
        <w:rFonts w:ascii="Symbol" w:hAnsi="Symbol" w:hint="default"/>
      </w:rPr>
    </w:lvl>
    <w:lvl w:ilvl="7" w:tplc="33BAE5E4" w:tentative="1">
      <w:start w:val="1"/>
      <w:numFmt w:val="bullet"/>
      <w:lvlText w:val="o"/>
      <w:lvlJc w:val="left"/>
      <w:pPr>
        <w:ind w:left="5760" w:hanging="360"/>
      </w:pPr>
      <w:rPr>
        <w:rFonts w:ascii="Courier New" w:hAnsi="Courier New" w:cs="Courier New" w:hint="default"/>
      </w:rPr>
    </w:lvl>
    <w:lvl w:ilvl="8" w:tplc="104C8A2C" w:tentative="1">
      <w:start w:val="1"/>
      <w:numFmt w:val="bullet"/>
      <w:lvlText w:val=""/>
      <w:lvlJc w:val="left"/>
      <w:pPr>
        <w:ind w:left="6480" w:hanging="360"/>
      </w:pPr>
      <w:rPr>
        <w:rFonts w:ascii="Wingdings" w:hAnsi="Wingdings" w:hint="default"/>
      </w:rPr>
    </w:lvl>
  </w:abstractNum>
  <w:abstractNum w:abstractNumId="2">
    <w:nsid w:val="3E016751"/>
    <w:multiLevelType w:val="hybridMultilevel"/>
    <w:tmpl w:val="97FE6CA2"/>
    <w:lvl w:ilvl="0" w:tplc="E514EF98">
      <w:start w:val="1"/>
      <w:numFmt w:val="bullet"/>
      <w:lvlText w:val=""/>
      <w:lvlJc w:val="left"/>
      <w:pPr>
        <w:ind w:left="720" w:hanging="360"/>
      </w:pPr>
      <w:rPr>
        <w:rFonts w:ascii="Symbol" w:hAnsi="Symbol" w:hint="default"/>
      </w:rPr>
    </w:lvl>
    <w:lvl w:ilvl="1" w:tplc="2C90D43E" w:tentative="1">
      <w:start w:val="1"/>
      <w:numFmt w:val="bullet"/>
      <w:lvlText w:val="o"/>
      <w:lvlJc w:val="left"/>
      <w:pPr>
        <w:ind w:left="1440" w:hanging="360"/>
      </w:pPr>
      <w:rPr>
        <w:rFonts w:ascii="Courier New" w:hAnsi="Courier New" w:cs="Courier New" w:hint="default"/>
      </w:rPr>
    </w:lvl>
    <w:lvl w:ilvl="2" w:tplc="08FCFE4E" w:tentative="1">
      <w:start w:val="1"/>
      <w:numFmt w:val="bullet"/>
      <w:lvlText w:val=""/>
      <w:lvlJc w:val="left"/>
      <w:pPr>
        <w:ind w:left="2160" w:hanging="360"/>
      </w:pPr>
      <w:rPr>
        <w:rFonts w:ascii="Wingdings" w:hAnsi="Wingdings" w:hint="default"/>
      </w:rPr>
    </w:lvl>
    <w:lvl w:ilvl="3" w:tplc="A1D8863E" w:tentative="1">
      <w:start w:val="1"/>
      <w:numFmt w:val="bullet"/>
      <w:lvlText w:val=""/>
      <w:lvlJc w:val="left"/>
      <w:pPr>
        <w:ind w:left="2880" w:hanging="360"/>
      </w:pPr>
      <w:rPr>
        <w:rFonts w:ascii="Symbol" w:hAnsi="Symbol" w:hint="default"/>
      </w:rPr>
    </w:lvl>
    <w:lvl w:ilvl="4" w:tplc="704EEC72" w:tentative="1">
      <w:start w:val="1"/>
      <w:numFmt w:val="bullet"/>
      <w:lvlText w:val="o"/>
      <w:lvlJc w:val="left"/>
      <w:pPr>
        <w:ind w:left="3600" w:hanging="360"/>
      </w:pPr>
      <w:rPr>
        <w:rFonts w:ascii="Courier New" w:hAnsi="Courier New" w:cs="Courier New" w:hint="default"/>
      </w:rPr>
    </w:lvl>
    <w:lvl w:ilvl="5" w:tplc="963CE548" w:tentative="1">
      <w:start w:val="1"/>
      <w:numFmt w:val="bullet"/>
      <w:lvlText w:val=""/>
      <w:lvlJc w:val="left"/>
      <w:pPr>
        <w:ind w:left="4320" w:hanging="360"/>
      </w:pPr>
      <w:rPr>
        <w:rFonts w:ascii="Wingdings" w:hAnsi="Wingdings" w:hint="default"/>
      </w:rPr>
    </w:lvl>
    <w:lvl w:ilvl="6" w:tplc="98C8ACC8" w:tentative="1">
      <w:start w:val="1"/>
      <w:numFmt w:val="bullet"/>
      <w:lvlText w:val=""/>
      <w:lvlJc w:val="left"/>
      <w:pPr>
        <w:ind w:left="5040" w:hanging="360"/>
      </w:pPr>
      <w:rPr>
        <w:rFonts w:ascii="Symbol" w:hAnsi="Symbol" w:hint="default"/>
      </w:rPr>
    </w:lvl>
    <w:lvl w:ilvl="7" w:tplc="F7681066" w:tentative="1">
      <w:start w:val="1"/>
      <w:numFmt w:val="bullet"/>
      <w:lvlText w:val="o"/>
      <w:lvlJc w:val="left"/>
      <w:pPr>
        <w:ind w:left="5760" w:hanging="360"/>
      </w:pPr>
      <w:rPr>
        <w:rFonts w:ascii="Courier New" w:hAnsi="Courier New" w:cs="Courier New" w:hint="default"/>
      </w:rPr>
    </w:lvl>
    <w:lvl w:ilvl="8" w:tplc="6E2CF976" w:tentative="1">
      <w:start w:val="1"/>
      <w:numFmt w:val="bullet"/>
      <w:lvlText w:val=""/>
      <w:lvlJc w:val="left"/>
      <w:pPr>
        <w:ind w:left="6480" w:hanging="360"/>
      </w:pPr>
      <w:rPr>
        <w:rFonts w:ascii="Wingdings" w:hAnsi="Wingdings" w:hint="default"/>
      </w:rPr>
    </w:lvl>
  </w:abstractNum>
  <w:abstractNum w:abstractNumId="3">
    <w:nsid w:val="5A123F57"/>
    <w:multiLevelType w:val="hybridMultilevel"/>
    <w:tmpl w:val="3BF4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3C"/>
    <w:rsid w:val="0003643C"/>
    <w:rsid w:val="00335EBE"/>
    <w:rsid w:val="00371A24"/>
    <w:rsid w:val="004C029F"/>
    <w:rsid w:val="009E67BF"/>
    <w:rsid w:val="00A84BEF"/>
    <w:rsid w:val="00E4399A"/>
    <w:rsid w:val="00F02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Times New Roman"/>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style>
  <w:style w:type="character" w:customStyle="1" w:styleId="FootnoteTextChar">
    <w:name w:val="Footnote Text Char"/>
    <w:basedOn w:val="DefaultParagraphFont"/>
    <w:link w:val="FootnoteText"/>
    <w:uiPriority w:val="99"/>
    <w:rPr>
      <w:rFonts w:ascii="Cambria" w:eastAsia="Cambria" w:hAnsi="Cambria" w:cs="Times New Roman"/>
    </w:rPr>
  </w:style>
  <w:style w:type="character" w:styleId="FootnoteReference">
    <w:name w:val="footnote reference"/>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Cambria" w:eastAsia="Cambria" w:hAnsi="Cambria" w:cs="Times New Roman"/>
      <w:b/>
      <w:bCs/>
      <w:sz w:val="20"/>
      <w:szCs w:val="20"/>
    </w:rPr>
  </w:style>
  <w:style w:type="paragraph" w:styleId="Revision">
    <w:name w:val="Revision"/>
    <w:hidden/>
    <w:uiPriority w:val="99"/>
    <w:semiHidden/>
    <w:rPr>
      <w:rFonts w:ascii="Cambria" w:eastAsia="Cambria" w:hAnsi="Cambria" w:cs="Times New Roman"/>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Cambria" w:hAnsi="Lucida Grande" w:cs="Lucida Grande"/>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mbria" w:eastAsia="Cambria" w:hAnsi="Cambria"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mbria" w:eastAsia="Cambria" w:hAnsi="Cambria" w:cs="Times New Roman"/>
    </w:rPr>
  </w:style>
  <w:style w:type="paragraph" w:customStyle="1" w:styleId="DocID">
    <w:name w:val="DocID"/>
    <w:basedOn w:val="Normal"/>
    <w:next w:val="Normal"/>
    <w:link w:val="DocIDChar"/>
    <w:pPr>
      <w:ind w:left="-1037"/>
    </w:pPr>
    <w:rPr>
      <w:rFonts w:ascii="Trebuchet MS" w:hAnsi="Trebuchet MS"/>
      <w:color w:val="000000"/>
      <w:sz w:val="16"/>
    </w:rPr>
  </w:style>
  <w:style w:type="character" w:customStyle="1" w:styleId="DocIDChar">
    <w:name w:val="DocID Char"/>
    <w:basedOn w:val="CommentTextChar"/>
    <w:link w:val="DocID"/>
    <w:rPr>
      <w:rFonts w:ascii="Trebuchet MS" w:eastAsia="Cambria" w:hAnsi="Trebuchet MS" w:cs="Times New Roman"/>
      <w:color w:val="000000"/>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Times New Roman"/>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style>
  <w:style w:type="character" w:customStyle="1" w:styleId="FootnoteTextChar">
    <w:name w:val="Footnote Text Char"/>
    <w:basedOn w:val="DefaultParagraphFont"/>
    <w:link w:val="FootnoteText"/>
    <w:uiPriority w:val="99"/>
    <w:rPr>
      <w:rFonts w:ascii="Cambria" w:eastAsia="Cambria" w:hAnsi="Cambria" w:cs="Times New Roman"/>
    </w:rPr>
  </w:style>
  <w:style w:type="character" w:styleId="FootnoteReference">
    <w:name w:val="footnote reference"/>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Cambria" w:eastAsia="Cambria" w:hAnsi="Cambria" w:cs="Times New Roman"/>
      <w:b/>
      <w:bCs/>
      <w:sz w:val="20"/>
      <w:szCs w:val="20"/>
    </w:rPr>
  </w:style>
  <w:style w:type="paragraph" w:styleId="Revision">
    <w:name w:val="Revision"/>
    <w:hidden/>
    <w:uiPriority w:val="99"/>
    <w:semiHidden/>
    <w:rPr>
      <w:rFonts w:ascii="Cambria" w:eastAsia="Cambria" w:hAnsi="Cambria" w:cs="Times New Roman"/>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Cambria" w:hAnsi="Lucida Grande" w:cs="Lucida Grande"/>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mbria" w:eastAsia="Cambria" w:hAnsi="Cambria"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mbria" w:eastAsia="Cambria" w:hAnsi="Cambria" w:cs="Times New Roman"/>
    </w:rPr>
  </w:style>
  <w:style w:type="paragraph" w:customStyle="1" w:styleId="DocID">
    <w:name w:val="DocID"/>
    <w:basedOn w:val="Normal"/>
    <w:next w:val="Normal"/>
    <w:link w:val="DocIDChar"/>
    <w:pPr>
      <w:ind w:left="-1037"/>
    </w:pPr>
    <w:rPr>
      <w:rFonts w:ascii="Trebuchet MS" w:hAnsi="Trebuchet MS"/>
      <w:color w:val="000000"/>
      <w:sz w:val="16"/>
    </w:rPr>
  </w:style>
  <w:style w:type="character" w:customStyle="1" w:styleId="DocIDChar">
    <w:name w:val="DocID Char"/>
    <w:basedOn w:val="CommentTextChar"/>
    <w:link w:val="DocID"/>
    <w:rPr>
      <w:rFonts w:ascii="Trebuchet MS" w:eastAsia="Cambria" w:hAnsi="Trebuchet MS" w:cs="Times New Roman"/>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1899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Summary Status of WG Discussions on E-1 dmb.docx SJM edits (6307303).DOCX</vt:lpstr>
    </vt:vector>
  </TitlesOfParts>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Wong</cp:lastModifiedBy>
  <cp:revision>2</cp:revision>
  <dcterms:created xsi:type="dcterms:W3CDTF">2014-08-08T13:16:00Z</dcterms:created>
  <dcterms:modified xsi:type="dcterms:W3CDTF">2014-08-08T13:16:00Z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6307303.1/40541-00001</vt:lpwstr>
  </property>
</Properties>
</file>