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DD9" w:rsidRDefault="0064220B" w:rsidP="00EC7DD9">
      <w:pPr>
        <w:pBdr>
          <w:bottom w:val="single" w:sz="4" w:space="1" w:color="auto"/>
        </w:pBdr>
        <w:contextualSpacing/>
        <w:rPr>
          <w:rFonts w:ascii="Calibri" w:hAnsi="Calibri"/>
          <w:b/>
          <w:sz w:val="22"/>
        </w:rPr>
      </w:pPr>
      <w:r>
        <w:rPr>
          <w:rFonts w:ascii="Calibri" w:hAnsi="Calibri"/>
          <w:b/>
          <w:sz w:val="22"/>
        </w:rPr>
        <w:t xml:space="preserve">PPSAI – Category </w:t>
      </w:r>
      <w:r w:rsidR="00FF415E">
        <w:rPr>
          <w:rFonts w:ascii="Calibri" w:hAnsi="Calibri"/>
          <w:b/>
          <w:sz w:val="22"/>
        </w:rPr>
        <w:t>G</w:t>
      </w:r>
      <w:r w:rsidR="00BA47AB">
        <w:rPr>
          <w:rFonts w:ascii="Calibri" w:hAnsi="Calibri"/>
          <w:b/>
          <w:sz w:val="22"/>
        </w:rPr>
        <w:t xml:space="preserve"> </w:t>
      </w:r>
      <w:r w:rsidR="00FF415E">
        <w:rPr>
          <w:rFonts w:ascii="Calibri" w:hAnsi="Calibri"/>
          <w:b/>
          <w:sz w:val="22"/>
        </w:rPr>
        <w:t>–</w:t>
      </w:r>
      <w:r w:rsidR="00BA47AB">
        <w:rPr>
          <w:rFonts w:ascii="Calibri" w:hAnsi="Calibri"/>
          <w:b/>
          <w:sz w:val="22"/>
        </w:rPr>
        <w:t xml:space="preserve"> </w:t>
      </w:r>
      <w:r w:rsidR="00FF415E">
        <w:rPr>
          <w:rFonts w:ascii="Calibri" w:hAnsi="Calibri" w:cs="Calibri"/>
          <w:b/>
          <w:bCs/>
          <w:color w:val="000000"/>
          <w:sz w:val="22"/>
          <w:szCs w:val="22"/>
        </w:rPr>
        <w:t>TERMINATION of</w:t>
      </w:r>
      <w:r w:rsidR="00BA47AB" w:rsidRPr="003C79F8">
        <w:rPr>
          <w:rFonts w:ascii="Calibri" w:hAnsi="Calibri" w:cs="Calibri"/>
          <w:b/>
          <w:bCs/>
          <w:color w:val="000000"/>
          <w:sz w:val="22"/>
          <w:szCs w:val="22"/>
        </w:rPr>
        <w:t xml:space="preserve"> </w:t>
      </w:r>
      <w:r w:rsidR="00F7683F">
        <w:rPr>
          <w:rFonts w:ascii="Calibri" w:hAnsi="Calibri" w:cs="Calibri"/>
          <w:b/>
          <w:bCs/>
          <w:color w:val="000000"/>
          <w:sz w:val="22"/>
          <w:szCs w:val="22"/>
        </w:rPr>
        <w:t>[accreditation of] privacy/proxy service</w:t>
      </w:r>
    </w:p>
    <w:p w:rsidR="0057280F" w:rsidRDefault="0064220B" w:rsidP="00FF415E">
      <w:pPr>
        <w:pBdr>
          <w:bottom w:val="single" w:sz="4" w:space="1" w:color="auto"/>
        </w:pBdr>
        <w:contextualSpacing/>
        <w:rPr>
          <w:rFonts w:ascii="Calibri" w:hAnsi="Calibri" w:cs="Calibri"/>
          <w:b/>
          <w:sz w:val="22"/>
          <w:szCs w:val="22"/>
        </w:rPr>
      </w:pPr>
      <w:r>
        <w:rPr>
          <w:rFonts w:ascii="Calibri" w:hAnsi="Calibri"/>
          <w:b/>
          <w:sz w:val="22"/>
        </w:rPr>
        <w:t xml:space="preserve">Question </w:t>
      </w:r>
      <w:r w:rsidR="00BA47AB">
        <w:rPr>
          <w:rFonts w:ascii="Calibri" w:hAnsi="Calibri"/>
          <w:b/>
          <w:sz w:val="22"/>
        </w:rPr>
        <w:t xml:space="preserve">1 </w:t>
      </w:r>
      <w:r>
        <w:rPr>
          <w:rFonts w:ascii="Calibri" w:hAnsi="Calibri"/>
          <w:b/>
          <w:sz w:val="22"/>
        </w:rPr>
        <w:t xml:space="preserve">– </w:t>
      </w:r>
      <w:r w:rsidR="00FF415E" w:rsidRPr="00FF415E">
        <w:rPr>
          <w:rFonts w:ascii="Calibri" w:hAnsi="Calibri" w:cs="Calibri"/>
          <w:b/>
          <w:sz w:val="22"/>
          <w:szCs w:val="22"/>
        </w:rPr>
        <w:t>What types of services should be covered, and what would be the forms of non-compliance that would trigger cancellation or suspension?</w:t>
      </w:r>
    </w:p>
    <w:p w:rsidR="002B281B" w:rsidRPr="00FF415E" w:rsidRDefault="002B281B" w:rsidP="00FF415E">
      <w:pPr>
        <w:pBdr>
          <w:bottom w:val="single" w:sz="4" w:space="1" w:color="auto"/>
        </w:pBdr>
        <w:contextualSpacing/>
        <w:rPr>
          <w:rFonts w:ascii="Calibri" w:hAnsi="Calibri" w:cs="Calibri"/>
          <w:sz w:val="22"/>
          <w:szCs w:val="22"/>
        </w:rPr>
      </w:pPr>
    </w:p>
    <w:p w:rsidR="00EC7DD9" w:rsidRDefault="00EC7DD9" w:rsidP="008464FD">
      <w:pPr>
        <w:spacing w:line="360" w:lineRule="auto"/>
        <w:contextualSpacing/>
        <w:rPr>
          <w:rFonts w:ascii="Calibri" w:hAnsi="Calibri"/>
          <w:b/>
          <w:sz w:val="22"/>
        </w:rPr>
      </w:pPr>
    </w:p>
    <w:p w:rsidR="00F7683F" w:rsidRDefault="00873ED8" w:rsidP="008464FD">
      <w:pPr>
        <w:spacing w:line="360" w:lineRule="auto"/>
        <w:contextualSpacing/>
        <w:rPr>
          <w:rFonts w:ascii="Calibri" w:hAnsi="Calibri"/>
          <w:b/>
          <w:sz w:val="22"/>
        </w:rPr>
      </w:pPr>
      <w:r>
        <w:rPr>
          <w:rFonts w:ascii="Calibri" w:hAnsi="Calibri"/>
          <w:b/>
          <w:sz w:val="22"/>
        </w:rPr>
        <w:t xml:space="preserve">Preliminary </w:t>
      </w:r>
      <w:r w:rsidR="00F7683F">
        <w:rPr>
          <w:rFonts w:ascii="Calibri" w:hAnsi="Calibri"/>
          <w:b/>
          <w:sz w:val="22"/>
        </w:rPr>
        <w:t>Note</w:t>
      </w:r>
      <w:r w:rsidR="002B281B">
        <w:rPr>
          <w:rFonts w:ascii="Calibri" w:hAnsi="Calibri"/>
          <w:b/>
          <w:sz w:val="22"/>
        </w:rPr>
        <w:t xml:space="preserve"> from ICANN Staff</w:t>
      </w:r>
      <w:r w:rsidR="00F7683F">
        <w:rPr>
          <w:rFonts w:ascii="Calibri" w:hAnsi="Calibri"/>
          <w:b/>
          <w:sz w:val="22"/>
        </w:rPr>
        <w:t>:</w:t>
      </w:r>
    </w:p>
    <w:p w:rsidR="002B281B" w:rsidRPr="002B281B" w:rsidRDefault="00F7683F" w:rsidP="008464FD">
      <w:pPr>
        <w:spacing w:line="360" w:lineRule="auto"/>
        <w:contextualSpacing/>
        <w:rPr>
          <w:rFonts w:ascii="Calibri" w:eastAsia="Times New Roman" w:hAnsi="Calibri" w:cs="Calibri"/>
          <w:color w:val="000000"/>
          <w:sz w:val="22"/>
          <w:szCs w:val="22"/>
        </w:rPr>
      </w:pPr>
      <w:r w:rsidRPr="00F7683F">
        <w:rPr>
          <w:rFonts w:ascii="Calibri" w:hAnsi="Calibri"/>
          <w:sz w:val="22"/>
        </w:rPr>
        <w:t xml:space="preserve">A </w:t>
      </w:r>
      <w:r>
        <w:rPr>
          <w:rFonts w:ascii="Calibri" w:hAnsi="Calibri"/>
          <w:sz w:val="22"/>
        </w:rPr>
        <w:t xml:space="preserve">number of survey respondents assumed that this question was about the cancellation of the PP service to the customer rather than termination of the accreditation of the service itself. In the original scoping of the WG charter, however, the origin of this question can be traced to the 2010 </w:t>
      </w:r>
      <w:r w:rsidR="002B281B">
        <w:rPr>
          <w:rFonts w:ascii="Calibri" w:hAnsi="Calibri"/>
          <w:sz w:val="22"/>
        </w:rPr>
        <w:t xml:space="preserve">Joint </w:t>
      </w:r>
      <w:r>
        <w:rPr>
          <w:rFonts w:ascii="Calibri" w:hAnsi="Calibri"/>
          <w:sz w:val="22"/>
        </w:rPr>
        <w:t xml:space="preserve">GNSO-ALAC </w:t>
      </w:r>
      <w:r w:rsidR="002B281B">
        <w:rPr>
          <w:rFonts w:ascii="Calibri" w:hAnsi="Calibri"/>
          <w:sz w:val="22"/>
        </w:rPr>
        <w:t xml:space="preserve">RAA </w:t>
      </w:r>
      <w:r>
        <w:rPr>
          <w:rFonts w:ascii="Calibri" w:hAnsi="Calibri"/>
          <w:sz w:val="22"/>
        </w:rPr>
        <w:t>Drafting Team</w:t>
      </w:r>
      <w:r w:rsidR="002B281B">
        <w:rPr>
          <w:rFonts w:ascii="Calibri" w:hAnsi="Calibri"/>
          <w:sz w:val="22"/>
        </w:rPr>
        <w:t>’s Final</w:t>
      </w:r>
      <w:r>
        <w:rPr>
          <w:rFonts w:ascii="Calibri" w:hAnsi="Calibri"/>
          <w:sz w:val="22"/>
        </w:rPr>
        <w:t xml:space="preserve"> Report, in which </w:t>
      </w:r>
      <w:r w:rsidR="002B281B">
        <w:rPr>
          <w:rFonts w:ascii="Calibri" w:hAnsi="Calibri"/>
          <w:sz w:val="22"/>
        </w:rPr>
        <w:t>the group</w:t>
      </w:r>
      <w:r>
        <w:rPr>
          <w:rFonts w:ascii="Calibri" w:hAnsi="Calibri"/>
          <w:sz w:val="22"/>
        </w:rPr>
        <w:t xml:space="preserve"> recommended </w:t>
      </w:r>
      <w:r w:rsidR="002B281B">
        <w:rPr>
          <w:rFonts w:ascii="Calibri" w:hAnsi="Calibri"/>
          <w:sz w:val="22"/>
        </w:rPr>
        <w:t xml:space="preserve">(as one item on its list of high-priority topics) </w:t>
      </w:r>
      <w:r>
        <w:rPr>
          <w:rFonts w:ascii="Calibri" w:hAnsi="Calibri"/>
          <w:sz w:val="22"/>
        </w:rPr>
        <w:t xml:space="preserve">that </w:t>
      </w:r>
      <w:r w:rsidR="00873ED8">
        <w:rPr>
          <w:rFonts w:ascii="Calibri" w:hAnsi="Calibri"/>
          <w:sz w:val="22"/>
        </w:rPr>
        <w:t xml:space="preserve">a </w:t>
      </w:r>
      <w:r w:rsidR="002B281B">
        <w:rPr>
          <w:rFonts w:ascii="Calibri" w:eastAsia="Times New Roman" w:hAnsi="Calibri" w:cs="Calibri"/>
          <w:color w:val="000000"/>
          <w:sz w:val="22"/>
          <w:szCs w:val="22"/>
        </w:rPr>
        <w:t>r</w:t>
      </w:r>
      <w:r w:rsidR="00873ED8">
        <w:rPr>
          <w:rFonts w:ascii="Calibri" w:eastAsia="Times New Roman" w:hAnsi="Calibri" w:cs="Calibri"/>
          <w:color w:val="000000"/>
          <w:sz w:val="22"/>
          <w:szCs w:val="22"/>
        </w:rPr>
        <w:t xml:space="preserve">egistrar should bear </w:t>
      </w:r>
      <w:r w:rsidRPr="004214D3">
        <w:rPr>
          <w:rFonts w:ascii="Calibri" w:eastAsia="Times New Roman" w:hAnsi="Calibri" w:cs="Calibri"/>
          <w:color w:val="000000"/>
          <w:sz w:val="22"/>
          <w:szCs w:val="22"/>
        </w:rPr>
        <w:t>responsibility for cancellation</w:t>
      </w:r>
      <w:r w:rsidR="00873ED8">
        <w:rPr>
          <w:rFonts w:ascii="Calibri" w:eastAsia="Times New Roman" w:hAnsi="Calibri" w:cs="Calibri"/>
          <w:color w:val="000000"/>
          <w:sz w:val="22"/>
          <w:szCs w:val="22"/>
        </w:rPr>
        <w:t>,</w:t>
      </w:r>
      <w:r w:rsidRPr="004214D3">
        <w:rPr>
          <w:rFonts w:ascii="Calibri" w:eastAsia="Times New Roman" w:hAnsi="Calibri" w:cs="Calibri"/>
          <w:color w:val="000000"/>
          <w:sz w:val="22"/>
          <w:szCs w:val="22"/>
        </w:rPr>
        <w:t xml:space="preserve"> under appropriate circumst</w:t>
      </w:r>
      <w:r w:rsidR="00873ED8">
        <w:rPr>
          <w:rFonts w:ascii="Calibri" w:eastAsia="Times New Roman" w:hAnsi="Calibri" w:cs="Calibri"/>
          <w:color w:val="000000"/>
          <w:sz w:val="22"/>
          <w:szCs w:val="22"/>
        </w:rPr>
        <w:t>ances, of registrations made by PP</w:t>
      </w:r>
      <w:r w:rsidRPr="004214D3">
        <w:rPr>
          <w:rFonts w:ascii="Calibri" w:eastAsia="Times New Roman" w:hAnsi="Calibri" w:cs="Calibri"/>
          <w:color w:val="000000"/>
          <w:sz w:val="22"/>
          <w:szCs w:val="22"/>
        </w:rPr>
        <w:t xml:space="preserve"> services </w:t>
      </w:r>
      <w:r w:rsidR="00873ED8">
        <w:rPr>
          <w:rFonts w:ascii="Calibri" w:eastAsia="Times New Roman" w:hAnsi="Calibri" w:cs="Calibri"/>
          <w:color w:val="000000"/>
          <w:sz w:val="22"/>
          <w:szCs w:val="22"/>
        </w:rPr>
        <w:t xml:space="preserve">that are </w:t>
      </w:r>
      <w:r w:rsidRPr="004214D3">
        <w:rPr>
          <w:rFonts w:ascii="Calibri" w:eastAsia="Times New Roman" w:hAnsi="Calibri" w:cs="Calibri"/>
          <w:color w:val="000000"/>
          <w:sz w:val="22"/>
          <w:szCs w:val="22"/>
        </w:rPr>
        <w:t xml:space="preserve">offered by others for noncompliance with Relay and Reveal </w:t>
      </w:r>
      <w:r w:rsidR="00873ED8">
        <w:rPr>
          <w:rFonts w:ascii="Calibri" w:eastAsia="Times New Roman" w:hAnsi="Calibri" w:cs="Calibri"/>
          <w:color w:val="000000"/>
          <w:sz w:val="22"/>
          <w:szCs w:val="22"/>
        </w:rPr>
        <w:t xml:space="preserve">procedures. </w:t>
      </w:r>
      <w:r w:rsidR="002B281B" w:rsidRPr="002B281B">
        <w:rPr>
          <w:rFonts w:ascii="Calibri" w:eastAsia="ＭＳ 明朝" w:hAnsi="Calibri" w:cs="Calibri"/>
          <w:sz w:val="22"/>
          <w:szCs w:val="22"/>
        </w:rPr>
        <w:t>Th</w:t>
      </w:r>
      <w:r w:rsidR="002B281B">
        <w:rPr>
          <w:rFonts w:ascii="Calibri" w:eastAsia="ＭＳ 明朝" w:hAnsi="Calibri" w:cs="Calibri"/>
          <w:sz w:val="22"/>
          <w:szCs w:val="22"/>
        </w:rPr>
        <w:t>e DT clarified that th</w:t>
      </w:r>
      <w:r w:rsidR="002B281B" w:rsidRPr="002B281B">
        <w:rPr>
          <w:rFonts w:ascii="Calibri" w:eastAsia="ＭＳ 明朝" w:hAnsi="Calibri" w:cs="Calibri"/>
          <w:sz w:val="22"/>
          <w:szCs w:val="22"/>
        </w:rPr>
        <w:t xml:space="preserve">is </w:t>
      </w:r>
      <w:r w:rsidR="002B281B">
        <w:rPr>
          <w:rFonts w:ascii="Calibri" w:eastAsia="ＭＳ 明朝" w:hAnsi="Calibri" w:cs="Calibri"/>
          <w:sz w:val="22"/>
          <w:szCs w:val="22"/>
        </w:rPr>
        <w:t>recommendation would apply</w:t>
      </w:r>
      <w:r w:rsidR="002B281B" w:rsidRPr="002B281B">
        <w:rPr>
          <w:rFonts w:ascii="Calibri" w:eastAsia="ＭＳ 明朝" w:hAnsi="Calibri" w:cs="Calibri"/>
          <w:sz w:val="22"/>
          <w:szCs w:val="22"/>
        </w:rPr>
        <w:t xml:space="preserve"> to proxy services not offered by the registrar in connection with registration, i.e., independent services. </w:t>
      </w:r>
      <w:r w:rsidR="002B281B">
        <w:rPr>
          <w:rFonts w:ascii="Calibri" w:eastAsia="ＭＳ 明朝" w:hAnsi="Calibri" w:cs="Calibri"/>
          <w:sz w:val="22"/>
          <w:szCs w:val="22"/>
        </w:rPr>
        <w:t>It also noted that t</w:t>
      </w:r>
      <w:r w:rsidR="002B281B" w:rsidRPr="002B281B">
        <w:rPr>
          <w:rFonts w:ascii="Calibri" w:eastAsia="ＭＳ 明朝" w:hAnsi="Calibri" w:cs="Calibri"/>
          <w:sz w:val="22"/>
          <w:szCs w:val="22"/>
        </w:rPr>
        <w:t>his is where Relay or Reveal function requirements for these services could be spelled out</w:t>
      </w:r>
      <w:r w:rsidR="002B281B">
        <w:rPr>
          <w:rFonts w:ascii="Calibri" w:eastAsia="ＭＳ 明朝" w:hAnsi="Calibri" w:cs="Calibri"/>
          <w:sz w:val="22"/>
          <w:szCs w:val="22"/>
        </w:rPr>
        <w:t>.</w:t>
      </w:r>
    </w:p>
    <w:p w:rsidR="002B281B" w:rsidRDefault="002B281B" w:rsidP="008464FD">
      <w:pPr>
        <w:spacing w:line="360" w:lineRule="auto"/>
        <w:contextualSpacing/>
        <w:rPr>
          <w:rFonts w:ascii="Calibri" w:eastAsia="Times New Roman" w:hAnsi="Calibri" w:cs="Calibri"/>
          <w:color w:val="000000"/>
          <w:sz w:val="22"/>
          <w:szCs w:val="22"/>
        </w:rPr>
      </w:pPr>
    </w:p>
    <w:p w:rsidR="00F7683F" w:rsidRDefault="00873ED8" w:rsidP="008464FD">
      <w:pPr>
        <w:spacing w:line="360" w:lineRule="auto"/>
        <w:contextualSpacing/>
        <w:rPr>
          <w:rFonts w:ascii="Calibri" w:eastAsia="Times New Roman" w:hAnsi="Calibri" w:cs="Calibri"/>
          <w:color w:val="000000"/>
          <w:sz w:val="22"/>
          <w:szCs w:val="22"/>
        </w:rPr>
      </w:pPr>
      <w:r>
        <w:rPr>
          <w:rFonts w:ascii="Calibri" w:eastAsia="Times New Roman" w:hAnsi="Calibri" w:cs="Calibri"/>
          <w:color w:val="000000"/>
          <w:sz w:val="22"/>
          <w:szCs w:val="22"/>
        </w:rPr>
        <w:t>In addition</w:t>
      </w:r>
      <w:r w:rsidR="002B281B">
        <w:rPr>
          <w:rFonts w:ascii="Calibri" w:eastAsia="Times New Roman" w:hAnsi="Calibri" w:cs="Calibri"/>
          <w:color w:val="000000"/>
          <w:sz w:val="22"/>
          <w:szCs w:val="22"/>
        </w:rPr>
        <w:t xml:space="preserve"> to the above</w:t>
      </w:r>
      <w:r>
        <w:rPr>
          <w:rFonts w:ascii="Calibri" w:eastAsia="Times New Roman" w:hAnsi="Calibri" w:cs="Calibri"/>
          <w:color w:val="000000"/>
          <w:sz w:val="22"/>
          <w:szCs w:val="22"/>
        </w:rPr>
        <w:t xml:space="preserve">, early discussions </w:t>
      </w:r>
      <w:r w:rsidR="002B281B">
        <w:rPr>
          <w:rFonts w:ascii="Calibri" w:eastAsia="Times New Roman" w:hAnsi="Calibri" w:cs="Calibri"/>
          <w:color w:val="000000"/>
          <w:sz w:val="22"/>
          <w:szCs w:val="22"/>
        </w:rPr>
        <w:t xml:space="preserve">within this WG indicated </w:t>
      </w:r>
      <w:r>
        <w:rPr>
          <w:rFonts w:ascii="Calibri" w:eastAsia="Times New Roman" w:hAnsi="Calibri" w:cs="Calibri"/>
          <w:color w:val="000000"/>
          <w:sz w:val="22"/>
          <w:szCs w:val="22"/>
        </w:rPr>
        <w:t>that some members thought it would be helpful to also discuss the circumstances under which a PP service provider’s accreditation can be terminated.</w:t>
      </w:r>
      <w:r w:rsidR="00F7683F" w:rsidRPr="004214D3">
        <w:rPr>
          <w:rFonts w:ascii="Calibri" w:eastAsia="Times New Roman" w:hAnsi="Calibri" w:cs="Calibri"/>
          <w:color w:val="000000"/>
          <w:sz w:val="22"/>
          <w:szCs w:val="22"/>
        </w:rPr>
        <w:t xml:space="preserve"> </w:t>
      </w:r>
    </w:p>
    <w:p w:rsidR="00BC6FB9" w:rsidRDefault="00BC6FB9" w:rsidP="008464FD">
      <w:pPr>
        <w:spacing w:line="360" w:lineRule="auto"/>
        <w:contextualSpacing/>
        <w:rPr>
          <w:rFonts w:ascii="Calibri" w:eastAsia="Times New Roman" w:hAnsi="Calibri" w:cs="Calibri"/>
          <w:color w:val="000000"/>
          <w:sz w:val="22"/>
          <w:szCs w:val="22"/>
        </w:rPr>
      </w:pPr>
    </w:p>
    <w:p w:rsidR="00BC6FB9" w:rsidRDefault="00BC6FB9" w:rsidP="00BC6FB9">
      <w:pPr>
        <w:spacing w:line="360" w:lineRule="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Finally, the preliminary models that were presented for initial discussion with the WG by the Registrar Services Team </w:t>
      </w:r>
      <w:r w:rsidR="008F7EF8">
        <w:rPr>
          <w:rFonts w:ascii="Calibri" w:eastAsia="Times New Roman" w:hAnsi="Calibri" w:cs="Calibri"/>
          <w:color w:val="000000"/>
          <w:sz w:val="22"/>
          <w:szCs w:val="22"/>
        </w:rPr>
        <w:t xml:space="preserve">in October 2014 </w:t>
      </w:r>
      <w:r>
        <w:rPr>
          <w:rFonts w:ascii="Calibri" w:eastAsia="Times New Roman" w:hAnsi="Calibri" w:cs="Calibri"/>
          <w:color w:val="000000"/>
          <w:sz w:val="22"/>
          <w:szCs w:val="22"/>
        </w:rPr>
        <w:t>noted the following</w:t>
      </w:r>
      <w:r w:rsidR="008F7EF8">
        <w:rPr>
          <w:rFonts w:ascii="Calibri" w:eastAsia="Times New Roman" w:hAnsi="Calibri" w:cs="Calibri"/>
          <w:color w:val="000000"/>
          <w:sz w:val="22"/>
          <w:szCs w:val="22"/>
        </w:rPr>
        <w:t xml:space="preserve"> considerations</w:t>
      </w:r>
      <w:r>
        <w:rPr>
          <w:rFonts w:ascii="Calibri" w:eastAsia="Times New Roman" w:hAnsi="Calibri" w:cs="Calibri"/>
          <w:color w:val="000000"/>
          <w:sz w:val="22"/>
          <w:szCs w:val="22"/>
        </w:rPr>
        <w:t xml:space="preserve"> in relation to termination issues:</w:t>
      </w:r>
    </w:p>
    <w:p w:rsidR="00BC6FB9" w:rsidRPr="00BC6FB9" w:rsidRDefault="008F7EF8" w:rsidP="00BC6FB9">
      <w:pPr>
        <w:numPr>
          <w:ilvl w:val="0"/>
          <w:numId w:val="10"/>
        </w:numPr>
        <w:spacing w:line="360" w:lineRule="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Under the </w:t>
      </w:r>
      <w:r w:rsidR="00BC6FB9" w:rsidRPr="00BC6FB9">
        <w:rPr>
          <w:rFonts w:ascii="Calibri" w:eastAsia="Times New Roman" w:hAnsi="Calibri" w:cs="Calibri"/>
          <w:color w:val="000000"/>
          <w:sz w:val="22"/>
          <w:szCs w:val="22"/>
        </w:rPr>
        <w:t>Registrar model: terminations require greatest level of coordination among parties and potentially involve greatest risk</w:t>
      </w:r>
    </w:p>
    <w:p w:rsidR="00BC6FB9" w:rsidRPr="00BC6FB9" w:rsidRDefault="008F7EF8" w:rsidP="00BC6FB9">
      <w:pPr>
        <w:numPr>
          <w:ilvl w:val="0"/>
          <w:numId w:val="10"/>
        </w:numPr>
        <w:spacing w:line="360" w:lineRule="auto"/>
        <w:contextualSpacing/>
        <w:rPr>
          <w:rFonts w:ascii="Calibri" w:eastAsia="Times New Roman" w:hAnsi="Calibri" w:cs="Calibri"/>
          <w:color w:val="000000"/>
          <w:sz w:val="22"/>
          <w:szCs w:val="22"/>
        </w:rPr>
      </w:pPr>
      <w:r>
        <w:rPr>
          <w:rFonts w:ascii="Calibri" w:eastAsia="Times New Roman" w:hAnsi="Calibri" w:cs="Calibri"/>
          <w:color w:val="000000"/>
          <w:sz w:val="22"/>
          <w:szCs w:val="22"/>
        </w:rPr>
        <w:t xml:space="preserve">Under the </w:t>
      </w:r>
      <w:r w:rsidR="00BC6FB9" w:rsidRPr="00BC6FB9">
        <w:rPr>
          <w:rFonts w:ascii="Calibri" w:eastAsia="Times New Roman" w:hAnsi="Calibri" w:cs="Calibri"/>
          <w:color w:val="000000"/>
          <w:sz w:val="22"/>
          <w:szCs w:val="22"/>
        </w:rPr>
        <w:t>Reseller model: ICANN could create standardized termination procedure and/or allow some flexibility</w:t>
      </w:r>
    </w:p>
    <w:p w:rsidR="00BC6FB9" w:rsidRPr="00BC6FB9" w:rsidRDefault="008F7EF8" w:rsidP="00BC6FB9">
      <w:pPr>
        <w:numPr>
          <w:ilvl w:val="0"/>
          <w:numId w:val="10"/>
        </w:numPr>
        <w:spacing w:line="360" w:lineRule="auto"/>
        <w:contextualSpacing/>
        <w:rPr>
          <w:rFonts w:ascii="Calibri" w:eastAsia="Times New Roman" w:hAnsi="Calibri" w:cs="Calibri"/>
          <w:color w:val="000000"/>
          <w:sz w:val="22"/>
          <w:szCs w:val="22"/>
        </w:rPr>
      </w:pPr>
      <w:r>
        <w:rPr>
          <w:rFonts w:ascii="Calibri" w:eastAsia="Times New Roman" w:hAnsi="Calibri" w:cs="Calibri"/>
          <w:color w:val="000000"/>
          <w:sz w:val="22"/>
          <w:szCs w:val="22"/>
        </w:rPr>
        <w:t xml:space="preserve">Under the </w:t>
      </w:r>
      <w:bookmarkStart w:id="0" w:name="_GoBack"/>
      <w:bookmarkEnd w:id="0"/>
      <w:r w:rsidR="00BC6FB9" w:rsidRPr="00BC6FB9">
        <w:rPr>
          <w:rFonts w:ascii="Calibri" w:eastAsia="Times New Roman" w:hAnsi="Calibri" w:cs="Calibri"/>
          <w:color w:val="000000"/>
          <w:sz w:val="22"/>
          <w:szCs w:val="22"/>
        </w:rPr>
        <w:t>Escrow model: ICANN could effect terminations (as in registrar model) or apply reseller model approach</w:t>
      </w:r>
    </w:p>
    <w:p w:rsidR="00BC6FB9" w:rsidRPr="00F7683F" w:rsidRDefault="00BC6FB9" w:rsidP="008464FD">
      <w:pPr>
        <w:spacing w:line="360" w:lineRule="auto"/>
        <w:contextualSpacing/>
        <w:rPr>
          <w:rFonts w:ascii="Calibri" w:hAnsi="Calibri"/>
          <w:sz w:val="22"/>
        </w:rPr>
      </w:pPr>
    </w:p>
    <w:p w:rsidR="002B281B" w:rsidRPr="002B281B" w:rsidRDefault="008464FD" w:rsidP="00C471F0">
      <w:pPr>
        <w:spacing w:line="360" w:lineRule="auto"/>
        <w:contextualSpacing/>
        <w:rPr>
          <w:rFonts w:ascii="Calibri" w:hAnsi="Calibri"/>
          <w:b/>
          <w:sz w:val="22"/>
          <w:szCs w:val="22"/>
        </w:rPr>
      </w:pPr>
      <w:r w:rsidRPr="001856C6">
        <w:rPr>
          <w:rFonts w:ascii="Calibri" w:hAnsi="Calibri"/>
          <w:b/>
          <w:sz w:val="22"/>
          <w:szCs w:val="22"/>
        </w:rPr>
        <w:lastRenderedPageBreak/>
        <w:t>Background information relevant to this question:</w:t>
      </w:r>
    </w:p>
    <w:p w:rsidR="00C471F0" w:rsidRPr="00C471F0" w:rsidRDefault="0040452C" w:rsidP="00C471F0">
      <w:pPr>
        <w:spacing w:line="360" w:lineRule="auto"/>
        <w:contextualSpacing/>
        <w:rPr>
          <w:rFonts w:ascii="Calibri" w:hAnsi="Calibri"/>
          <w:i/>
          <w:sz w:val="22"/>
          <w:szCs w:val="22"/>
        </w:rPr>
      </w:pPr>
      <w:proofErr w:type="spellStart"/>
      <w:r w:rsidRPr="001856C6">
        <w:rPr>
          <w:rFonts w:ascii="Calibri" w:hAnsi="Calibri"/>
          <w:i/>
          <w:sz w:val="22"/>
          <w:szCs w:val="22"/>
        </w:rPr>
        <w:t>Whois</w:t>
      </w:r>
      <w:proofErr w:type="spellEnd"/>
      <w:r w:rsidRPr="001856C6">
        <w:rPr>
          <w:rFonts w:ascii="Calibri" w:hAnsi="Calibri"/>
          <w:i/>
          <w:sz w:val="22"/>
          <w:szCs w:val="22"/>
        </w:rPr>
        <w:t xml:space="preserve"> Review Team Final Report</w:t>
      </w:r>
    </w:p>
    <w:p w:rsidR="004821EE" w:rsidRDefault="004821EE" w:rsidP="004821EE">
      <w:pPr>
        <w:widowControl w:val="0"/>
        <w:autoSpaceDE w:val="0"/>
        <w:autoSpaceDN w:val="0"/>
        <w:adjustRightInd w:val="0"/>
        <w:spacing w:line="360" w:lineRule="auto"/>
        <w:rPr>
          <w:rFonts w:ascii="Calibri" w:eastAsia="ＭＳ 明朝" w:hAnsi="Calibri"/>
          <w:sz w:val="22"/>
          <w:szCs w:val="22"/>
        </w:rPr>
      </w:pPr>
      <w:r w:rsidRPr="004821EE">
        <w:rPr>
          <w:rFonts w:ascii="Calibri" w:eastAsia="ＭＳ 明朝" w:hAnsi="Calibri"/>
          <w:sz w:val="22"/>
          <w:szCs w:val="22"/>
        </w:rPr>
        <w:t>ICANN could develop a graduated and enforceable series of penalties for proxy/p</w:t>
      </w:r>
      <w:r>
        <w:rPr>
          <w:rFonts w:ascii="Calibri" w:eastAsia="ＭＳ 明朝" w:hAnsi="Calibri"/>
          <w:sz w:val="22"/>
          <w:szCs w:val="22"/>
        </w:rPr>
        <w:t xml:space="preserve">rivacy </w:t>
      </w:r>
      <w:r w:rsidRPr="004821EE">
        <w:rPr>
          <w:rFonts w:ascii="Calibri" w:eastAsia="ＭＳ 明朝" w:hAnsi="Calibri"/>
          <w:sz w:val="22"/>
          <w:szCs w:val="22"/>
        </w:rPr>
        <w:t xml:space="preserve">service providers who violate the </w:t>
      </w:r>
      <w:r>
        <w:rPr>
          <w:rFonts w:ascii="Calibri" w:eastAsia="ＭＳ 明朝" w:hAnsi="Calibri"/>
          <w:sz w:val="22"/>
          <w:szCs w:val="22"/>
        </w:rPr>
        <w:t xml:space="preserve">[accreditation] </w:t>
      </w:r>
      <w:r w:rsidRPr="004821EE">
        <w:rPr>
          <w:rFonts w:ascii="Calibri" w:eastAsia="ＭＳ 明朝" w:hAnsi="Calibri"/>
          <w:sz w:val="22"/>
          <w:szCs w:val="22"/>
        </w:rPr>
        <w:t>requirements, with a clear path to de-accreditation for repeat, serial or otherwise serious breaches.</w:t>
      </w:r>
    </w:p>
    <w:p w:rsidR="0040452C" w:rsidRPr="001856C6" w:rsidRDefault="0040452C" w:rsidP="00825A09">
      <w:pPr>
        <w:widowControl w:val="0"/>
        <w:autoSpaceDE w:val="0"/>
        <w:autoSpaceDN w:val="0"/>
        <w:adjustRightInd w:val="0"/>
        <w:spacing w:line="360" w:lineRule="auto"/>
        <w:rPr>
          <w:rFonts w:ascii="Calibri" w:eastAsia="ＭＳ 明朝" w:hAnsi="Calibri"/>
          <w:sz w:val="22"/>
          <w:szCs w:val="22"/>
        </w:rPr>
      </w:pPr>
      <w:r w:rsidRPr="001856C6">
        <w:rPr>
          <w:rFonts w:ascii="Calibri" w:eastAsia="ＭＳ 明朝" w:hAnsi="Calibri"/>
          <w:sz w:val="22"/>
          <w:szCs w:val="22"/>
        </w:rPr>
        <w:t>In considering the process to regulate and oversee privacy/proxy service providers, consideration should be given to the following objectives:</w:t>
      </w:r>
    </w:p>
    <w:p w:rsidR="00952B91" w:rsidRPr="001856C6" w:rsidRDefault="00952B91" w:rsidP="00825A09">
      <w:pPr>
        <w:spacing w:line="360" w:lineRule="auto"/>
        <w:contextualSpacing/>
        <w:rPr>
          <w:rFonts w:ascii="Calibri" w:hAnsi="Calibri"/>
          <w:sz w:val="22"/>
          <w:szCs w:val="22"/>
        </w:rPr>
      </w:pPr>
      <w:r w:rsidRPr="001856C6">
        <w:rPr>
          <w:rFonts w:ascii="Calibri" w:hAnsi="Calibri"/>
          <w:sz w:val="22"/>
          <w:szCs w:val="22"/>
        </w:rPr>
        <w:t>(…)</w:t>
      </w:r>
    </w:p>
    <w:p w:rsidR="004821EE" w:rsidRDefault="004821EE" w:rsidP="004821EE">
      <w:pPr>
        <w:numPr>
          <w:ilvl w:val="0"/>
          <w:numId w:val="9"/>
        </w:numPr>
        <w:spacing w:line="360" w:lineRule="auto"/>
        <w:contextualSpacing/>
        <w:rPr>
          <w:rFonts w:ascii="Calibri" w:eastAsia="ＭＳ 明朝" w:hAnsi="Calibri"/>
          <w:sz w:val="22"/>
          <w:szCs w:val="22"/>
        </w:rPr>
      </w:pPr>
      <w:r w:rsidRPr="004821EE">
        <w:rPr>
          <w:rFonts w:ascii="Calibri" w:eastAsia="ＭＳ 明朝" w:hAnsi="Calibri"/>
          <w:sz w:val="22"/>
          <w:szCs w:val="22"/>
        </w:rPr>
        <w:t>Maintaining the privacy and integrity of registrations in the event that major problems arise with a privacy/proxy provider.</w:t>
      </w:r>
    </w:p>
    <w:p w:rsidR="002B281B" w:rsidRDefault="002B281B" w:rsidP="002B281B">
      <w:pPr>
        <w:widowControl w:val="0"/>
        <w:autoSpaceDE w:val="0"/>
        <w:autoSpaceDN w:val="0"/>
        <w:adjustRightInd w:val="0"/>
        <w:spacing w:line="276" w:lineRule="auto"/>
        <w:rPr>
          <w:rFonts w:asciiTheme="majorHAnsi" w:eastAsia="ＭＳ 明朝" w:hAnsiTheme="majorHAnsi" w:cs="Times"/>
          <w:i/>
          <w:sz w:val="22"/>
          <w:szCs w:val="22"/>
        </w:rPr>
      </w:pPr>
    </w:p>
    <w:p w:rsidR="002B281B" w:rsidRPr="002B281B" w:rsidRDefault="002B281B" w:rsidP="002B281B">
      <w:pPr>
        <w:widowControl w:val="0"/>
        <w:autoSpaceDE w:val="0"/>
        <w:autoSpaceDN w:val="0"/>
        <w:adjustRightInd w:val="0"/>
        <w:spacing w:line="276" w:lineRule="auto"/>
        <w:rPr>
          <w:rFonts w:asciiTheme="majorHAnsi" w:eastAsia="ＭＳ 明朝" w:hAnsiTheme="majorHAnsi" w:cs="Times"/>
          <w:i/>
          <w:sz w:val="22"/>
          <w:szCs w:val="22"/>
        </w:rPr>
      </w:pPr>
      <w:r w:rsidRPr="002B281B">
        <w:rPr>
          <w:rFonts w:asciiTheme="majorHAnsi" w:eastAsia="ＭＳ 明朝" w:hAnsiTheme="majorHAnsi" w:cs="Times"/>
          <w:i/>
          <w:sz w:val="22"/>
          <w:szCs w:val="22"/>
        </w:rPr>
        <w:t>Joint GNSO-ALAC RAA Drafting Team Final Report</w:t>
      </w:r>
    </w:p>
    <w:p w:rsidR="004821EE" w:rsidRPr="002B281B" w:rsidRDefault="002B281B" w:rsidP="002B281B">
      <w:pPr>
        <w:widowControl w:val="0"/>
        <w:autoSpaceDE w:val="0"/>
        <w:autoSpaceDN w:val="0"/>
        <w:adjustRightInd w:val="0"/>
        <w:spacing w:after="240" w:line="276" w:lineRule="auto"/>
        <w:rPr>
          <w:rFonts w:asciiTheme="majorHAnsi" w:eastAsia="ＭＳ 明朝" w:hAnsiTheme="majorHAnsi" w:cs="Times"/>
          <w:sz w:val="22"/>
          <w:szCs w:val="22"/>
        </w:rPr>
      </w:pPr>
      <w:r>
        <w:rPr>
          <w:rFonts w:asciiTheme="majorHAnsi" w:eastAsia="ＭＳ 明朝" w:hAnsiTheme="majorHAnsi" w:cs="Calibri"/>
          <w:sz w:val="22"/>
          <w:szCs w:val="22"/>
        </w:rPr>
        <w:t xml:space="preserve">Recommendation 6: </w:t>
      </w:r>
      <w:r w:rsidRPr="002B281B">
        <w:rPr>
          <w:rFonts w:asciiTheme="majorHAnsi" w:eastAsia="ＭＳ 明朝" w:hAnsiTheme="majorHAnsi" w:cs="Calibri"/>
          <w:sz w:val="22"/>
          <w:szCs w:val="22"/>
        </w:rPr>
        <w:t>Registrar responsibility for cancellation under appropriate circumstances of registrations made by other privacy/proxy services for noncompliance with Relay and Reveal</w:t>
      </w:r>
      <w:r>
        <w:rPr>
          <w:rFonts w:asciiTheme="majorHAnsi" w:eastAsia="ＭＳ 明朝" w:hAnsiTheme="majorHAnsi" w:cs="Times"/>
          <w:sz w:val="22"/>
          <w:szCs w:val="22"/>
        </w:rPr>
        <w:t xml:space="preserve">. </w:t>
      </w:r>
      <w:r w:rsidRPr="002B281B">
        <w:rPr>
          <w:rFonts w:asciiTheme="majorHAnsi" w:eastAsia="ＭＳ 明朝" w:hAnsiTheme="majorHAnsi" w:cs="Calibri"/>
          <w:sz w:val="22"/>
          <w:szCs w:val="22"/>
        </w:rPr>
        <w:t>This applies to proxy services not offered by the registrar in connection with registration, i.e., independent services. This is where Relay or Reveal function requirements for these services could be spelled out</w:t>
      </w:r>
      <w:r>
        <w:rPr>
          <w:rFonts w:asciiTheme="majorHAnsi" w:eastAsia="ＭＳ 明朝" w:hAnsiTheme="majorHAnsi" w:cs="Calibri"/>
          <w:sz w:val="22"/>
          <w:szCs w:val="22"/>
        </w:rPr>
        <w:t>.</w:t>
      </w:r>
    </w:p>
    <w:p w:rsidR="00366BA2" w:rsidRPr="002C02E1" w:rsidRDefault="00366BA2" w:rsidP="001A52DE">
      <w:pPr>
        <w:spacing w:line="360" w:lineRule="auto"/>
        <w:contextualSpacing/>
        <w:rPr>
          <w:rFonts w:ascii="Calibri" w:hAnsi="Calibri"/>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2"/>
        <w:gridCol w:w="2545"/>
        <w:gridCol w:w="2999"/>
        <w:gridCol w:w="3010"/>
      </w:tblGrid>
      <w:tr w:rsidR="006B679E" w:rsidRPr="00E3587C" w:rsidTr="006B679E">
        <w:tc>
          <w:tcPr>
            <w:tcW w:w="4622" w:type="dxa"/>
            <w:tcBorders>
              <w:bottom w:val="single" w:sz="4" w:space="0" w:color="000000"/>
            </w:tcBorders>
            <w:shd w:val="clear" w:color="auto" w:fill="CCCCCC"/>
          </w:tcPr>
          <w:p w:rsidR="006B679E" w:rsidRPr="00E3587C" w:rsidRDefault="006B679E" w:rsidP="00B5047A">
            <w:pPr>
              <w:contextualSpacing/>
              <w:rPr>
                <w:rFonts w:ascii="Calibri" w:hAnsi="Calibri"/>
                <w:b/>
                <w:sz w:val="22"/>
              </w:rPr>
            </w:pPr>
            <w:r w:rsidRPr="00FF415E">
              <w:rPr>
                <w:rFonts w:ascii="Calibri" w:hAnsi="Calibri" w:cs="Calibri"/>
                <w:b/>
                <w:sz w:val="22"/>
                <w:szCs w:val="22"/>
              </w:rPr>
              <w:t>What types of services should be covered, and what would be the forms of non-compliance that would tri</w:t>
            </w:r>
            <w:r>
              <w:rPr>
                <w:rFonts w:ascii="Calibri" w:hAnsi="Calibri" w:cs="Calibri"/>
                <w:b/>
                <w:sz w:val="22"/>
                <w:szCs w:val="22"/>
              </w:rPr>
              <w:t>gger cancellation or suspension</w:t>
            </w:r>
            <w:r w:rsidRPr="00BA47AB">
              <w:rPr>
                <w:rFonts w:ascii="Calibri" w:hAnsi="Calibri" w:cs="Calibri"/>
                <w:b/>
                <w:sz w:val="22"/>
                <w:szCs w:val="22"/>
              </w:rPr>
              <w:t>?</w:t>
            </w:r>
          </w:p>
        </w:tc>
        <w:tc>
          <w:tcPr>
            <w:tcW w:w="2545" w:type="dxa"/>
            <w:tcBorders>
              <w:bottom w:val="single" w:sz="4" w:space="0" w:color="000000"/>
            </w:tcBorders>
            <w:shd w:val="clear" w:color="auto" w:fill="CCCCCC"/>
          </w:tcPr>
          <w:p w:rsidR="006B679E" w:rsidRPr="00E3587C" w:rsidRDefault="006B679E" w:rsidP="00B5047A">
            <w:pPr>
              <w:contextualSpacing/>
              <w:rPr>
                <w:rFonts w:ascii="Calibri" w:hAnsi="Calibri"/>
                <w:b/>
                <w:sz w:val="22"/>
              </w:rPr>
            </w:pPr>
            <w:r w:rsidRPr="00E3587C">
              <w:rPr>
                <w:rFonts w:ascii="Calibri" w:hAnsi="Calibri"/>
                <w:b/>
                <w:sz w:val="22"/>
              </w:rPr>
              <w:t xml:space="preserve">Who </w:t>
            </w:r>
          </w:p>
        </w:tc>
        <w:tc>
          <w:tcPr>
            <w:tcW w:w="2999" w:type="dxa"/>
            <w:tcBorders>
              <w:bottom w:val="single" w:sz="4" w:space="0" w:color="000000"/>
            </w:tcBorders>
            <w:shd w:val="clear" w:color="auto" w:fill="CCCCCC"/>
          </w:tcPr>
          <w:p w:rsidR="006B679E" w:rsidRPr="00E3587C" w:rsidRDefault="006B679E" w:rsidP="003E40B7">
            <w:pPr>
              <w:contextualSpacing/>
              <w:rPr>
                <w:rFonts w:ascii="Calibri" w:hAnsi="Calibri"/>
                <w:b/>
                <w:sz w:val="22"/>
              </w:rPr>
            </w:pPr>
            <w:r>
              <w:rPr>
                <w:rFonts w:ascii="Calibri" w:hAnsi="Calibri"/>
                <w:b/>
                <w:sz w:val="22"/>
              </w:rPr>
              <w:t>WG Discussion/Response</w:t>
            </w:r>
          </w:p>
        </w:tc>
        <w:tc>
          <w:tcPr>
            <w:tcW w:w="3010" w:type="dxa"/>
            <w:tcBorders>
              <w:bottom w:val="single" w:sz="4" w:space="0" w:color="000000"/>
            </w:tcBorders>
            <w:shd w:val="clear" w:color="auto" w:fill="CCCCCC"/>
          </w:tcPr>
          <w:p w:rsidR="006B679E" w:rsidRPr="00E3587C" w:rsidRDefault="006B679E" w:rsidP="003E40B7">
            <w:pPr>
              <w:contextualSpacing/>
              <w:rPr>
                <w:rFonts w:ascii="Calibri" w:hAnsi="Calibri"/>
                <w:b/>
                <w:sz w:val="22"/>
              </w:rPr>
            </w:pPr>
            <w:r w:rsidRPr="00E3587C">
              <w:rPr>
                <w:rFonts w:ascii="Calibri" w:hAnsi="Calibri"/>
                <w:b/>
                <w:sz w:val="22"/>
              </w:rPr>
              <w:t>Recommended Action</w:t>
            </w:r>
            <w:r>
              <w:rPr>
                <w:rFonts w:ascii="Calibri" w:hAnsi="Calibri"/>
                <w:b/>
                <w:sz w:val="22"/>
              </w:rPr>
              <w:t xml:space="preserve"> (if any)</w:t>
            </w:r>
          </w:p>
        </w:tc>
      </w:tr>
      <w:tr w:rsidR="006B679E" w:rsidRPr="00E3587C" w:rsidTr="006B679E">
        <w:tc>
          <w:tcPr>
            <w:tcW w:w="4622" w:type="dxa"/>
          </w:tcPr>
          <w:p w:rsidR="006B679E" w:rsidRPr="001856C6" w:rsidRDefault="006B679E" w:rsidP="00AB11C2">
            <w:pPr>
              <w:widowControl w:val="0"/>
              <w:autoSpaceDE w:val="0"/>
              <w:autoSpaceDN w:val="0"/>
              <w:adjustRightInd w:val="0"/>
              <w:rPr>
                <w:rFonts w:ascii="Calibri" w:eastAsia="ＭＳ 明朝" w:hAnsi="Calibri"/>
                <w:sz w:val="22"/>
                <w:szCs w:val="22"/>
              </w:rPr>
            </w:pPr>
            <w:r>
              <w:rPr>
                <w:rFonts w:ascii="Calibri" w:eastAsia="ＭＳ 明朝" w:hAnsi="Calibri"/>
                <w:sz w:val="22"/>
                <w:szCs w:val="22"/>
              </w:rPr>
              <w:t xml:space="preserve">Breach of the provider/registrant contract should trigger known and documented procedures for cancellation. The procedures should be clear in order to limit transfers and substantial changes to domain name contact information while the service is being suspended and cancelled. Allowing a registrant to modify all verified contact information, providing inaccurate information, before a cancellation or suspension, would undermine the initial verification of the registrant data.  </w:t>
            </w:r>
          </w:p>
        </w:tc>
        <w:tc>
          <w:tcPr>
            <w:tcW w:w="2545" w:type="dxa"/>
          </w:tcPr>
          <w:p w:rsidR="006B679E" w:rsidRPr="00E3587C" w:rsidRDefault="006B679E" w:rsidP="00B5047A">
            <w:pPr>
              <w:contextualSpacing/>
              <w:rPr>
                <w:rFonts w:ascii="Calibri" w:hAnsi="Calibri"/>
                <w:sz w:val="22"/>
              </w:rPr>
            </w:pPr>
            <w:r>
              <w:rPr>
                <w:rFonts w:ascii="Calibri" w:hAnsi="Calibri"/>
                <w:sz w:val="22"/>
              </w:rPr>
              <w:t>Emily Emanuel, John Horton, Justin Macy (</w:t>
            </w:r>
            <w:proofErr w:type="spellStart"/>
            <w:r>
              <w:rPr>
                <w:rFonts w:ascii="Calibri" w:hAnsi="Calibri"/>
                <w:sz w:val="22"/>
              </w:rPr>
              <w:t>LegitScript</w:t>
            </w:r>
            <w:proofErr w:type="spellEnd"/>
            <w:r>
              <w:rPr>
                <w:rFonts w:ascii="Calibri" w:hAnsi="Calibri"/>
                <w:sz w:val="22"/>
              </w:rPr>
              <w:t>)</w:t>
            </w:r>
          </w:p>
        </w:tc>
        <w:tc>
          <w:tcPr>
            <w:tcW w:w="2999" w:type="dxa"/>
          </w:tcPr>
          <w:p w:rsidR="006B679E" w:rsidRPr="00BB5F84" w:rsidRDefault="006B679E" w:rsidP="00EC7DD9">
            <w:pPr>
              <w:ind w:left="360"/>
              <w:contextualSpacing/>
              <w:rPr>
                <w:rFonts w:ascii="Calibri" w:hAnsi="Calibri"/>
                <w:sz w:val="22"/>
              </w:rPr>
            </w:pPr>
          </w:p>
        </w:tc>
        <w:tc>
          <w:tcPr>
            <w:tcW w:w="3010" w:type="dxa"/>
          </w:tcPr>
          <w:p w:rsidR="006B679E" w:rsidRPr="00BB5F84" w:rsidRDefault="006B679E" w:rsidP="00EC7DD9">
            <w:pPr>
              <w:ind w:left="360"/>
              <w:contextualSpacing/>
              <w:rPr>
                <w:rFonts w:ascii="Calibri" w:hAnsi="Calibri"/>
                <w:sz w:val="22"/>
              </w:rPr>
            </w:pPr>
          </w:p>
        </w:tc>
      </w:tr>
      <w:tr w:rsidR="006B679E" w:rsidRPr="00E3587C" w:rsidTr="006B679E">
        <w:tc>
          <w:tcPr>
            <w:tcW w:w="4622" w:type="dxa"/>
            <w:tcBorders>
              <w:bottom w:val="single" w:sz="4" w:space="0" w:color="000000"/>
            </w:tcBorders>
          </w:tcPr>
          <w:p w:rsidR="006B679E" w:rsidRPr="00E3587C" w:rsidRDefault="006B679E" w:rsidP="000928EF">
            <w:pPr>
              <w:widowControl w:val="0"/>
              <w:autoSpaceDE w:val="0"/>
              <w:autoSpaceDN w:val="0"/>
              <w:adjustRightInd w:val="0"/>
              <w:rPr>
                <w:rFonts w:ascii="Times" w:hAnsi="Times"/>
                <w:sz w:val="20"/>
                <w:szCs w:val="20"/>
              </w:rPr>
            </w:pPr>
            <w:r>
              <w:rPr>
                <w:rFonts w:ascii="Calibri" w:eastAsia="ＭＳ 明朝" w:hAnsi="Calibri"/>
                <w:sz w:val="22"/>
                <w:szCs w:val="22"/>
              </w:rPr>
              <w:t>Any service that seeks to post in WHOIS any data substituting for the actual name, contact information etc. of the domain name registrant should be cancelled</w:t>
            </w:r>
            <w:r w:rsidRPr="001856C6">
              <w:rPr>
                <w:rFonts w:ascii="Calibri" w:eastAsia="ＭＳ 明朝" w:hAnsi="Calibri"/>
                <w:sz w:val="22"/>
                <w:szCs w:val="22"/>
              </w:rPr>
              <w:t>.</w:t>
            </w:r>
          </w:p>
        </w:tc>
        <w:tc>
          <w:tcPr>
            <w:tcW w:w="2545" w:type="dxa"/>
            <w:tcBorders>
              <w:bottom w:val="single" w:sz="4" w:space="0" w:color="000000"/>
            </w:tcBorders>
          </w:tcPr>
          <w:p w:rsidR="006B679E" w:rsidRPr="00E3587C" w:rsidRDefault="006B679E" w:rsidP="000928EF">
            <w:pPr>
              <w:widowControl w:val="0"/>
              <w:autoSpaceDE w:val="0"/>
              <w:autoSpaceDN w:val="0"/>
              <w:adjustRightInd w:val="0"/>
              <w:rPr>
                <w:rFonts w:ascii="Calibri" w:hAnsi="Calibri"/>
                <w:sz w:val="22"/>
              </w:rPr>
            </w:pPr>
            <w:r w:rsidRPr="001856C6">
              <w:rPr>
                <w:rFonts w:ascii="Calibri" w:eastAsia="ＭＳ 明朝" w:hAnsi="Calibri"/>
                <w:sz w:val="22"/>
                <w:szCs w:val="22"/>
              </w:rPr>
              <w:t xml:space="preserve">Keith </w:t>
            </w:r>
            <w:proofErr w:type="spellStart"/>
            <w:r w:rsidRPr="001856C6">
              <w:rPr>
                <w:rFonts w:ascii="Calibri" w:eastAsia="ＭＳ 明朝" w:hAnsi="Calibri"/>
                <w:sz w:val="22"/>
                <w:szCs w:val="22"/>
              </w:rPr>
              <w:t>Kupferschmid</w:t>
            </w:r>
            <w:proofErr w:type="spellEnd"/>
          </w:p>
        </w:tc>
        <w:tc>
          <w:tcPr>
            <w:tcW w:w="2999" w:type="dxa"/>
            <w:tcBorders>
              <w:bottom w:val="single" w:sz="4" w:space="0" w:color="000000"/>
            </w:tcBorders>
          </w:tcPr>
          <w:p w:rsidR="006B679E" w:rsidRPr="00E3587C" w:rsidRDefault="006B679E" w:rsidP="00B5047A">
            <w:pPr>
              <w:contextualSpacing/>
              <w:rPr>
                <w:rFonts w:ascii="Calibri" w:hAnsi="Calibri"/>
                <w:sz w:val="22"/>
              </w:rPr>
            </w:pPr>
          </w:p>
        </w:tc>
        <w:tc>
          <w:tcPr>
            <w:tcW w:w="3010" w:type="dxa"/>
            <w:tcBorders>
              <w:bottom w:val="single" w:sz="4" w:space="0" w:color="000000"/>
            </w:tcBorders>
          </w:tcPr>
          <w:p w:rsidR="006B679E" w:rsidRPr="00E3587C" w:rsidRDefault="006B679E" w:rsidP="00B5047A">
            <w:pPr>
              <w:contextualSpacing/>
              <w:rPr>
                <w:rFonts w:ascii="Calibri" w:hAnsi="Calibri"/>
                <w:sz w:val="22"/>
              </w:rPr>
            </w:pPr>
          </w:p>
        </w:tc>
      </w:tr>
      <w:tr w:rsidR="006B679E" w:rsidRPr="00E3587C" w:rsidTr="006B679E">
        <w:tc>
          <w:tcPr>
            <w:tcW w:w="4622" w:type="dxa"/>
            <w:tcBorders>
              <w:bottom w:val="single" w:sz="4" w:space="0" w:color="000000"/>
            </w:tcBorders>
          </w:tcPr>
          <w:p w:rsidR="006B679E" w:rsidRPr="001856C6" w:rsidRDefault="006B679E" w:rsidP="006B679E">
            <w:pPr>
              <w:widowControl w:val="0"/>
              <w:autoSpaceDE w:val="0"/>
              <w:autoSpaceDN w:val="0"/>
              <w:adjustRightInd w:val="0"/>
              <w:rPr>
                <w:rFonts w:ascii="Calibri" w:eastAsia="ＭＳ 明朝" w:hAnsi="Calibri"/>
                <w:sz w:val="22"/>
                <w:szCs w:val="22"/>
              </w:rPr>
            </w:pPr>
            <w:r>
              <w:rPr>
                <w:rFonts w:ascii="Calibri" w:eastAsia="ＭＳ 明朝" w:hAnsi="Calibri"/>
                <w:sz w:val="22"/>
                <w:szCs w:val="22"/>
              </w:rPr>
              <w:t>Both privacy and proxy services should be covered</w:t>
            </w:r>
            <w:r w:rsidRPr="001856C6">
              <w:rPr>
                <w:rFonts w:ascii="Calibri" w:eastAsia="ＭＳ 明朝" w:hAnsi="Calibri"/>
                <w:sz w:val="22"/>
                <w:szCs w:val="22"/>
              </w:rPr>
              <w:t>.</w:t>
            </w:r>
            <w:r>
              <w:rPr>
                <w:rFonts w:ascii="Calibri" w:eastAsia="ＭＳ 明朝" w:hAnsi="Calibri"/>
                <w:sz w:val="22"/>
                <w:szCs w:val="22"/>
              </w:rPr>
              <w:t xml:space="preserve"> If the provider is non-compliant in revealing the information after a set period (e.g. 15 calendar days) then the applicable registry may direct it to comply. If it fails to comply, ICANN may revoke its registration. It may also be useful to have some sort of “three strikes” system whereby PP customers who have been found to violate the law (e.g. UDRP, URS, court of competent jurisdiction etc.) three times are placed on a blacklist and forbidden from any future use of PP services.</w:t>
            </w:r>
          </w:p>
        </w:tc>
        <w:tc>
          <w:tcPr>
            <w:tcW w:w="2545" w:type="dxa"/>
            <w:tcBorders>
              <w:bottom w:val="single" w:sz="4" w:space="0" w:color="000000"/>
            </w:tcBorders>
          </w:tcPr>
          <w:p w:rsidR="006B679E" w:rsidRPr="001856C6" w:rsidRDefault="006B679E" w:rsidP="000928EF">
            <w:pPr>
              <w:widowControl w:val="0"/>
              <w:autoSpaceDE w:val="0"/>
              <w:autoSpaceDN w:val="0"/>
              <w:adjustRightInd w:val="0"/>
              <w:rPr>
                <w:rFonts w:ascii="Calibri" w:eastAsia="ＭＳ 明朝" w:hAnsi="Calibri"/>
                <w:sz w:val="22"/>
                <w:szCs w:val="22"/>
              </w:rPr>
            </w:pPr>
            <w:r w:rsidRPr="001856C6">
              <w:rPr>
                <w:rFonts w:ascii="Calibri" w:eastAsia="ＭＳ 明朝" w:hAnsi="Calibri"/>
                <w:sz w:val="22"/>
                <w:szCs w:val="22"/>
              </w:rPr>
              <w:t xml:space="preserve">Jim </w:t>
            </w:r>
            <w:proofErr w:type="spellStart"/>
            <w:r w:rsidRPr="001856C6">
              <w:rPr>
                <w:rFonts w:ascii="Calibri" w:eastAsia="ＭＳ 明朝" w:hAnsi="Calibri"/>
                <w:sz w:val="22"/>
                <w:szCs w:val="22"/>
              </w:rPr>
              <w:t>Bikoff</w:t>
            </w:r>
            <w:proofErr w:type="spellEnd"/>
            <w:r w:rsidRPr="001856C6">
              <w:rPr>
                <w:rFonts w:ascii="Calibri" w:eastAsia="ＭＳ 明朝" w:hAnsi="Calibri"/>
                <w:sz w:val="22"/>
                <w:szCs w:val="22"/>
              </w:rPr>
              <w:t xml:space="preserve">, David </w:t>
            </w:r>
            <w:proofErr w:type="spellStart"/>
            <w:r w:rsidRPr="001856C6">
              <w:rPr>
                <w:rFonts w:ascii="Calibri" w:eastAsia="ＭＳ 明朝" w:hAnsi="Calibri"/>
                <w:sz w:val="22"/>
                <w:szCs w:val="22"/>
              </w:rPr>
              <w:t>Heasley</w:t>
            </w:r>
            <w:proofErr w:type="spellEnd"/>
            <w:r w:rsidRPr="001856C6">
              <w:rPr>
                <w:rFonts w:ascii="Calibri" w:eastAsia="ＭＳ 明朝" w:hAnsi="Calibri"/>
                <w:sz w:val="22"/>
                <w:szCs w:val="22"/>
              </w:rPr>
              <w:t xml:space="preserve">, Griffin Barnett, </w:t>
            </w:r>
            <w:proofErr w:type="spellStart"/>
            <w:r w:rsidRPr="001856C6">
              <w:rPr>
                <w:rFonts w:ascii="Calibri" w:eastAsia="ＭＳ 明朝" w:hAnsi="Calibri"/>
                <w:sz w:val="22"/>
                <w:szCs w:val="22"/>
              </w:rPr>
              <w:t>Valeriya</w:t>
            </w:r>
            <w:proofErr w:type="spellEnd"/>
          </w:p>
          <w:p w:rsidR="006B679E" w:rsidRDefault="006B679E" w:rsidP="000928EF">
            <w:pPr>
              <w:widowControl w:val="0"/>
              <w:autoSpaceDE w:val="0"/>
              <w:autoSpaceDN w:val="0"/>
              <w:adjustRightInd w:val="0"/>
              <w:rPr>
                <w:rFonts w:ascii="Calibri" w:hAnsi="Calibri"/>
                <w:sz w:val="22"/>
              </w:rPr>
            </w:pPr>
            <w:r w:rsidRPr="001856C6">
              <w:rPr>
                <w:rFonts w:ascii="Calibri" w:eastAsia="ＭＳ 明朝" w:hAnsi="Calibri"/>
                <w:sz w:val="22"/>
                <w:szCs w:val="22"/>
              </w:rPr>
              <w:t xml:space="preserve">Sherman / Silverberg, Goldman &amp; </w:t>
            </w:r>
            <w:proofErr w:type="spellStart"/>
            <w:r w:rsidRPr="001856C6">
              <w:rPr>
                <w:rFonts w:ascii="Calibri" w:eastAsia="ＭＳ 明朝" w:hAnsi="Calibri"/>
                <w:sz w:val="22"/>
                <w:szCs w:val="22"/>
              </w:rPr>
              <w:t>Bikoff</w:t>
            </w:r>
            <w:proofErr w:type="spellEnd"/>
            <w:r w:rsidRPr="001856C6">
              <w:rPr>
                <w:rFonts w:ascii="Calibri" w:eastAsia="ＭＳ 明朝" w:hAnsi="Calibri"/>
                <w:sz w:val="22"/>
                <w:szCs w:val="22"/>
              </w:rPr>
              <w:t>, LLP</w:t>
            </w:r>
          </w:p>
        </w:tc>
        <w:tc>
          <w:tcPr>
            <w:tcW w:w="2999" w:type="dxa"/>
            <w:tcBorders>
              <w:bottom w:val="single" w:sz="4" w:space="0" w:color="000000"/>
            </w:tcBorders>
          </w:tcPr>
          <w:p w:rsidR="006B679E" w:rsidRPr="00F941BA" w:rsidRDefault="006B679E" w:rsidP="0041164E">
            <w:pPr>
              <w:contextualSpacing/>
              <w:rPr>
                <w:rFonts w:ascii="Calibri" w:hAnsi="Calibri"/>
                <w:b/>
                <w:sz w:val="22"/>
              </w:rPr>
            </w:pPr>
          </w:p>
        </w:tc>
        <w:tc>
          <w:tcPr>
            <w:tcW w:w="3010" w:type="dxa"/>
            <w:tcBorders>
              <w:bottom w:val="single" w:sz="4" w:space="0" w:color="000000"/>
            </w:tcBorders>
          </w:tcPr>
          <w:p w:rsidR="006B679E" w:rsidRPr="00F941BA" w:rsidRDefault="006B679E" w:rsidP="0041164E">
            <w:pPr>
              <w:contextualSpacing/>
              <w:rPr>
                <w:rFonts w:ascii="Calibri" w:hAnsi="Calibri"/>
                <w:b/>
                <w:sz w:val="22"/>
              </w:rPr>
            </w:pPr>
          </w:p>
        </w:tc>
      </w:tr>
      <w:tr w:rsidR="006B679E" w:rsidRPr="00E3587C" w:rsidTr="006B679E">
        <w:tc>
          <w:tcPr>
            <w:tcW w:w="4622" w:type="dxa"/>
            <w:tcBorders>
              <w:bottom w:val="single" w:sz="4" w:space="0" w:color="000000"/>
            </w:tcBorders>
          </w:tcPr>
          <w:p w:rsidR="006B679E" w:rsidRDefault="006B679E" w:rsidP="006B679E">
            <w:pPr>
              <w:widowControl w:val="0"/>
              <w:autoSpaceDE w:val="0"/>
              <w:autoSpaceDN w:val="0"/>
              <w:adjustRightInd w:val="0"/>
              <w:rPr>
                <w:rFonts w:ascii="Calibri" w:eastAsia="ＭＳ 明朝" w:hAnsi="Calibri"/>
                <w:sz w:val="22"/>
                <w:szCs w:val="22"/>
              </w:rPr>
            </w:pPr>
            <w:r>
              <w:rPr>
                <w:rFonts w:ascii="Calibri" w:eastAsia="ＭＳ 明朝" w:hAnsi="Calibri"/>
                <w:sz w:val="22"/>
                <w:szCs w:val="22"/>
              </w:rPr>
              <w:t xml:space="preserve">Failure to provide correct identification data, or if the registrant sells the domain name to someone else to identify the person responsible for the online content or activity at the domain name. </w:t>
            </w:r>
          </w:p>
        </w:tc>
        <w:tc>
          <w:tcPr>
            <w:tcW w:w="2545" w:type="dxa"/>
            <w:tcBorders>
              <w:bottom w:val="single" w:sz="4" w:space="0" w:color="000000"/>
            </w:tcBorders>
          </w:tcPr>
          <w:p w:rsidR="006B679E" w:rsidRPr="001856C6" w:rsidRDefault="006B679E" w:rsidP="000928EF">
            <w:pPr>
              <w:widowControl w:val="0"/>
              <w:autoSpaceDE w:val="0"/>
              <w:autoSpaceDN w:val="0"/>
              <w:adjustRightInd w:val="0"/>
              <w:rPr>
                <w:rFonts w:ascii="Calibri" w:eastAsia="ＭＳ 明朝" w:hAnsi="Calibri"/>
                <w:sz w:val="22"/>
                <w:szCs w:val="22"/>
              </w:rPr>
            </w:pPr>
            <w:proofErr w:type="spellStart"/>
            <w:r>
              <w:rPr>
                <w:rFonts w:ascii="Calibri" w:eastAsia="ＭＳ 明朝" w:hAnsi="Calibri"/>
                <w:sz w:val="22"/>
                <w:szCs w:val="22"/>
              </w:rPr>
              <w:t>Gema</w:t>
            </w:r>
            <w:proofErr w:type="spellEnd"/>
            <w:r>
              <w:rPr>
                <w:rFonts w:ascii="Calibri" w:eastAsia="ＭＳ 明朝" w:hAnsi="Calibri"/>
                <w:sz w:val="22"/>
                <w:szCs w:val="22"/>
              </w:rPr>
              <w:t xml:space="preserve"> </w:t>
            </w:r>
            <w:proofErr w:type="spellStart"/>
            <w:r>
              <w:rPr>
                <w:rFonts w:ascii="Calibri" w:eastAsia="ＭＳ 明朝" w:hAnsi="Calibri"/>
                <w:sz w:val="22"/>
                <w:szCs w:val="22"/>
              </w:rPr>
              <w:t>Campillos</w:t>
            </w:r>
            <w:proofErr w:type="spellEnd"/>
          </w:p>
        </w:tc>
        <w:tc>
          <w:tcPr>
            <w:tcW w:w="2999" w:type="dxa"/>
            <w:tcBorders>
              <w:bottom w:val="single" w:sz="4" w:space="0" w:color="000000"/>
            </w:tcBorders>
          </w:tcPr>
          <w:p w:rsidR="006B679E" w:rsidRPr="00F941BA" w:rsidRDefault="006B679E" w:rsidP="0041164E">
            <w:pPr>
              <w:contextualSpacing/>
              <w:rPr>
                <w:rFonts w:ascii="Calibri" w:hAnsi="Calibri"/>
                <w:b/>
                <w:sz w:val="22"/>
              </w:rPr>
            </w:pPr>
          </w:p>
        </w:tc>
        <w:tc>
          <w:tcPr>
            <w:tcW w:w="3010" w:type="dxa"/>
            <w:tcBorders>
              <w:bottom w:val="single" w:sz="4" w:space="0" w:color="000000"/>
            </w:tcBorders>
          </w:tcPr>
          <w:p w:rsidR="006B679E" w:rsidRPr="00F941BA" w:rsidRDefault="006B679E" w:rsidP="0041164E">
            <w:pPr>
              <w:contextualSpacing/>
              <w:rPr>
                <w:rFonts w:ascii="Calibri" w:hAnsi="Calibri"/>
                <w:b/>
                <w:sz w:val="22"/>
              </w:rPr>
            </w:pPr>
          </w:p>
        </w:tc>
      </w:tr>
    </w:tbl>
    <w:p w:rsidR="00C31BAA" w:rsidRDefault="00C31B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0091"/>
      </w:tblGrid>
      <w:tr w:rsidR="00B7495E" w:rsidTr="00E00659">
        <w:tc>
          <w:tcPr>
            <w:tcW w:w="3085" w:type="dxa"/>
            <w:tcBorders>
              <w:bottom w:val="single" w:sz="4" w:space="0" w:color="auto"/>
            </w:tcBorders>
            <w:shd w:val="clear" w:color="auto" w:fill="C0C0C0"/>
          </w:tcPr>
          <w:p w:rsidR="00B7495E" w:rsidRDefault="00B7495E"/>
        </w:tc>
        <w:tc>
          <w:tcPr>
            <w:tcW w:w="10091" w:type="dxa"/>
            <w:shd w:val="clear" w:color="auto" w:fill="C0C0C0"/>
          </w:tcPr>
          <w:p w:rsidR="00B7495E" w:rsidRDefault="000E2EF9">
            <w:r w:rsidRPr="00FF415E">
              <w:rPr>
                <w:rFonts w:ascii="Calibri" w:hAnsi="Calibri" w:cs="Calibri"/>
                <w:b/>
                <w:sz w:val="22"/>
                <w:szCs w:val="22"/>
              </w:rPr>
              <w:t>What types of services should be covered, and what would be the forms of non-compliance that would tri</w:t>
            </w:r>
            <w:r>
              <w:rPr>
                <w:rFonts w:ascii="Calibri" w:hAnsi="Calibri" w:cs="Calibri"/>
                <w:b/>
                <w:sz w:val="22"/>
                <w:szCs w:val="22"/>
              </w:rPr>
              <w:t>gger cancellation or suspension</w:t>
            </w:r>
            <w:r w:rsidR="00BA47AB" w:rsidRPr="00BA47AB">
              <w:rPr>
                <w:rFonts w:ascii="Calibri" w:hAnsi="Calibri" w:cs="Calibri"/>
                <w:b/>
                <w:sz w:val="22"/>
                <w:szCs w:val="22"/>
              </w:rPr>
              <w:t>?</w:t>
            </w:r>
          </w:p>
        </w:tc>
      </w:tr>
      <w:tr w:rsidR="00B7495E" w:rsidTr="00E00659">
        <w:tc>
          <w:tcPr>
            <w:tcW w:w="3085" w:type="dxa"/>
            <w:shd w:val="clear" w:color="auto" w:fill="C0C0C0"/>
          </w:tcPr>
          <w:p w:rsidR="00B7495E" w:rsidRPr="00E00659" w:rsidRDefault="00B7495E">
            <w:pPr>
              <w:rPr>
                <w:rFonts w:ascii="Calibri" w:hAnsi="Calibri"/>
                <w:b/>
                <w:sz w:val="22"/>
                <w:szCs w:val="22"/>
              </w:rPr>
            </w:pPr>
            <w:r w:rsidRPr="00E00659">
              <w:rPr>
                <w:rFonts w:ascii="Calibri" w:hAnsi="Calibri"/>
                <w:b/>
                <w:sz w:val="22"/>
                <w:szCs w:val="22"/>
              </w:rPr>
              <w:t>WG Preliminary Conclusion</w:t>
            </w:r>
          </w:p>
        </w:tc>
        <w:tc>
          <w:tcPr>
            <w:tcW w:w="10091" w:type="dxa"/>
            <w:shd w:val="clear" w:color="auto" w:fill="auto"/>
          </w:tcPr>
          <w:p w:rsidR="00147856" w:rsidRDefault="00147856" w:rsidP="001C0E41">
            <w:pPr>
              <w:rPr>
                <w:rFonts w:ascii="Calibri" w:hAnsi="Calibri"/>
                <w:sz w:val="22"/>
                <w:szCs w:val="22"/>
              </w:rPr>
            </w:pPr>
          </w:p>
          <w:p w:rsidR="00E22C62" w:rsidRPr="00E00659" w:rsidRDefault="00E22C62" w:rsidP="001C0E41">
            <w:pPr>
              <w:rPr>
                <w:rFonts w:ascii="Calibri" w:hAnsi="Calibri"/>
                <w:sz w:val="22"/>
                <w:szCs w:val="22"/>
              </w:rPr>
            </w:pPr>
          </w:p>
        </w:tc>
      </w:tr>
      <w:tr w:rsidR="00B7495E" w:rsidTr="00E00659">
        <w:tc>
          <w:tcPr>
            <w:tcW w:w="3085" w:type="dxa"/>
            <w:shd w:val="clear" w:color="auto" w:fill="C0C0C0"/>
          </w:tcPr>
          <w:p w:rsidR="00B7495E" w:rsidRPr="00E00659" w:rsidRDefault="00B7495E">
            <w:pPr>
              <w:rPr>
                <w:rFonts w:ascii="Calibri" w:hAnsi="Calibri"/>
                <w:b/>
                <w:sz w:val="22"/>
                <w:szCs w:val="22"/>
              </w:rPr>
            </w:pPr>
            <w:r w:rsidRPr="00E00659">
              <w:rPr>
                <w:rFonts w:ascii="Calibri" w:hAnsi="Calibri"/>
                <w:b/>
                <w:sz w:val="22"/>
                <w:szCs w:val="22"/>
              </w:rPr>
              <w:t>Should the same conclusion apply to proxy services &amp; privacy services? If not, please explain why.</w:t>
            </w:r>
          </w:p>
        </w:tc>
        <w:tc>
          <w:tcPr>
            <w:tcW w:w="10091" w:type="dxa"/>
            <w:shd w:val="clear" w:color="auto" w:fill="auto"/>
          </w:tcPr>
          <w:p w:rsidR="00B7495E" w:rsidRPr="00E00659" w:rsidRDefault="00B7495E">
            <w:pPr>
              <w:rPr>
                <w:rFonts w:ascii="Calibri" w:hAnsi="Calibri"/>
                <w:sz w:val="22"/>
                <w:szCs w:val="22"/>
              </w:rPr>
            </w:pPr>
          </w:p>
        </w:tc>
      </w:tr>
    </w:tbl>
    <w:p w:rsidR="00B7495E" w:rsidRDefault="00B7495E"/>
    <w:sectPr w:rsidR="00B7495E" w:rsidSect="00EC7DD9">
      <w:headerReference w:type="default" r:id="rId10"/>
      <w:footerReference w:type="default" r:id="rId11"/>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FB9" w:rsidRDefault="00BC6FB9" w:rsidP="004616D8">
      <w:r>
        <w:separator/>
      </w:r>
    </w:p>
  </w:endnote>
  <w:endnote w:type="continuationSeparator" w:id="0">
    <w:p w:rsidR="00BC6FB9" w:rsidRDefault="00BC6FB9" w:rsidP="004616D8">
      <w:r>
        <w:continuationSeparator/>
      </w:r>
    </w:p>
  </w:endnote>
  <w:endnote w:type="continuationNotice" w:id="1">
    <w:p w:rsidR="00BC6FB9" w:rsidRDefault="00BC6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panose1 w:val="020B0502020104020203"/>
    <w:charset w:val="00"/>
    <w:family w:val="auto"/>
    <w:pitch w:val="variable"/>
    <w:sig w:usb0="80000267" w:usb1="00000000" w:usb2="00000000" w:usb3="00000000" w:csb0="000001F7"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B9" w:rsidRDefault="00BC6F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FB9" w:rsidRDefault="00BC6FB9" w:rsidP="004616D8">
      <w:r>
        <w:separator/>
      </w:r>
    </w:p>
  </w:footnote>
  <w:footnote w:type="continuationSeparator" w:id="0">
    <w:p w:rsidR="00BC6FB9" w:rsidRDefault="00BC6FB9" w:rsidP="004616D8">
      <w:r>
        <w:continuationSeparator/>
      </w:r>
    </w:p>
  </w:footnote>
  <w:footnote w:type="continuationNotice" w:id="1">
    <w:p w:rsidR="00BC6FB9" w:rsidRDefault="00BC6FB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B9" w:rsidRDefault="00BC6FB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689"/>
    <w:multiLevelType w:val="hybridMultilevel"/>
    <w:tmpl w:val="BF605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B0281B"/>
    <w:multiLevelType w:val="hybridMultilevel"/>
    <w:tmpl w:val="A5982D18"/>
    <w:lvl w:ilvl="0" w:tplc="518A71FC">
      <w:start w:val="1"/>
      <w:numFmt w:val="bullet"/>
      <w:lvlText w:val="•"/>
      <w:lvlJc w:val="left"/>
      <w:pPr>
        <w:tabs>
          <w:tab w:val="num" w:pos="720"/>
        </w:tabs>
        <w:ind w:left="720" w:hanging="360"/>
      </w:pPr>
      <w:rPr>
        <w:rFonts w:ascii="Gill Sans" w:hAnsi="Gill Sans" w:hint="default"/>
      </w:rPr>
    </w:lvl>
    <w:lvl w:ilvl="1" w:tplc="6B3A079A" w:tentative="1">
      <w:start w:val="1"/>
      <w:numFmt w:val="bullet"/>
      <w:lvlText w:val="•"/>
      <w:lvlJc w:val="left"/>
      <w:pPr>
        <w:tabs>
          <w:tab w:val="num" w:pos="1440"/>
        </w:tabs>
        <w:ind w:left="1440" w:hanging="360"/>
      </w:pPr>
      <w:rPr>
        <w:rFonts w:ascii="Gill Sans" w:hAnsi="Gill Sans" w:hint="default"/>
      </w:rPr>
    </w:lvl>
    <w:lvl w:ilvl="2" w:tplc="0900BCF2" w:tentative="1">
      <w:start w:val="1"/>
      <w:numFmt w:val="bullet"/>
      <w:lvlText w:val="•"/>
      <w:lvlJc w:val="left"/>
      <w:pPr>
        <w:tabs>
          <w:tab w:val="num" w:pos="2160"/>
        </w:tabs>
        <w:ind w:left="2160" w:hanging="360"/>
      </w:pPr>
      <w:rPr>
        <w:rFonts w:ascii="Gill Sans" w:hAnsi="Gill Sans" w:hint="default"/>
      </w:rPr>
    </w:lvl>
    <w:lvl w:ilvl="3" w:tplc="13B68D86" w:tentative="1">
      <w:start w:val="1"/>
      <w:numFmt w:val="bullet"/>
      <w:lvlText w:val="•"/>
      <w:lvlJc w:val="left"/>
      <w:pPr>
        <w:tabs>
          <w:tab w:val="num" w:pos="2880"/>
        </w:tabs>
        <w:ind w:left="2880" w:hanging="360"/>
      </w:pPr>
      <w:rPr>
        <w:rFonts w:ascii="Gill Sans" w:hAnsi="Gill Sans" w:hint="default"/>
      </w:rPr>
    </w:lvl>
    <w:lvl w:ilvl="4" w:tplc="DB0E5204" w:tentative="1">
      <w:start w:val="1"/>
      <w:numFmt w:val="bullet"/>
      <w:lvlText w:val="•"/>
      <w:lvlJc w:val="left"/>
      <w:pPr>
        <w:tabs>
          <w:tab w:val="num" w:pos="3600"/>
        </w:tabs>
        <w:ind w:left="3600" w:hanging="360"/>
      </w:pPr>
      <w:rPr>
        <w:rFonts w:ascii="Gill Sans" w:hAnsi="Gill Sans" w:hint="default"/>
      </w:rPr>
    </w:lvl>
    <w:lvl w:ilvl="5" w:tplc="F2CE8EAA" w:tentative="1">
      <w:start w:val="1"/>
      <w:numFmt w:val="bullet"/>
      <w:lvlText w:val="•"/>
      <w:lvlJc w:val="left"/>
      <w:pPr>
        <w:tabs>
          <w:tab w:val="num" w:pos="4320"/>
        </w:tabs>
        <w:ind w:left="4320" w:hanging="360"/>
      </w:pPr>
      <w:rPr>
        <w:rFonts w:ascii="Gill Sans" w:hAnsi="Gill Sans" w:hint="default"/>
      </w:rPr>
    </w:lvl>
    <w:lvl w:ilvl="6" w:tplc="74962540" w:tentative="1">
      <w:start w:val="1"/>
      <w:numFmt w:val="bullet"/>
      <w:lvlText w:val="•"/>
      <w:lvlJc w:val="left"/>
      <w:pPr>
        <w:tabs>
          <w:tab w:val="num" w:pos="5040"/>
        </w:tabs>
        <w:ind w:left="5040" w:hanging="360"/>
      </w:pPr>
      <w:rPr>
        <w:rFonts w:ascii="Gill Sans" w:hAnsi="Gill Sans" w:hint="default"/>
      </w:rPr>
    </w:lvl>
    <w:lvl w:ilvl="7" w:tplc="944EDAA8" w:tentative="1">
      <w:start w:val="1"/>
      <w:numFmt w:val="bullet"/>
      <w:lvlText w:val="•"/>
      <w:lvlJc w:val="left"/>
      <w:pPr>
        <w:tabs>
          <w:tab w:val="num" w:pos="5760"/>
        </w:tabs>
        <w:ind w:left="5760" w:hanging="360"/>
      </w:pPr>
      <w:rPr>
        <w:rFonts w:ascii="Gill Sans" w:hAnsi="Gill Sans" w:hint="default"/>
      </w:rPr>
    </w:lvl>
    <w:lvl w:ilvl="8" w:tplc="FED008E4" w:tentative="1">
      <w:start w:val="1"/>
      <w:numFmt w:val="bullet"/>
      <w:lvlText w:val="•"/>
      <w:lvlJc w:val="left"/>
      <w:pPr>
        <w:tabs>
          <w:tab w:val="num" w:pos="6480"/>
        </w:tabs>
        <w:ind w:left="6480" w:hanging="360"/>
      </w:pPr>
      <w:rPr>
        <w:rFonts w:ascii="Gill Sans" w:hAnsi="Gill Sans" w:hint="default"/>
      </w:rPr>
    </w:lvl>
  </w:abstractNum>
  <w:abstractNum w:abstractNumId="2">
    <w:nsid w:val="1F09618C"/>
    <w:multiLevelType w:val="hybridMultilevel"/>
    <w:tmpl w:val="2C783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1A078F"/>
    <w:multiLevelType w:val="hybridMultilevel"/>
    <w:tmpl w:val="3CE8DE34"/>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BE2024"/>
    <w:multiLevelType w:val="hybridMultilevel"/>
    <w:tmpl w:val="8C48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73FE2"/>
    <w:multiLevelType w:val="hybridMultilevel"/>
    <w:tmpl w:val="178C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942265"/>
    <w:multiLevelType w:val="hybridMultilevel"/>
    <w:tmpl w:val="6802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ED2B8C"/>
    <w:multiLevelType w:val="hybridMultilevel"/>
    <w:tmpl w:val="A37E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797B2B"/>
    <w:multiLevelType w:val="hybridMultilevel"/>
    <w:tmpl w:val="88A470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FD44B9"/>
    <w:multiLevelType w:val="hybridMultilevel"/>
    <w:tmpl w:val="3A2C38F4"/>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2"/>
  </w:num>
  <w:num w:numId="5">
    <w:abstractNumId w:val="8"/>
  </w:num>
  <w:num w:numId="6">
    <w:abstractNumId w:val="6"/>
  </w:num>
  <w:num w:numId="7">
    <w:abstractNumId w:val="4"/>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7DD9"/>
    <w:rsid w:val="000155EA"/>
    <w:rsid w:val="00062D32"/>
    <w:rsid w:val="000928EF"/>
    <w:rsid w:val="000E2EF9"/>
    <w:rsid w:val="00147856"/>
    <w:rsid w:val="001628F2"/>
    <w:rsid w:val="001856C6"/>
    <w:rsid w:val="001A52DE"/>
    <w:rsid w:val="001C0E41"/>
    <w:rsid w:val="001E69DA"/>
    <w:rsid w:val="00231C50"/>
    <w:rsid w:val="00255C50"/>
    <w:rsid w:val="002B281B"/>
    <w:rsid w:val="002C02E1"/>
    <w:rsid w:val="002D7862"/>
    <w:rsid w:val="00301AB0"/>
    <w:rsid w:val="00321117"/>
    <w:rsid w:val="00366BA2"/>
    <w:rsid w:val="003A4D21"/>
    <w:rsid w:val="003B4F69"/>
    <w:rsid w:val="003E40B7"/>
    <w:rsid w:val="0040452C"/>
    <w:rsid w:val="0041164E"/>
    <w:rsid w:val="004129FE"/>
    <w:rsid w:val="004616D8"/>
    <w:rsid w:val="004821EE"/>
    <w:rsid w:val="0057280F"/>
    <w:rsid w:val="005C7AA3"/>
    <w:rsid w:val="005E7EBA"/>
    <w:rsid w:val="0064220B"/>
    <w:rsid w:val="006B679E"/>
    <w:rsid w:val="00776ECD"/>
    <w:rsid w:val="007A04A2"/>
    <w:rsid w:val="007D0C25"/>
    <w:rsid w:val="00823878"/>
    <w:rsid w:val="00825A09"/>
    <w:rsid w:val="008464FD"/>
    <w:rsid w:val="00873ED8"/>
    <w:rsid w:val="008E5B24"/>
    <w:rsid w:val="008F7EF8"/>
    <w:rsid w:val="00952B91"/>
    <w:rsid w:val="009D0614"/>
    <w:rsid w:val="00A07C04"/>
    <w:rsid w:val="00A24531"/>
    <w:rsid w:val="00A569A6"/>
    <w:rsid w:val="00A95657"/>
    <w:rsid w:val="00AB11C2"/>
    <w:rsid w:val="00AC5A42"/>
    <w:rsid w:val="00AF1157"/>
    <w:rsid w:val="00B31EF1"/>
    <w:rsid w:val="00B41380"/>
    <w:rsid w:val="00B5047A"/>
    <w:rsid w:val="00B7495E"/>
    <w:rsid w:val="00BA47AB"/>
    <w:rsid w:val="00BC6FB9"/>
    <w:rsid w:val="00C1083B"/>
    <w:rsid w:val="00C31BAA"/>
    <w:rsid w:val="00C471F0"/>
    <w:rsid w:val="00C47C1E"/>
    <w:rsid w:val="00C86D2A"/>
    <w:rsid w:val="00DA46D4"/>
    <w:rsid w:val="00E00659"/>
    <w:rsid w:val="00E22C62"/>
    <w:rsid w:val="00E255D5"/>
    <w:rsid w:val="00E413D6"/>
    <w:rsid w:val="00E874D0"/>
    <w:rsid w:val="00EB7C9D"/>
    <w:rsid w:val="00EC7DD9"/>
    <w:rsid w:val="00F13B01"/>
    <w:rsid w:val="00F7683F"/>
    <w:rsid w:val="00F941BA"/>
    <w:rsid w:val="00FA4EF4"/>
    <w:rsid w:val="00FF415E"/>
    <w:rsid w:val="00FF67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D9"/>
    <w:rPr>
      <w:rFonts w:eastAsia="Cambr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D9"/>
    <w:pPr>
      <w:ind w:left="720"/>
      <w:contextualSpacing/>
    </w:pPr>
  </w:style>
  <w:style w:type="paragraph" w:customStyle="1" w:styleId="Default">
    <w:name w:val="Default"/>
    <w:rsid w:val="002C02E1"/>
    <w:pPr>
      <w:widowControl w:val="0"/>
      <w:autoSpaceDE w:val="0"/>
      <w:autoSpaceDN w:val="0"/>
      <w:adjustRightInd w:val="0"/>
    </w:pPr>
    <w:rPr>
      <w:rFonts w:cs="Cambria"/>
      <w:color w:val="000000"/>
      <w:sz w:val="24"/>
      <w:szCs w:val="24"/>
    </w:rPr>
  </w:style>
  <w:style w:type="character" w:customStyle="1" w:styleId="notranslate">
    <w:name w:val="notranslate"/>
    <w:rsid w:val="003E40B7"/>
  </w:style>
  <w:style w:type="character" w:styleId="Hyperlink">
    <w:name w:val="Hyperlink"/>
    <w:uiPriority w:val="99"/>
    <w:unhideWhenUsed/>
    <w:rsid w:val="002D7862"/>
    <w:rPr>
      <w:color w:val="0000FF"/>
      <w:u w:val="single"/>
    </w:rPr>
  </w:style>
  <w:style w:type="paragraph" w:styleId="BalloonText">
    <w:name w:val="Balloon Text"/>
    <w:basedOn w:val="Normal"/>
    <w:link w:val="BalloonTextChar"/>
    <w:uiPriority w:val="99"/>
    <w:semiHidden/>
    <w:unhideWhenUsed/>
    <w:rsid w:val="002D7862"/>
    <w:rPr>
      <w:rFonts w:ascii="Lucida Grande" w:hAnsi="Lucida Grande"/>
      <w:sz w:val="18"/>
      <w:szCs w:val="18"/>
    </w:rPr>
  </w:style>
  <w:style w:type="character" w:customStyle="1" w:styleId="BalloonTextChar">
    <w:name w:val="Balloon Text Char"/>
    <w:link w:val="BalloonText"/>
    <w:uiPriority w:val="99"/>
    <w:semiHidden/>
    <w:rsid w:val="002D7862"/>
    <w:rPr>
      <w:rFonts w:ascii="Lucida Grande" w:eastAsia="Cambria" w:hAnsi="Lucida Grande"/>
      <w:sz w:val="18"/>
      <w:szCs w:val="18"/>
    </w:rPr>
  </w:style>
  <w:style w:type="paragraph" w:styleId="FootnoteText">
    <w:name w:val="footnote text"/>
    <w:basedOn w:val="Normal"/>
    <w:link w:val="FootnoteTextChar"/>
    <w:uiPriority w:val="99"/>
    <w:unhideWhenUsed/>
    <w:rsid w:val="004616D8"/>
    <w:rPr>
      <w:rFonts w:eastAsia="ＭＳ 明朝"/>
    </w:rPr>
  </w:style>
  <w:style w:type="character" w:customStyle="1" w:styleId="FootnoteTextChar">
    <w:name w:val="Footnote Text Char"/>
    <w:link w:val="FootnoteText"/>
    <w:uiPriority w:val="99"/>
    <w:rsid w:val="004616D8"/>
    <w:rPr>
      <w:sz w:val="24"/>
      <w:szCs w:val="24"/>
    </w:rPr>
  </w:style>
  <w:style w:type="character" w:styleId="FootnoteReference">
    <w:name w:val="footnote reference"/>
    <w:uiPriority w:val="99"/>
    <w:unhideWhenUsed/>
    <w:rsid w:val="004616D8"/>
    <w:rPr>
      <w:vertAlign w:val="superscript"/>
    </w:rPr>
  </w:style>
  <w:style w:type="table" w:styleId="TableGrid">
    <w:name w:val="Table Grid"/>
    <w:basedOn w:val="TableNormal"/>
    <w:uiPriority w:val="59"/>
    <w:rsid w:val="00B74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129FE"/>
    <w:pPr>
      <w:widowControl w:val="0"/>
      <w:ind w:left="100"/>
    </w:pPr>
    <w:rPr>
      <w:rFonts w:ascii="Calibri" w:eastAsia="Calibri" w:hAnsi="Calibri"/>
      <w:sz w:val="21"/>
      <w:szCs w:val="21"/>
    </w:rPr>
  </w:style>
  <w:style w:type="character" w:customStyle="1" w:styleId="BodyTextChar">
    <w:name w:val="Body Text Char"/>
    <w:link w:val="BodyText"/>
    <w:uiPriority w:val="1"/>
    <w:rsid w:val="004129FE"/>
    <w:rPr>
      <w:rFonts w:ascii="Calibri" w:eastAsia="Calibri" w:hAnsi="Calibri"/>
      <w:sz w:val="21"/>
      <w:szCs w:val="21"/>
    </w:rPr>
  </w:style>
  <w:style w:type="paragraph" w:styleId="Header">
    <w:name w:val="header"/>
    <w:basedOn w:val="Normal"/>
    <w:link w:val="HeaderChar"/>
    <w:uiPriority w:val="99"/>
    <w:unhideWhenUsed/>
    <w:rsid w:val="00C1083B"/>
    <w:pPr>
      <w:tabs>
        <w:tab w:val="center" w:pos="4320"/>
        <w:tab w:val="right" w:pos="8640"/>
      </w:tabs>
    </w:pPr>
  </w:style>
  <w:style w:type="character" w:customStyle="1" w:styleId="HeaderChar">
    <w:name w:val="Header Char"/>
    <w:basedOn w:val="DefaultParagraphFont"/>
    <w:link w:val="Header"/>
    <w:uiPriority w:val="99"/>
    <w:rsid w:val="00C1083B"/>
    <w:rPr>
      <w:rFonts w:eastAsia="Cambria"/>
      <w:sz w:val="24"/>
      <w:szCs w:val="24"/>
    </w:rPr>
  </w:style>
  <w:style w:type="paragraph" w:styleId="Footer">
    <w:name w:val="footer"/>
    <w:basedOn w:val="Normal"/>
    <w:link w:val="FooterChar"/>
    <w:uiPriority w:val="99"/>
    <w:unhideWhenUsed/>
    <w:rsid w:val="00C1083B"/>
    <w:pPr>
      <w:tabs>
        <w:tab w:val="center" w:pos="4320"/>
        <w:tab w:val="right" w:pos="8640"/>
      </w:tabs>
    </w:pPr>
  </w:style>
  <w:style w:type="character" w:customStyle="1" w:styleId="FooterChar">
    <w:name w:val="Footer Char"/>
    <w:basedOn w:val="DefaultParagraphFont"/>
    <w:link w:val="Footer"/>
    <w:uiPriority w:val="99"/>
    <w:rsid w:val="00C1083B"/>
    <w:rPr>
      <w:rFonts w:eastAsia="Cambr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D9"/>
    <w:rPr>
      <w:rFonts w:eastAsia="Cambr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D9"/>
    <w:pPr>
      <w:ind w:left="720"/>
      <w:contextualSpacing/>
    </w:pPr>
  </w:style>
  <w:style w:type="paragraph" w:customStyle="1" w:styleId="Default">
    <w:name w:val="Default"/>
    <w:rsid w:val="002C02E1"/>
    <w:pPr>
      <w:widowControl w:val="0"/>
      <w:autoSpaceDE w:val="0"/>
      <w:autoSpaceDN w:val="0"/>
      <w:adjustRightInd w:val="0"/>
    </w:pPr>
    <w:rPr>
      <w:rFonts w:cs="Cambria"/>
      <w:color w:val="000000"/>
      <w:sz w:val="24"/>
      <w:szCs w:val="24"/>
    </w:rPr>
  </w:style>
  <w:style w:type="character" w:customStyle="1" w:styleId="notranslate">
    <w:name w:val="notranslate"/>
    <w:rsid w:val="003E40B7"/>
  </w:style>
  <w:style w:type="character" w:styleId="Hyperlink">
    <w:name w:val="Hyperlink"/>
    <w:uiPriority w:val="99"/>
    <w:unhideWhenUsed/>
    <w:rsid w:val="002D7862"/>
    <w:rPr>
      <w:color w:val="0000FF"/>
      <w:u w:val="single"/>
    </w:rPr>
  </w:style>
  <w:style w:type="paragraph" w:styleId="BalloonText">
    <w:name w:val="Balloon Text"/>
    <w:basedOn w:val="Normal"/>
    <w:link w:val="BalloonTextChar"/>
    <w:uiPriority w:val="99"/>
    <w:semiHidden/>
    <w:unhideWhenUsed/>
    <w:rsid w:val="002D7862"/>
    <w:rPr>
      <w:rFonts w:ascii="Lucida Grande" w:hAnsi="Lucida Grande"/>
      <w:sz w:val="18"/>
      <w:szCs w:val="18"/>
    </w:rPr>
  </w:style>
  <w:style w:type="character" w:customStyle="1" w:styleId="BalloonTextChar">
    <w:name w:val="Balloon Text Char"/>
    <w:link w:val="BalloonText"/>
    <w:uiPriority w:val="99"/>
    <w:semiHidden/>
    <w:rsid w:val="002D7862"/>
    <w:rPr>
      <w:rFonts w:ascii="Lucida Grande" w:eastAsia="Cambria" w:hAnsi="Lucida Grande"/>
      <w:sz w:val="18"/>
      <w:szCs w:val="18"/>
    </w:rPr>
  </w:style>
  <w:style w:type="paragraph" w:styleId="FootnoteText">
    <w:name w:val="footnote text"/>
    <w:basedOn w:val="Normal"/>
    <w:link w:val="FootnoteTextChar"/>
    <w:uiPriority w:val="99"/>
    <w:unhideWhenUsed/>
    <w:rsid w:val="004616D8"/>
    <w:rPr>
      <w:rFonts w:eastAsia="ＭＳ 明朝"/>
    </w:rPr>
  </w:style>
  <w:style w:type="character" w:customStyle="1" w:styleId="FootnoteTextChar">
    <w:name w:val="Footnote Text Char"/>
    <w:link w:val="FootnoteText"/>
    <w:uiPriority w:val="99"/>
    <w:rsid w:val="004616D8"/>
    <w:rPr>
      <w:sz w:val="24"/>
      <w:szCs w:val="24"/>
    </w:rPr>
  </w:style>
  <w:style w:type="character" w:styleId="FootnoteReference">
    <w:name w:val="footnote reference"/>
    <w:uiPriority w:val="99"/>
    <w:unhideWhenUsed/>
    <w:rsid w:val="004616D8"/>
    <w:rPr>
      <w:vertAlign w:val="superscript"/>
    </w:rPr>
  </w:style>
  <w:style w:type="table" w:styleId="TableGrid">
    <w:name w:val="Table Grid"/>
    <w:basedOn w:val="TableNormal"/>
    <w:uiPriority w:val="59"/>
    <w:rsid w:val="00B74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129FE"/>
    <w:pPr>
      <w:widowControl w:val="0"/>
      <w:ind w:left="100"/>
    </w:pPr>
    <w:rPr>
      <w:rFonts w:ascii="Calibri" w:eastAsia="Calibri" w:hAnsi="Calibri"/>
      <w:sz w:val="21"/>
      <w:szCs w:val="21"/>
    </w:rPr>
  </w:style>
  <w:style w:type="character" w:customStyle="1" w:styleId="BodyTextChar">
    <w:name w:val="Body Text Char"/>
    <w:link w:val="BodyText"/>
    <w:uiPriority w:val="1"/>
    <w:rsid w:val="004129FE"/>
    <w:rPr>
      <w:rFonts w:ascii="Calibri" w:eastAsia="Calibri" w:hAnsi="Calibri"/>
      <w:sz w:val="21"/>
      <w:szCs w:val="21"/>
    </w:rPr>
  </w:style>
  <w:style w:type="paragraph" w:styleId="Header">
    <w:name w:val="header"/>
    <w:basedOn w:val="Normal"/>
    <w:link w:val="HeaderChar"/>
    <w:uiPriority w:val="99"/>
    <w:unhideWhenUsed/>
    <w:rsid w:val="00C1083B"/>
    <w:pPr>
      <w:tabs>
        <w:tab w:val="center" w:pos="4320"/>
        <w:tab w:val="right" w:pos="8640"/>
      </w:tabs>
    </w:pPr>
  </w:style>
  <w:style w:type="character" w:customStyle="1" w:styleId="HeaderChar">
    <w:name w:val="Header Char"/>
    <w:basedOn w:val="DefaultParagraphFont"/>
    <w:link w:val="Header"/>
    <w:uiPriority w:val="99"/>
    <w:rsid w:val="00C1083B"/>
    <w:rPr>
      <w:rFonts w:eastAsia="Cambria"/>
      <w:sz w:val="24"/>
      <w:szCs w:val="24"/>
    </w:rPr>
  </w:style>
  <w:style w:type="paragraph" w:styleId="Footer">
    <w:name w:val="footer"/>
    <w:basedOn w:val="Normal"/>
    <w:link w:val="FooterChar"/>
    <w:uiPriority w:val="99"/>
    <w:unhideWhenUsed/>
    <w:rsid w:val="00C1083B"/>
    <w:pPr>
      <w:tabs>
        <w:tab w:val="center" w:pos="4320"/>
        <w:tab w:val="right" w:pos="8640"/>
      </w:tabs>
    </w:pPr>
  </w:style>
  <w:style w:type="character" w:customStyle="1" w:styleId="FooterChar">
    <w:name w:val="Footer Char"/>
    <w:basedOn w:val="DefaultParagraphFont"/>
    <w:link w:val="Footer"/>
    <w:uiPriority w:val="99"/>
    <w:rsid w:val="00C1083B"/>
    <w:rPr>
      <w:rFonts w:eastAsia="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492708">
      <w:bodyDiv w:val="1"/>
      <w:marLeft w:val="0"/>
      <w:marRight w:val="0"/>
      <w:marTop w:val="0"/>
      <w:marBottom w:val="0"/>
      <w:divBdr>
        <w:top w:val="none" w:sz="0" w:space="0" w:color="auto"/>
        <w:left w:val="none" w:sz="0" w:space="0" w:color="auto"/>
        <w:bottom w:val="none" w:sz="0" w:space="0" w:color="auto"/>
        <w:right w:val="none" w:sz="0" w:space="0" w:color="auto"/>
      </w:divBdr>
      <w:divsChild>
        <w:div w:id="174736871">
          <w:marLeft w:val="590"/>
          <w:marRight w:val="0"/>
          <w:marTop w:val="286"/>
          <w:marBottom w:val="0"/>
          <w:divBdr>
            <w:top w:val="none" w:sz="0" w:space="0" w:color="auto"/>
            <w:left w:val="none" w:sz="0" w:space="0" w:color="auto"/>
            <w:bottom w:val="none" w:sz="0" w:space="0" w:color="auto"/>
            <w:right w:val="none" w:sz="0" w:space="0" w:color="auto"/>
          </w:divBdr>
        </w:div>
        <w:div w:id="1677614900">
          <w:marLeft w:val="590"/>
          <w:marRight w:val="0"/>
          <w:marTop w:val="286"/>
          <w:marBottom w:val="0"/>
          <w:divBdr>
            <w:top w:val="none" w:sz="0" w:space="0" w:color="auto"/>
            <w:left w:val="none" w:sz="0" w:space="0" w:color="auto"/>
            <w:bottom w:val="none" w:sz="0" w:space="0" w:color="auto"/>
            <w:right w:val="none" w:sz="0" w:space="0" w:color="auto"/>
          </w:divBdr>
        </w:div>
        <w:div w:id="71435567">
          <w:marLeft w:val="590"/>
          <w:marRight w:val="0"/>
          <w:marTop w:val="286"/>
          <w:marBottom w:val="0"/>
          <w:divBdr>
            <w:top w:val="none" w:sz="0" w:space="0" w:color="auto"/>
            <w:left w:val="none" w:sz="0" w:space="0" w:color="auto"/>
            <w:bottom w:val="none" w:sz="0" w:space="0" w:color="auto"/>
            <w:right w:val="none" w:sz="0" w:space="0" w:color="auto"/>
          </w:divBdr>
        </w:div>
      </w:divsChild>
    </w:div>
    <w:div w:id="17456831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D20A1-49EC-594A-B960-6BF8BABF2560}">
  <ds:schemaRefs>
    <ds:schemaRef ds:uri="http://schemas.openxmlformats.org/officeDocument/2006/bibliography"/>
  </ds:schemaRefs>
</ds:datastoreItem>
</file>

<file path=customXml/itemProps2.xml><?xml version="1.0" encoding="utf-8"?>
<ds:datastoreItem xmlns:ds="http://schemas.openxmlformats.org/officeDocument/2006/customXml" ds:itemID="{13C0D366-8055-B343-B525-D68F7F4A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750</Words>
  <Characters>4276</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Mary Wong</cp:lastModifiedBy>
  <cp:revision>2</cp:revision>
  <dcterms:created xsi:type="dcterms:W3CDTF">2014-11-04T01:32:00Z</dcterms:created>
  <dcterms:modified xsi:type="dcterms:W3CDTF">2014-11-04T01:32:00Z</dcterms:modified>
</cp:coreProperties>
</file>