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49" w:rsidRDefault="007A2E9B">
      <w:pPr>
        <w:jc w:val="center"/>
        <w:rPr>
          <w:b/>
        </w:rPr>
      </w:pPr>
      <w:r>
        <w:rPr>
          <w:b/>
        </w:rPr>
        <w:t>NOTES &amp; POTENTIAL RECOMMENDATIONS FOR CATEGORY G - TERMINATION</w:t>
      </w:r>
    </w:p>
    <w:p w:rsidR="00C41B49" w:rsidRDefault="00C41B49"/>
    <w:p w:rsidR="00C41B49" w:rsidRDefault="007A2E9B">
      <w:pPr>
        <w:rPr>
          <w:b/>
        </w:rPr>
      </w:pPr>
      <w:r>
        <w:rPr>
          <w:b/>
        </w:rPr>
        <w:t xml:space="preserve">I. </w:t>
      </w:r>
      <w:r w:rsidR="001206E7">
        <w:rPr>
          <w:b/>
        </w:rPr>
        <w:t>Termination and De-Accreditation of Privacy/Proxy Service Providers</w:t>
      </w:r>
    </w:p>
    <w:p w:rsidR="00C41B49" w:rsidRDefault="00C41B49"/>
    <w:p w:rsidR="00C41B49" w:rsidRDefault="001206E7">
      <w:pPr>
        <w:ind w:firstLine="720"/>
      </w:pPr>
      <w:r>
        <w:t xml:space="preserve">There are some significant distinctions between the registrar model and P/P services, e.g. cancellation/transfer of a domain name is not the same as cancellation/transfer of a P/P service, and domain name transfers are governed by the IRTP (an ICANN Consensus Policy).  However, there are also many similarities. </w:t>
      </w:r>
    </w:p>
    <w:p w:rsidR="00C41B49" w:rsidRDefault="00C41B49">
      <w:pPr>
        <w:ind w:firstLine="720"/>
      </w:pPr>
    </w:p>
    <w:p w:rsidR="00C41B49" w:rsidRDefault="001206E7">
      <w:pPr>
        <w:ind w:firstLine="720"/>
      </w:pPr>
      <w:r>
        <w:t>The registrar model with its multiple steps, governed by the RAA, may not be entirely appropriate for P/P services but it is a useful starting point from which relevant portions may be adapted to apply to P/P service providers</w:t>
      </w:r>
      <w:r w:rsidR="007B1FCB">
        <w:t>.</w:t>
      </w:r>
    </w:p>
    <w:p w:rsidR="00C41B49" w:rsidRDefault="00C41B49">
      <w:pPr>
        <w:ind w:firstLine="720"/>
      </w:pPr>
    </w:p>
    <w:p w:rsidR="00C41B49" w:rsidRDefault="007B1FCB">
      <w:pPr>
        <w:ind w:firstLine="720"/>
      </w:pPr>
      <w:r w:rsidRPr="007A2E9B">
        <w:rPr>
          <w:u w:val="single"/>
        </w:rPr>
        <w:t xml:space="preserve">The </w:t>
      </w:r>
      <w:r w:rsidR="001206E7" w:rsidRPr="007A2E9B">
        <w:rPr>
          <w:u w:val="single"/>
        </w:rPr>
        <w:t xml:space="preserve">WG </w:t>
      </w:r>
      <w:r w:rsidRPr="007A2E9B">
        <w:rPr>
          <w:u w:val="single"/>
        </w:rPr>
        <w:t xml:space="preserve">needs to identify any specific </w:t>
      </w:r>
      <w:r w:rsidR="001206E7" w:rsidRPr="007A2E9B">
        <w:rPr>
          <w:u w:val="single"/>
        </w:rPr>
        <w:t>problems that de-accreditation of a P/P provider would lead to that would not be accommodated by adapting the registrar de-accreditation approach</w:t>
      </w:r>
      <w:r w:rsidR="001206E7">
        <w:t xml:space="preserve">, with a view toward developing policy recommendations that would guide the development of the process </w:t>
      </w:r>
      <w:r>
        <w:t>during</w:t>
      </w:r>
      <w:r w:rsidR="001206E7">
        <w:t xml:space="preserve"> implementation</w:t>
      </w:r>
      <w:r>
        <w:t>.</w:t>
      </w:r>
    </w:p>
    <w:p w:rsidR="00C41B49" w:rsidRDefault="00C41B49">
      <w:pPr>
        <w:ind w:firstLine="720"/>
      </w:pPr>
    </w:p>
    <w:p w:rsidR="00C41B49" w:rsidRDefault="001206E7">
      <w:pPr>
        <w:ind w:firstLine="720"/>
      </w:pPr>
      <w:r>
        <w:t xml:space="preserve">While </w:t>
      </w:r>
      <w:r w:rsidR="007B1FCB">
        <w:t xml:space="preserve">the </w:t>
      </w:r>
      <w:r>
        <w:t>WG</w:t>
      </w:r>
      <w:r w:rsidR="007B1FCB">
        <w:t>’s</w:t>
      </w:r>
      <w:r>
        <w:t xml:space="preserve"> scope does not include recommending changes to IRTP, </w:t>
      </w:r>
      <w:r w:rsidR="007B1FCB" w:rsidRPr="007A2E9B">
        <w:rPr>
          <w:u w:val="single"/>
        </w:rPr>
        <w:t xml:space="preserve">the </w:t>
      </w:r>
      <w:r w:rsidRPr="007A2E9B">
        <w:rPr>
          <w:u w:val="single"/>
        </w:rPr>
        <w:t>WG may identify specific issues arising in the P/P context that are not currently covered by the IRTP</w:t>
      </w:r>
      <w:r w:rsidR="007B1FCB">
        <w:t>.</w:t>
      </w:r>
    </w:p>
    <w:p w:rsidR="00C41B49" w:rsidRDefault="00C41B49">
      <w:pPr>
        <w:ind w:firstLine="720"/>
      </w:pPr>
    </w:p>
    <w:p w:rsidR="00C41B49" w:rsidRDefault="001206E7">
      <w:pPr>
        <w:ind w:firstLine="720"/>
      </w:pPr>
      <w:r>
        <w:t xml:space="preserve">A primary problem is the need to ensure that there are adequate safeguards in place to protect P/P customers, especially in the case where a P/P registration is transferred from a de-accredited provider to an accredited one. </w:t>
      </w:r>
      <w:r w:rsidRPr="007A2E9B">
        <w:rPr>
          <w:u w:val="single"/>
        </w:rPr>
        <w:t>P/P registration may present transfer issues that have not been addressed before, when registrars have been deaccredited</w:t>
      </w:r>
      <w:r>
        <w:t xml:space="preserve">. </w:t>
      </w:r>
    </w:p>
    <w:p w:rsidR="00C41B49" w:rsidRDefault="00C41B49">
      <w:pPr>
        <w:ind w:firstLine="720"/>
      </w:pPr>
    </w:p>
    <w:p w:rsidR="00C41B49" w:rsidRDefault="001206E7">
      <w:pPr>
        <w:ind w:firstLine="720"/>
      </w:pPr>
      <w:r>
        <w:t xml:space="preserve">Is there a need to ensure </w:t>
      </w:r>
      <w:proofErr w:type="gramStart"/>
      <w:r>
        <w:t>that a customer is not prejudiced by a transfer of its P/P service</w:t>
      </w:r>
      <w:proofErr w:type="gramEnd"/>
      <w:r>
        <w:t xml:space="preserve"> (e.g. to an “unfriendly” jurisdiction or due to the lapse of any notice period for it to either cancel its domain name registration or find a new P/P service)? However, it is not possible or desirable to over-protect by ensuring that every possible situation is covered.</w:t>
      </w:r>
    </w:p>
    <w:p w:rsidR="00C41B49" w:rsidRDefault="00C41B49"/>
    <w:p w:rsidR="00C41B49" w:rsidRPr="007A2E9B" w:rsidRDefault="007A2E9B">
      <w:r w:rsidRPr="007A2E9B">
        <w:t>POTENTIAL RECOMMENDATIONS:</w:t>
      </w:r>
    </w:p>
    <w:p w:rsidR="00C41B49" w:rsidRDefault="00C41B49"/>
    <w:p w:rsidR="00C41B49" w:rsidRDefault="001206E7">
      <w:pPr>
        <w:pStyle w:val="ListParagraph"/>
        <w:numPr>
          <w:ilvl w:val="0"/>
          <w:numId w:val="1"/>
        </w:numPr>
      </w:pPr>
      <w:r w:rsidRPr="007A2E9B">
        <w:rPr>
          <w:b/>
          <w:color w:val="365F91" w:themeColor="accent1" w:themeShade="BF"/>
        </w:rPr>
        <w:t>Notification of P/P customer prior to de-accreditation, to enable them to make alternative arrangements</w:t>
      </w:r>
      <w:r>
        <w:t xml:space="preserve"> (but at what point in the process would this occur?) One suggestion was that when Compliance sends breach notices, as registrants are then put on notice, as is the case </w:t>
      </w:r>
      <w:r w:rsidR="007B1FCB">
        <w:t>with registrar de-accreditation</w:t>
      </w:r>
    </w:p>
    <w:p w:rsidR="00C41B49" w:rsidRDefault="00C41B49"/>
    <w:p w:rsidR="00C41B49" w:rsidRDefault="001206E7">
      <w:pPr>
        <w:pStyle w:val="ListParagraph"/>
        <w:numPr>
          <w:ilvl w:val="0"/>
          <w:numId w:val="1"/>
        </w:numPr>
      </w:pPr>
      <w:r w:rsidRPr="007A2E9B">
        <w:rPr>
          <w:b/>
          <w:color w:val="365F91" w:themeColor="accent1" w:themeShade="BF"/>
        </w:rPr>
        <w:lastRenderedPageBreak/>
        <w:t>Notification of other P/P providers to enable interested providers to indicate if they wish to become the gaining P/P provider</w:t>
      </w:r>
      <w:r>
        <w:t xml:space="preserve"> (as is done for registrar de-accreditation)</w:t>
      </w:r>
    </w:p>
    <w:p w:rsidR="00C41B49" w:rsidRDefault="00C41B49"/>
    <w:p w:rsidR="00C41B49" w:rsidRDefault="001206E7">
      <w:pPr>
        <w:pStyle w:val="ListParagraph"/>
        <w:numPr>
          <w:ilvl w:val="0"/>
          <w:numId w:val="1"/>
        </w:numPr>
      </w:pPr>
      <w:r w:rsidRPr="007A2E9B">
        <w:rPr>
          <w:b/>
          <w:color w:val="365F91" w:themeColor="accent1" w:themeShade="BF"/>
        </w:rPr>
        <w:t>Publication of notification(s) on the ICANN website</w:t>
      </w:r>
      <w:r>
        <w:t xml:space="preserve"> (as is done for registrar de-accreditation)</w:t>
      </w:r>
    </w:p>
    <w:p w:rsidR="00C41B49" w:rsidRDefault="00C41B49"/>
    <w:p w:rsidR="00C41B49" w:rsidRDefault="001206E7">
      <w:pPr>
        <w:pStyle w:val="ListParagraph"/>
        <w:numPr>
          <w:ilvl w:val="0"/>
          <w:numId w:val="1"/>
        </w:numPr>
      </w:pPr>
      <w:r w:rsidRPr="007A2E9B">
        <w:rPr>
          <w:b/>
          <w:color w:val="365F91" w:themeColor="accent1" w:themeShade="BF"/>
        </w:rPr>
        <w:t>Possibility of de-accredited P/P provider itself finding a gaining provider to work with</w:t>
      </w:r>
      <w:r>
        <w:t xml:space="preserve"> (as sometimes occurs with registrar de-accreditation)</w:t>
      </w:r>
    </w:p>
    <w:p w:rsidR="00C41B49" w:rsidRDefault="00C41B49"/>
    <w:p w:rsidR="00C41B49" w:rsidRPr="007A2E9B" w:rsidRDefault="001206E7">
      <w:pPr>
        <w:pStyle w:val="ListParagraph"/>
        <w:numPr>
          <w:ilvl w:val="0"/>
          <w:numId w:val="1"/>
        </w:numPr>
        <w:rPr>
          <w:b/>
        </w:rPr>
      </w:pPr>
      <w:r w:rsidRPr="007A2E9B">
        <w:rPr>
          <w:b/>
          <w:color w:val="365F91" w:themeColor="accent1" w:themeShade="BF"/>
        </w:rPr>
        <w:t>Possibility of a “graduated response” approach</w:t>
      </w:r>
      <w:r w:rsidRPr="007A2E9B">
        <w:t>, i</w:t>
      </w:r>
      <w:r w:rsidR="007A2E9B" w:rsidRPr="007A2E9B">
        <w:t>.</w:t>
      </w:r>
      <w:r w:rsidRPr="007A2E9B">
        <w:t>e</w:t>
      </w:r>
      <w:r w:rsidR="007A2E9B" w:rsidRPr="007A2E9B">
        <w:t>.</w:t>
      </w:r>
      <w:r w:rsidRPr="007A2E9B">
        <w:t xml:space="preserve"> a set series of notices (up to three) with escalating sanctions, with the final recourse being de-accreditation</w:t>
      </w:r>
    </w:p>
    <w:p w:rsidR="00C41B49" w:rsidRDefault="00C41B49"/>
    <w:p w:rsidR="00C41B49" w:rsidRPr="007A2E9B" w:rsidRDefault="001206E7">
      <w:pPr>
        <w:pStyle w:val="ListParagraph"/>
        <w:numPr>
          <w:ilvl w:val="0"/>
          <w:numId w:val="1"/>
        </w:numPr>
        <w:rPr>
          <w:b/>
          <w:color w:val="365F91" w:themeColor="accent1" w:themeShade="BF"/>
        </w:rPr>
      </w:pPr>
      <w:r w:rsidRPr="007A2E9B">
        <w:rPr>
          <w:b/>
          <w:color w:val="365F91" w:themeColor="accent1" w:themeShade="BF"/>
        </w:rPr>
        <w:t>Customer to be able to choose its new P/P provider</w:t>
      </w:r>
    </w:p>
    <w:p w:rsidR="00C41B49" w:rsidRDefault="00C41B49">
      <w:pPr>
        <w:rPr>
          <w:b/>
        </w:rPr>
      </w:pPr>
    </w:p>
    <w:p w:rsidR="00C41B49" w:rsidRDefault="00C41B49">
      <w:pPr>
        <w:rPr>
          <w:b/>
        </w:rPr>
      </w:pPr>
    </w:p>
    <w:p w:rsidR="00C41B49" w:rsidRDefault="007A2E9B">
      <w:pPr>
        <w:rPr>
          <w:b/>
        </w:rPr>
      </w:pPr>
      <w:r>
        <w:rPr>
          <w:b/>
        </w:rPr>
        <w:t xml:space="preserve">II. </w:t>
      </w:r>
      <w:r w:rsidR="001206E7">
        <w:rPr>
          <w:b/>
        </w:rPr>
        <w:t>Termination of P/P Customer Service resulting in Publication in WHOIS of Customer Details</w:t>
      </w:r>
      <w:bookmarkStart w:id="0" w:name="_GoBack"/>
      <w:bookmarkEnd w:id="0"/>
    </w:p>
    <w:p w:rsidR="00C41B49" w:rsidRDefault="00C41B49"/>
    <w:p w:rsidR="00C41B49" w:rsidRDefault="007A2E9B">
      <w:r w:rsidRPr="007A2E9B">
        <w:t>RECAP</w:t>
      </w:r>
      <w:r w:rsidR="001206E7">
        <w:t>: current WG preliminary conclusions on Publication and Customer Notification (Category F):</w:t>
      </w:r>
    </w:p>
    <w:p w:rsidR="00C41B49" w:rsidRDefault="00C41B49"/>
    <w:p w:rsidR="00C41B49" w:rsidRDefault="001206E7">
      <w:pPr>
        <w:pStyle w:val="ListParagraph"/>
        <w:numPr>
          <w:ilvl w:val="0"/>
          <w:numId w:val="3"/>
        </w:numPr>
      </w:pPr>
      <w:r>
        <w:t>P/P providers are to disclose the following in their Terms of Service:</w:t>
      </w:r>
    </w:p>
    <w:p w:rsidR="00C41B49" w:rsidRDefault="00C41B49"/>
    <w:p w:rsidR="00C41B49" w:rsidRDefault="001206E7">
      <w:pPr>
        <w:ind w:left="720"/>
        <w:rPr>
          <w:i/>
        </w:rPr>
      </w:pPr>
      <w:r>
        <w:rPr>
          <w:i/>
        </w:rPr>
        <w:t xml:space="preserve">- The specific grounds upon which a provider will </w:t>
      </w:r>
      <w:proofErr w:type="gramStart"/>
      <w:r>
        <w:rPr>
          <w:i/>
        </w:rPr>
        <w:t>Publish</w:t>
      </w:r>
      <w:proofErr w:type="gramEnd"/>
      <w:r>
        <w:rPr>
          <w:i/>
        </w:rPr>
        <w:t xml:space="preserve"> a customer’s details, suspend service, or terminate service</w:t>
      </w:r>
    </w:p>
    <w:p w:rsidR="00C41B49" w:rsidRDefault="00C41B49">
      <w:pPr>
        <w:ind w:left="720"/>
        <w:rPr>
          <w:i/>
        </w:rPr>
      </w:pPr>
    </w:p>
    <w:p w:rsidR="00C41B49" w:rsidRDefault="001206E7">
      <w:pPr>
        <w:ind w:left="720"/>
        <w:rPr>
          <w:i/>
        </w:rPr>
      </w:pPr>
      <w:r>
        <w:rPr>
          <w:i/>
        </w:rPr>
        <w:t xml:space="preserve">- The meaning (per the WG’s definition) of Publication and its consequences </w:t>
      </w:r>
    </w:p>
    <w:p w:rsidR="00C41B49" w:rsidRDefault="00C41B49">
      <w:pPr>
        <w:ind w:left="720"/>
        <w:rPr>
          <w:i/>
        </w:rPr>
      </w:pPr>
    </w:p>
    <w:p w:rsidR="00C41B49" w:rsidRDefault="001206E7">
      <w:pPr>
        <w:ind w:left="720"/>
        <w:rPr>
          <w:i/>
        </w:rPr>
      </w:pPr>
      <w:r>
        <w:rPr>
          <w:i/>
        </w:rPr>
        <w:t>- Whether a customer will be notified when the provider receives a request either for Disclosure or Publication</w:t>
      </w:r>
    </w:p>
    <w:p w:rsidR="00C41B49" w:rsidRDefault="00C41B49">
      <w:pPr>
        <w:ind w:left="720"/>
        <w:rPr>
          <w:i/>
        </w:rPr>
      </w:pPr>
    </w:p>
    <w:p w:rsidR="00C41B49" w:rsidRDefault="001206E7">
      <w:pPr>
        <w:ind w:left="720"/>
      </w:pPr>
      <w:r>
        <w:rPr>
          <w:i/>
        </w:rPr>
        <w:t>- In the case of Publication, whether a customer will have the option to cancel its domain name registration prior to and in lieu of Publication</w:t>
      </w:r>
    </w:p>
    <w:p w:rsidR="00C41B49" w:rsidRDefault="00C41B49"/>
    <w:p w:rsidR="00C41B49" w:rsidRDefault="007A2E9B" w:rsidP="00690CE9">
      <w:r w:rsidRPr="007A2E9B">
        <w:t>QUESTION</w:t>
      </w:r>
      <w:r w:rsidR="001206E7">
        <w:t xml:space="preserve">: </w:t>
      </w:r>
      <w:r w:rsidR="001206E7" w:rsidRPr="007A2E9B">
        <w:rPr>
          <w:u w:val="single"/>
        </w:rPr>
        <w:t xml:space="preserve">Are these recommendations sufficient to facilitate protection of </w:t>
      </w:r>
      <w:r w:rsidR="00690CE9" w:rsidRPr="007A2E9B">
        <w:rPr>
          <w:u w:val="single"/>
        </w:rPr>
        <w:t>customer</w:t>
      </w:r>
      <w:r w:rsidR="001206E7" w:rsidRPr="007A2E9B">
        <w:rPr>
          <w:u w:val="single"/>
        </w:rPr>
        <w:t>s in the event of Publication</w:t>
      </w:r>
      <w:r w:rsidR="00690CE9" w:rsidRPr="007A2E9B">
        <w:rPr>
          <w:u w:val="single"/>
        </w:rPr>
        <w:t>, including in cases where Publication was the result of a customer’s breach of the Terms of Service</w:t>
      </w:r>
      <w:r w:rsidR="001206E7">
        <w:t>?</w:t>
      </w:r>
    </w:p>
    <w:p w:rsidR="00C41B49" w:rsidRDefault="00C41B49"/>
    <w:p w:rsidR="00C41B49" w:rsidRDefault="001206E7">
      <w:pPr>
        <w:rPr>
          <w:b/>
        </w:rPr>
      </w:pPr>
      <w:r>
        <w:rPr>
          <w:b/>
        </w:rPr>
        <w:t xml:space="preserve">Further Notes: </w:t>
      </w:r>
    </w:p>
    <w:p w:rsidR="00C41B49" w:rsidRDefault="00C41B49"/>
    <w:p w:rsidR="00C41B49" w:rsidRDefault="001206E7">
      <w:r w:rsidRPr="007A2E9B">
        <w:rPr>
          <w:u w:val="single"/>
        </w:rPr>
        <w:t>Would recommending an escrow model be helpful</w:t>
      </w:r>
      <w:r>
        <w:t xml:space="preserve"> (for customer protection in both the de-accreditation and termination of customer service scenarios)?</w:t>
      </w:r>
    </w:p>
    <w:sectPr w:rsidR="00C41B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13AF"/>
    <w:multiLevelType w:val="hybridMultilevel"/>
    <w:tmpl w:val="C8D416EC"/>
    <w:lvl w:ilvl="0" w:tplc="08D0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82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0C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D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68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4E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6E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1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56195"/>
    <w:multiLevelType w:val="hybridMultilevel"/>
    <w:tmpl w:val="DA64C02A"/>
    <w:lvl w:ilvl="0" w:tplc="7DC0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40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65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2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E0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EF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CD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69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6E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E773E"/>
    <w:multiLevelType w:val="hybridMultilevel"/>
    <w:tmpl w:val="9F343B20"/>
    <w:lvl w:ilvl="0" w:tplc="61C2D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E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05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08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A3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06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5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0E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49"/>
    <w:rsid w:val="001206E7"/>
    <w:rsid w:val="00690CE9"/>
    <w:rsid w:val="007A2E9B"/>
    <w:rsid w:val="007B1FCB"/>
    <w:rsid w:val="00C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2014-12-02T06:08:00Z</dcterms:created>
  <dcterms:modified xsi:type="dcterms:W3CDTF">2014-12-02T06:08:00Z</dcterms:modified>
</cp:coreProperties>
</file>