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CC8E7" w14:textId="77777777" w:rsidR="00E4332C" w:rsidRDefault="00E4332C" w:rsidP="00E4332C">
      <w:pPr>
        <w:pBdr>
          <w:bottom w:val="single" w:sz="4" w:space="1" w:color="auto"/>
        </w:pBdr>
        <w:contextualSpacing/>
        <w:rPr>
          <w:rFonts w:ascii="Calibri" w:hAnsi="Calibri"/>
          <w:b/>
        </w:rPr>
      </w:pPr>
      <w:r w:rsidRPr="006A7AC7">
        <w:rPr>
          <w:rFonts w:ascii="Calibri" w:hAnsi="Calibri"/>
          <w:b/>
        </w:rPr>
        <w:t>Privacy &amp; Proxy Services Accreditation Issues (PPSAI) PDP Working Group</w:t>
      </w:r>
    </w:p>
    <w:p w14:paraId="6BE4352F" w14:textId="7E63BAD3" w:rsidR="00E4332C" w:rsidRPr="006A7AC7" w:rsidRDefault="00E4332C" w:rsidP="00E4332C">
      <w:pPr>
        <w:pBdr>
          <w:bottom w:val="single" w:sz="4" w:space="1" w:color="auto"/>
        </w:pBdr>
        <w:contextualSpacing/>
        <w:rPr>
          <w:rFonts w:ascii="Calibri" w:hAnsi="Calibri"/>
          <w:b/>
        </w:rPr>
      </w:pPr>
      <w:r>
        <w:rPr>
          <w:rFonts w:ascii="Calibri" w:hAnsi="Calibri"/>
          <w:b/>
        </w:rPr>
        <w:t xml:space="preserve">Public Comment Review Tool </w:t>
      </w:r>
      <w:r w:rsidR="006B0F6E">
        <w:rPr>
          <w:rFonts w:ascii="Calibri" w:hAnsi="Calibri"/>
          <w:b/>
        </w:rPr>
        <w:t xml:space="preserve">for Sub Team reviewing </w:t>
      </w:r>
      <w:r w:rsidR="002C3D68">
        <w:rPr>
          <w:rFonts w:ascii="Calibri" w:hAnsi="Calibri"/>
          <w:b/>
        </w:rPr>
        <w:t>Annex E</w:t>
      </w:r>
      <w:r w:rsidR="006B0F6E">
        <w:rPr>
          <w:rFonts w:ascii="Calibri" w:hAnsi="Calibri"/>
          <w:b/>
        </w:rPr>
        <w:t xml:space="preserve"> of the WG’s Initial Report</w:t>
      </w:r>
    </w:p>
    <w:p w14:paraId="2CD9422A" w14:textId="39F51012" w:rsidR="00E4332C" w:rsidRPr="006A7AC7" w:rsidRDefault="002C3D68" w:rsidP="00E4332C">
      <w:pPr>
        <w:pBdr>
          <w:bottom w:val="single" w:sz="4" w:space="1" w:color="auto"/>
        </w:pBdr>
        <w:contextualSpacing/>
        <w:rPr>
          <w:rFonts w:ascii="Calibri" w:hAnsi="Calibri"/>
          <w:b/>
        </w:rPr>
      </w:pPr>
      <w:r>
        <w:rPr>
          <w:rFonts w:ascii="Calibri" w:hAnsi="Calibri"/>
          <w:b/>
        </w:rPr>
        <w:t>24</w:t>
      </w:r>
      <w:r w:rsidR="00E4332C" w:rsidRPr="006A7AC7">
        <w:rPr>
          <w:rFonts w:ascii="Calibri" w:hAnsi="Calibri"/>
          <w:b/>
        </w:rPr>
        <w:t xml:space="preserve"> July 2015</w:t>
      </w:r>
    </w:p>
    <w:p w14:paraId="25CC02ED" w14:textId="77777777" w:rsidR="00E4332C" w:rsidRPr="007C033C" w:rsidRDefault="00E4332C" w:rsidP="00E4332C">
      <w:pPr>
        <w:contextualSpacing/>
        <w:rPr>
          <w:rFonts w:ascii="Calibri" w:hAnsi="Calibri"/>
          <w:b/>
          <w:sz w:val="22"/>
        </w:rPr>
      </w:pPr>
    </w:p>
    <w:p w14:paraId="1E990462" w14:textId="77777777" w:rsidR="00E4332C" w:rsidRDefault="00E4332C" w:rsidP="00E4332C">
      <w:pPr>
        <w:contextualSpacing/>
        <w:rPr>
          <w:rFonts w:ascii="Calibri" w:hAnsi="Calibri"/>
          <w:sz w:val="22"/>
        </w:rPr>
      </w:pPr>
      <w:r w:rsidRPr="007C033C">
        <w:rPr>
          <w:rFonts w:ascii="Calibri" w:hAnsi="Calibri"/>
          <w:sz w:val="22"/>
        </w:rPr>
        <w:t xml:space="preserve">For </w:t>
      </w:r>
      <w:r>
        <w:rPr>
          <w:rFonts w:ascii="Calibri" w:hAnsi="Calibri"/>
          <w:sz w:val="22"/>
        </w:rPr>
        <w:t xml:space="preserve">background and the general public </w:t>
      </w:r>
      <w:r w:rsidRPr="007C033C">
        <w:rPr>
          <w:rFonts w:ascii="Calibri" w:hAnsi="Calibri"/>
          <w:sz w:val="22"/>
        </w:rPr>
        <w:t xml:space="preserve">comments received, please see </w:t>
      </w:r>
      <w:hyperlink r:id="rId8" w:history="1">
        <w:r w:rsidRPr="007C7E72">
          <w:rPr>
            <w:rStyle w:val="Hyperlink"/>
            <w:rFonts w:ascii="Calibri" w:hAnsi="Calibri"/>
            <w:sz w:val="22"/>
          </w:rPr>
          <w:t>http://forum.icann.org/lists/comments-ppsai-initial-05may15/</w:t>
        </w:r>
      </w:hyperlink>
      <w:r>
        <w:rPr>
          <w:rFonts w:ascii="Calibri" w:hAnsi="Calibri"/>
          <w:sz w:val="22"/>
        </w:rPr>
        <w:t xml:space="preserve">. For a summary analysis of all the template responses received, please see the WG wiki space at: </w:t>
      </w:r>
      <w:hyperlink r:id="rId9" w:history="1">
        <w:r w:rsidRPr="0006487C">
          <w:rPr>
            <w:rStyle w:val="Hyperlink"/>
            <w:rFonts w:ascii="Calibri" w:hAnsi="Calibri"/>
            <w:sz w:val="22"/>
          </w:rPr>
          <w:t>https://community.icann.org/x/KIFCAw</w:t>
        </w:r>
      </w:hyperlink>
      <w:r>
        <w:rPr>
          <w:rFonts w:ascii="Calibri" w:hAnsi="Calibri"/>
          <w:sz w:val="22"/>
        </w:rPr>
        <w:t xml:space="preserve">. </w:t>
      </w:r>
    </w:p>
    <w:p w14:paraId="6F49E59C" w14:textId="77777777" w:rsidR="00E4332C" w:rsidRDefault="00E4332C" w:rsidP="00E4332C">
      <w:pPr>
        <w:contextualSpacing/>
        <w:rPr>
          <w:rFonts w:ascii="Calibri" w:hAnsi="Calibri"/>
          <w:sz w:val="22"/>
        </w:rPr>
      </w:pPr>
    </w:p>
    <w:p w14:paraId="00FA92DA" w14:textId="711D39AF" w:rsidR="00E4332C" w:rsidRPr="00BA3D62" w:rsidRDefault="00BA3D62" w:rsidP="00E4332C">
      <w:pPr>
        <w:contextualSpacing/>
        <w:rPr>
          <w:rFonts w:ascii="Calibri" w:hAnsi="Calibri"/>
          <w:b/>
          <w:sz w:val="22"/>
        </w:rPr>
      </w:pPr>
      <w:r w:rsidRPr="00BA3D62">
        <w:rPr>
          <w:rFonts w:ascii="Calibri" w:hAnsi="Calibri"/>
          <w:b/>
          <w:sz w:val="22"/>
        </w:rPr>
        <w:t xml:space="preserve">I. </w:t>
      </w:r>
      <w:r w:rsidR="006B26EA">
        <w:rPr>
          <w:rFonts w:ascii="Calibri" w:hAnsi="Calibri"/>
          <w:b/>
          <w:sz w:val="22"/>
        </w:rPr>
        <w:t>GENERAL STATEMENTS</w:t>
      </w:r>
    </w:p>
    <w:p w14:paraId="1C655807" w14:textId="77777777" w:rsidR="00E4332C" w:rsidRPr="007C033C" w:rsidRDefault="00E4332C" w:rsidP="00E4332C">
      <w:pPr>
        <w:contextualSpacing/>
        <w:rPr>
          <w:rFonts w:ascii="Calibri" w:hAnsi="Calibri"/>
          <w:b/>
          <w:sz w:val="22"/>
        </w:rPr>
      </w:pPr>
    </w:p>
    <w:tbl>
      <w:tblPr>
        <w:tblpPr w:leftFromText="180" w:rightFromText="180" w:vertAnchor="text" w:tblpY="1"/>
        <w:tblOverlap w:val="neve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835"/>
        <w:gridCol w:w="3960"/>
        <w:gridCol w:w="3060"/>
        <w:gridCol w:w="1608"/>
        <w:gridCol w:w="2694"/>
        <w:gridCol w:w="2436"/>
      </w:tblGrid>
      <w:tr w:rsidR="00D4090A" w:rsidRPr="007C033C" w14:paraId="7E5286E4" w14:textId="77777777" w:rsidTr="00E81C5B">
        <w:trPr>
          <w:cantSplit/>
          <w:trHeight w:val="609"/>
          <w:tblHeader/>
        </w:trPr>
        <w:tc>
          <w:tcPr>
            <w:tcW w:w="835" w:type="dxa"/>
            <w:tcBorders>
              <w:bottom w:val="single" w:sz="4" w:space="0" w:color="000000"/>
            </w:tcBorders>
            <w:shd w:val="clear" w:color="auto" w:fill="CCCCCC"/>
          </w:tcPr>
          <w:p w14:paraId="76EEB77E" w14:textId="77777777" w:rsidR="00D4090A" w:rsidRPr="007C033C" w:rsidRDefault="00D4090A" w:rsidP="00E81C5B">
            <w:pPr>
              <w:contextualSpacing/>
              <w:rPr>
                <w:rFonts w:ascii="Calibri" w:hAnsi="Calibri"/>
                <w:b/>
                <w:sz w:val="22"/>
              </w:rPr>
            </w:pPr>
            <w:r w:rsidRPr="007C033C">
              <w:rPr>
                <w:rFonts w:ascii="Calibri" w:hAnsi="Calibri"/>
                <w:b/>
                <w:sz w:val="22"/>
              </w:rPr>
              <w:t>#</w:t>
            </w:r>
          </w:p>
        </w:tc>
        <w:tc>
          <w:tcPr>
            <w:tcW w:w="3960" w:type="dxa"/>
            <w:tcBorders>
              <w:bottom w:val="single" w:sz="4" w:space="0" w:color="000000"/>
            </w:tcBorders>
            <w:shd w:val="clear" w:color="auto" w:fill="CCCCCC"/>
          </w:tcPr>
          <w:p w14:paraId="3F024A65" w14:textId="77777777" w:rsidR="00D4090A" w:rsidRPr="007C033C" w:rsidRDefault="00D4090A" w:rsidP="00E81C5B">
            <w:pPr>
              <w:contextualSpacing/>
              <w:rPr>
                <w:rFonts w:ascii="Calibri" w:hAnsi="Calibri"/>
                <w:b/>
                <w:sz w:val="22"/>
              </w:rPr>
            </w:pPr>
            <w:r>
              <w:rPr>
                <w:rFonts w:ascii="Calibri" w:hAnsi="Calibri"/>
                <w:b/>
                <w:sz w:val="22"/>
              </w:rPr>
              <w:t xml:space="preserve">Recommendation / </w:t>
            </w:r>
            <w:r w:rsidRPr="007C033C">
              <w:rPr>
                <w:rFonts w:ascii="Calibri" w:hAnsi="Calibri"/>
                <w:b/>
                <w:sz w:val="22"/>
              </w:rPr>
              <w:t>Comment</w:t>
            </w:r>
          </w:p>
        </w:tc>
        <w:tc>
          <w:tcPr>
            <w:tcW w:w="3060" w:type="dxa"/>
            <w:tcBorders>
              <w:bottom w:val="single" w:sz="4" w:space="0" w:color="000000"/>
            </w:tcBorders>
            <w:shd w:val="clear" w:color="auto" w:fill="CCCCCC"/>
          </w:tcPr>
          <w:p w14:paraId="55ECD4A4" w14:textId="77777777" w:rsidR="00D4090A" w:rsidRPr="007C033C" w:rsidRDefault="00D4090A" w:rsidP="00E81C5B">
            <w:pPr>
              <w:contextualSpacing/>
              <w:rPr>
                <w:rFonts w:ascii="Calibri" w:hAnsi="Calibri"/>
                <w:b/>
                <w:sz w:val="22"/>
              </w:rPr>
            </w:pPr>
            <w:r>
              <w:rPr>
                <w:rFonts w:ascii="Calibri" w:hAnsi="Calibri"/>
                <w:b/>
                <w:sz w:val="22"/>
              </w:rPr>
              <w:t>Additional Comments/Notes</w:t>
            </w:r>
          </w:p>
        </w:tc>
        <w:tc>
          <w:tcPr>
            <w:tcW w:w="1608" w:type="dxa"/>
            <w:tcBorders>
              <w:bottom w:val="single" w:sz="4" w:space="0" w:color="000000"/>
            </w:tcBorders>
            <w:shd w:val="clear" w:color="auto" w:fill="CCCCCC"/>
          </w:tcPr>
          <w:p w14:paraId="79A66A25" w14:textId="77777777" w:rsidR="00D4090A" w:rsidRPr="007C033C" w:rsidRDefault="00D4090A" w:rsidP="00E81C5B">
            <w:pPr>
              <w:contextualSpacing/>
              <w:rPr>
                <w:rFonts w:ascii="Calibri" w:hAnsi="Calibri"/>
                <w:b/>
                <w:sz w:val="22"/>
              </w:rPr>
            </w:pPr>
            <w:r>
              <w:rPr>
                <w:rFonts w:ascii="Calibri" w:hAnsi="Calibri"/>
                <w:b/>
                <w:sz w:val="22"/>
              </w:rPr>
              <w:t>Who / What</w:t>
            </w:r>
          </w:p>
        </w:tc>
        <w:tc>
          <w:tcPr>
            <w:tcW w:w="2694" w:type="dxa"/>
            <w:tcBorders>
              <w:bottom w:val="single" w:sz="4" w:space="0" w:color="000000"/>
            </w:tcBorders>
            <w:shd w:val="clear" w:color="auto" w:fill="CCCCCC"/>
          </w:tcPr>
          <w:p w14:paraId="00431417" w14:textId="7D534B0E" w:rsidR="00D4090A" w:rsidRPr="007C033C" w:rsidRDefault="001C39FE" w:rsidP="00E81C5B">
            <w:pPr>
              <w:contextualSpacing/>
              <w:rPr>
                <w:rFonts w:ascii="Calibri" w:hAnsi="Calibri"/>
                <w:b/>
                <w:sz w:val="22"/>
              </w:rPr>
            </w:pPr>
            <w:r>
              <w:rPr>
                <w:rFonts w:ascii="Calibri" w:hAnsi="Calibri"/>
                <w:b/>
                <w:sz w:val="22"/>
              </w:rPr>
              <w:t xml:space="preserve">Suggested </w:t>
            </w:r>
            <w:r w:rsidR="00D4090A" w:rsidRPr="007C033C">
              <w:rPr>
                <w:rFonts w:ascii="Calibri" w:hAnsi="Calibri"/>
                <w:b/>
                <w:sz w:val="22"/>
              </w:rPr>
              <w:t>WG Response</w:t>
            </w:r>
          </w:p>
        </w:tc>
        <w:tc>
          <w:tcPr>
            <w:tcW w:w="2436" w:type="dxa"/>
            <w:tcBorders>
              <w:bottom w:val="single" w:sz="4" w:space="0" w:color="000000"/>
            </w:tcBorders>
            <w:shd w:val="clear" w:color="auto" w:fill="CCCCCC"/>
          </w:tcPr>
          <w:p w14:paraId="28667991" w14:textId="7F735151" w:rsidR="00D4090A" w:rsidRPr="007C033C" w:rsidRDefault="00D4090A" w:rsidP="00E81C5B">
            <w:pPr>
              <w:contextualSpacing/>
              <w:rPr>
                <w:rFonts w:ascii="Calibri" w:hAnsi="Calibri"/>
                <w:b/>
                <w:sz w:val="22"/>
              </w:rPr>
            </w:pPr>
            <w:r>
              <w:rPr>
                <w:rFonts w:ascii="Calibri" w:hAnsi="Calibri"/>
                <w:b/>
                <w:sz w:val="22"/>
              </w:rPr>
              <w:t xml:space="preserve">WG </w:t>
            </w:r>
            <w:r w:rsidR="001C39FE">
              <w:rPr>
                <w:rFonts w:ascii="Calibri" w:hAnsi="Calibri"/>
                <w:b/>
                <w:sz w:val="22"/>
              </w:rPr>
              <w:t>Response/</w:t>
            </w:r>
            <w:r>
              <w:rPr>
                <w:rFonts w:ascii="Calibri" w:hAnsi="Calibri"/>
                <w:b/>
                <w:sz w:val="22"/>
              </w:rPr>
              <w:t>Action</w:t>
            </w:r>
          </w:p>
        </w:tc>
      </w:tr>
      <w:tr w:rsidR="00D4090A" w:rsidRPr="007C033C" w14:paraId="102C6697" w14:textId="77777777" w:rsidTr="00E81C5B">
        <w:trPr>
          <w:trHeight w:val="546"/>
        </w:trPr>
        <w:tc>
          <w:tcPr>
            <w:tcW w:w="14593" w:type="dxa"/>
            <w:gridSpan w:val="6"/>
            <w:shd w:val="clear" w:color="auto" w:fill="E0E0E0"/>
          </w:tcPr>
          <w:p w14:paraId="3F0DD18A" w14:textId="20DA86A6" w:rsidR="00D4090A" w:rsidRPr="00D74E16" w:rsidRDefault="00D4090A" w:rsidP="002C3D68">
            <w:pPr>
              <w:rPr>
                <w:rFonts w:ascii="Calibri" w:eastAsia="Times New Roman" w:hAnsi="Calibri"/>
                <w:b/>
                <w:sz w:val="22"/>
                <w:szCs w:val="22"/>
              </w:rPr>
            </w:pPr>
            <w:r w:rsidRPr="00D74E16">
              <w:rPr>
                <w:rFonts w:ascii="Calibri" w:eastAsia="Times New Roman" w:hAnsi="Calibri"/>
                <w:b/>
                <w:sz w:val="22"/>
                <w:szCs w:val="22"/>
              </w:rPr>
              <w:t xml:space="preserve">1. </w:t>
            </w:r>
            <w:r w:rsidR="002C3D68">
              <w:rPr>
                <w:rFonts w:ascii="Calibri" w:hAnsi="Calibri"/>
                <w:b/>
                <w:sz w:val="22"/>
              </w:rPr>
              <w:t>General views on the proposed Illustrative Disclosure Framework</w:t>
            </w:r>
          </w:p>
        </w:tc>
      </w:tr>
      <w:tr w:rsidR="00D4090A" w:rsidRPr="007C033C" w14:paraId="65B3557C" w14:textId="77777777" w:rsidTr="00E81C5B">
        <w:tc>
          <w:tcPr>
            <w:tcW w:w="835" w:type="dxa"/>
          </w:tcPr>
          <w:p w14:paraId="12685EF6"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490FCE5F" w14:textId="3E45C662" w:rsidR="00D4090A" w:rsidRDefault="0062714B" w:rsidP="0062714B">
            <w:pPr>
              <w:rPr>
                <w:rFonts w:ascii="Calibri" w:eastAsia="Times New Roman" w:hAnsi="Calibri"/>
                <w:sz w:val="22"/>
                <w:szCs w:val="22"/>
              </w:rPr>
            </w:pPr>
            <w:r w:rsidRPr="001845A9">
              <w:rPr>
                <w:rFonts w:asciiTheme="majorHAnsi" w:eastAsia="Times New Roman" w:hAnsiTheme="majorHAnsi"/>
                <w:sz w:val="22"/>
                <w:szCs w:val="22"/>
              </w:rPr>
              <w:t>Appendix E can serve as a model for other areas that may benefit from clarity around the standards and processes to identify legitimate requests from non-LEA sources. BC encourages such an approach, in particular around the identification of malicious botnets and their control centers.</w:t>
            </w:r>
            <w:r>
              <w:rPr>
                <w:rFonts w:ascii="Calibri" w:eastAsia="Times New Roman" w:hAnsi="Calibri"/>
                <w:sz w:val="22"/>
                <w:szCs w:val="22"/>
              </w:rPr>
              <w:t xml:space="preserve"> </w:t>
            </w:r>
          </w:p>
        </w:tc>
        <w:tc>
          <w:tcPr>
            <w:tcW w:w="3060" w:type="dxa"/>
          </w:tcPr>
          <w:p w14:paraId="7E6CE587" w14:textId="77777777" w:rsidR="00D4090A" w:rsidRPr="007C033C" w:rsidRDefault="00D4090A" w:rsidP="00E81C5B">
            <w:pPr>
              <w:rPr>
                <w:rFonts w:ascii="Calibri" w:eastAsia="Times New Roman" w:hAnsi="Calibri" w:cs="Arial"/>
                <w:sz w:val="22"/>
                <w:szCs w:val="22"/>
                <w:shd w:val="clear" w:color="auto" w:fill="FFFFFF"/>
              </w:rPr>
            </w:pPr>
          </w:p>
        </w:tc>
        <w:tc>
          <w:tcPr>
            <w:tcW w:w="1608" w:type="dxa"/>
          </w:tcPr>
          <w:p w14:paraId="32AE7623" w14:textId="2CBB781A" w:rsidR="00D4090A" w:rsidRDefault="0062714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w:t>
            </w:r>
            <w:r w:rsidR="00D4090A">
              <w:rPr>
                <w:rFonts w:ascii="Calibri" w:eastAsia="Times New Roman" w:hAnsi="Calibri" w:cs="Arial"/>
                <w:sz w:val="22"/>
                <w:szCs w:val="22"/>
                <w:shd w:val="clear" w:color="auto" w:fill="FFFFFF"/>
              </w:rPr>
              <w:t>C</w:t>
            </w:r>
          </w:p>
        </w:tc>
        <w:tc>
          <w:tcPr>
            <w:tcW w:w="2694" w:type="dxa"/>
          </w:tcPr>
          <w:p w14:paraId="69F6ED8F" w14:textId="77777777" w:rsidR="00D4090A" w:rsidRPr="007C033C" w:rsidRDefault="00D4090A" w:rsidP="00E81C5B">
            <w:pPr>
              <w:contextualSpacing/>
              <w:rPr>
                <w:rFonts w:ascii="Calibri" w:hAnsi="Calibri"/>
                <w:sz w:val="22"/>
              </w:rPr>
            </w:pPr>
          </w:p>
        </w:tc>
        <w:tc>
          <w:tcPr>
            <w:tcW w:w="2436" w:type="dxa"/>
          </w:tcPr>
          <w:p w14:paraId="410486C7" w14:textId="77777777" w:rsidR="00D4090A" w:rsidRPr="007C033C" w:rsidRDefault="00D4090A" w:rsidP="00E81C5B">
            <w:pPr>
              <w:contextualSpacing/>
              <w:rPr>
                <w:rFonts w:ascii="Calibri" w:hAnsi="Calibri"/>
                <w:b/>
                <w:sz w:val="22"/>
              </w:rPr>
            </w:pPr>
          </w:p>
        </w:tc>
      </w:tr>
      <w:tr w:rsidR="00D4090A" w:rsidRPr="007C033C" w14:paraId="11E89125" w14:textId="77777777" w:rsidTr="00E81C5B">
        <w:tc>
          <w:tcPr>
            <w:tcW w:w="835" w:type="dxa"/>
          </w:tcPr>
          <w:p w14:paraId="22A1166E"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3EFF667A" w14:textId="77777777" w:rsidR="0062714B" w:rsidRPr="00253C40" w:rsidRDefault="0062714B" w:rsidP="0062714B">
            <w:pPr>
              <w:rPr>
                <w:rFonts w:asciiTheme="majorHAnsi" w:eastAsia="Times New Roman" w:hAnsiTheme="majorHAnsi"/>
                <w:sz w:val="22"/>
                <w:szCs w:val="22"/>
              </w:rPr>
            </w:pPr>
            <w:r w:rsidRPr="00253C40">
              <w:rPr>
                <w:rFonts w:asciiTheme="majorHAnsi" w:eastAsia="Times New Roman" w:hAnsiTheme="majorHAnsi"/>
                <w:sz w:val="22"/>
                <w:szCs w:val="22"/>
              </w:rPr>
              <w:t xml:space="preserve">The MPAA believes the illustrative </w:t>
            </w:r>
            <w:r>
              <w:rPr>
                <w:rFonts w:asciiTheme="majorHAnsi" w:eastAsia="Times New Roman" w:hAnsiTheme="majorHAnsi"/>
                <w:sz w:val="22"/>
                <w:szCs w:val="22"/>
              </w:rPr>
              <w:t xml:space="preserve">[disclosure] </w:t>
            </w:r>
            <w:r w:rsidRPr="00253C40">
              <w:rPr>
                <w:rFonts w:asciiTheme="majorHAnsi" w:eastAsia="Times New Roman" w:hAnsiTheme="majorHAnsi"/>
                <w:sz w:val="22"/>
                <w:szCs w:val="22"/>
              </w:rPr>
              <w:t>framework represents a balanced and predictable process for requestors while allowing a sufficient degree of flexibility and safeguards to P/P service providers and their customers, with the following caveats:</w:t>
            </w:r>
          </w:p>
          <w:p w14:paraId="670B2C69" w14:textId="77777777" w:rsidR="0062714B" w:rsidRPr="00253C40" w:rsidRDefault="0062714B" w:rsidP="0062714B">
            <w:pPr>
              <w:pStyle w:val="ListParagraph"/>
              <w:numPr>
                <w:ilvl w:val="0"/>
                <w:numId w:val="40"/>
              </w:numPr>
              <w:rPr>
                <w:rFonts w:asciiTheme="majorHAnsi" w:eastAsia="Times New Roman" w:hAnsiTheme="majorHAnsi"/>
                <w:sz w:val="22"/>
                <w:szCs w:val="22"/>
              </w:rPr>
            </w:pPr>
            <w:r w:rsidRPr="00253C40">
              <w:rPr>
                <w:rFonts w:asciiTheme="majorHAnsi" w:eastAsia="Times New Roman" w:hAnsiTheme="majorHAnsi"/>
                <w:sz w:val="22"/>
                <w:szCs w:val="22"/>
              </w:rPr>
              <w:t xml:space="preserve">We do not agree with Section I.B.iii (p. 84), that suggests assessing a </w:t>
            </w:r>
            <w:r w:rsidRPr="00253C40">
              <w:rPr>
                <w:rFonts w:asciiTheme="majorHAnsi" w:eastAsia="Times New Roman" w:hAnsiTheme="majorHAnsi"/>
                <w:sz w:val="22"/>
                <w:szCs w:val="22"/>
              </w:rPr>
              <w:lastRenderedPageBreak/>
              <w:t>nominal cost-recovery fee on requesters to process complaint submissions, and request that it be removed. ICANN, as the accreditor and compliance enforcer, should not be in the business of standardizing and/or approving fees.</w:t>
            </w:r>
          </w:p>
          <w:p w14:paraId="18E632AF" w14:textId="009F9C91" w:rsidR="00D4090A" w:rsidRPr="0062714B" w:rsidRDefault="0062714B" w:rsidP="0062714B">
            <w:pPr>
              <w:pStyle w:val="ListParagraph"/>
              <w:numPr>
                <w:ilvl w:val="0"/>
                <w:numId w:val="40"/>
              </w:numPr>
              <w:rPr>
                <w:rFonts w:asciiTheme="majorHAnsi" w:eastAsia="Times New Roman" w:hAnsiTheme="majorHAnsi"/>
                <w:sz w:val="22"/>
                <w:szCs w:val="22"/>
              </w:rPr>
            </w:pPr>
            <w:r w:rsidRPr="00253C40">
              <w:rPr>
                <w:rFonts w:asciiTheme="majorHAnsi" w:eastAsia="Times New Roman" w:hAnsiTheme="majorHAnsi"/>
                <w:sz w:val="22"/>
                <w:szCs w:val="22"/>
              </w:rPr>
              <w:t>The MPAA would like to highlight the importance of Section III.C.D (p. 91) stating that disclosure cannot be refused solely for the lack court order, subpoena, etc. Without such a clause the whole disclosure framework would be ineffectual.</w:t>
            </w:r>
            <w:r w:rsidRPr="0062714B">
              <w:rPr>
                <w:rFonts w:asciiTheme="majorHAnsi" w:eastAsia="Times New Roman" w:hAnsiTheme="majorHAnsi"/>
                <w:sz w:val="22"/>
                <w:szCs w:val="22"/>
              </w:rPr>
              <w:t xml:space="preserve"> </w:t>
            </w:r>
          </w:p>
        </w:tc>
        <w:tc>
          <w:tcPr>
            <w:tcW w:w="3060" w:type="dxa"/>
          </w:tcPr>
          <w:p w14:paraId="52332A4E" w14:textId="77777777" w:rsidR="00D4090A" w:rsidRPr="007C033C" w:rsidRDefault="00D4090A" w:rsidP="00E81C5B">
            <w:pPr>
              <w:rPr>
                <w:rFonts w:ascii="Calibri" w:eastAsia="Times New Roman" w:hAnsi="Calibri" w:cs="Arial"/>
                <w:sz w:val="22"/>
                <w:szCs w:val="22"/>
                <w:shd w:val="clear" w:color="auto" w:fill="FFFFFF"/>
              </w:rPr>
            </w:pPr>
          </w:p>
        </w:tc>
        <w:tc>
          <w:tcPr>
            <w:tcW w:w="1608" w:type="dxa"/>
          </w:tcPr>
          <w:p w14:paraId="0FEADE29" w14:textId="06462039" w:rsidR="00D4090A" w:rsidRDefault="0062714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MPAA</w:t>
            </w:r>
          </w:p>
        </w:tc>
        <w:tc>
          <w:tcPr>
            <w:tcW w:w="2694" w:type="dxa"/>
          </w:tcPr>
          <w:p w14:paraId="40598CFB" w14:textId="77777777" w:rsidR="00D4090A" w:rsidRPr="007C033C" w:rsidRDefault="00D4090A" w:rsidP="00E81C5B">
            <w:pPr>
              <w:contextualSpacing/>
              <w:rPr>
                <w:rFonts w:ascii="Calibri" w:hAnsi="Calibri"/>
                <w:sz w:val="22"/>
              </w:rPr>
            </w:pPr>
          </w:p>
        </w:tc>
        <w:tc>
          <w:tcPr>
            <w:tcW w:w="2436" w:type="dxa"/>
          </w:tcPr>
          <w:p w14:paraId="46825AF7" w14:textId="77777777" w:rsidR="00D4090A" w:rsidRPr="007C033C" w:rsidRDefault="00D4090A" w:rsidP="00E81C5B">
            <w:pPr>
              <w:contextualSpacing/>
              <w:rPr>
                <w:rFonts w:ascii="Calibri" w:hAnsi="Calibri"/>
                <w:b/>
                <w:sz w:val="22"/>
              </w:rPr>
            </w:pPr>
          </w:p>
        </w:tc>
      </w:tr>
      <w:tr w:rsidR="0062714B" w:rsidRPr="007C033C" w14:paraId="30D87F0C" w14:textId="77777777" w:rsidTr="00E81C5B">
        <w:tc>
          <w:tcPr>
            <w:tcW w:w="835" w:type="dxa"/>
          </w:tcPr>
          <w:p w14:paraId="19150FA4" w14:textId="77777777" w:rsidR="0062714B" w:rsidRPr="002C71AD" w:rsidRDefault="0062714B" w:rsidP="00E81C5B">
            <w:pPr>
              <w:pStyle w:val="ListParagraph"/>
              <w:numPr>
                <w:ilvl w:val="0"/>
                <w:numId w:val="27"/>
              </w:numPr>
              <w:rPr>
                <w:rFonts w:ascii="Calibri" w:hAnsi="Calibri"/>
                <w:b/>
                <w:sz w:val="22"/>
              </w:rPr>
            </w:pPr>
          </w:p>
        </w:tc>
        <w:tc>
          <w:tcPr>
            <w:tcW w:w="3960" w:type="dxa"/>
          </w:tcPr>
          <w:p w14:paraId="5805B52F" w14:textId="61B5AFAC" w:rsidR="0062714B" w:rsidRPr="00253C40" w:rsidRDefault="0062714B" w:rsidP="0062714B">
            <w:pPr>
              <w:rPr>
                <w:rFonts w:asciiTheme="majorHAnsi" w:eastAsia="Times New Roman" w:hAnsiTheme="majorHAnsi"/>
                <w:sz w:val="22"/>
                <w:szCs w:val="22"/>
              </w:rPr>
            </w:pPr>
            <w:r w:rsidRPr="004141E6">
              <w:rPr>
                <w:rFonts w:asciiTheme="majorHAnsi" w:eastAsia="Times New Roman" w:hAnsiTheme="majorHAnsi"/>
                <w:sz w:val="22"/>
                <w:szCs w:val="22"/>
              </w:rPr>
              <w:t>As a general matter we are strongly opposed to the revelation of a registrant’s personal contact and other information hidden by their use of a P/P service to any third party other than a law enforcement agency (LEA) or other party that has obtained requisite approval from a court of competent jurisdiction, as reflected in a court order or subpoena. We believe that absent a registrant’s breach of material service terms such as Internet abuse, the only basis for a P/P service being compelled to disclose underlying Registrant data should be: a court order (in a competent juri</w:t>
            </w:r>
            <w:r>
              <w:rPr>
                <w:rFonts w:asciiTheme="majorHAnsi" w:eastAsia="Times New Roman" w:hAnsiTheme="majorHAnsi"/>
                <w:sz w:val="22"/>
                <w:szCs w:val="22"/>
              </w:rPr>
              <w:t xml:space="preserve">sdiction to the Proxy provider), </w:t>
            </w:r>
            <w:r w:rsidRPr="004141E6">
              <w:rPr>
                <w:rFonts w:asciiTheme="majorHAnsi" w:eastAsia="Times New Roman" w:hAnsiTheme="majorHAnsi"/>
                <w:sz w:val="22"/>
                <w:szCs w:val="22"/>
              </w:rPr>
              <w:t>a subpoena (in a competent juri</w:t>
            </w:r>
            <w:r>
              <w:rPr>
                <w:rFonts w:asciiTheme="majorHAnsi" w:eastAsia="Times New Roman" w:hAnsiTheme="majorHAnsi"/>
                <w:sz w:val="22"/>
                <w:szCs w:val="22"/>
              </w:rPr>
              <w:t>sdiction to the Proxy provider), a pending civil action,</w:t>
            </w:r>
            <w:r w:rsidRPr="004141E6">
              <w:rPr>
                <w:rFonts w:asciiTheme="majorHAnsi" w:eastAsia="Times New Roman" w:hAnsiTheme="majorHAnsi"/>
                <w:sz w:val="22"/>
                <w:szCs w:val="22"/>
              </w:rPr>
              <w:t xml:space="preserve"> a URS or UDRP action. In all of these instances the registrant’s personal information held by the P/P provider should not be revealed other than under seal to either the UDRP/URS provider or the court, with the opposing attorney informed that the information is under seal and for the attorney's eyes only. This is how all other personal information that is sensitive is handled in U.S. federal court and we believe it is the proper standard to use in these cases. Therefore, we specifically oppose those provisions of Annex E that would authorize release of registrant information in instances where a domain name allegedly infringes a trademark. ICANN has provide two dispute resolution procedures for use by trademark owners in such instances</w:t>
            </w:r>
            <w:r>
              <w:rPr>
                <w:rFonts w:asciiTheme="majorHAnsi" w:eastAsia="Times New Roman" w:hAnsiTheme="majorHAnsi"/>
                <w:sz w:val="22"/>
                <w:szCs w:val="22"/>
              </w:rPr>
              <w:t>.</w:t>
            </w:r>
          </w:p>
        </w:tc>
        <w:tc>
          <w:tcPr>
            <w:tcW w:w="3060" w:type="dxa"/>
          </w:tcPr>
          <w:p w14:paraId="6E04A529" w14:textId="77777777" w:rsidR="0062714B" w:rsidRPr="007C033C" w:rsidRDefault="0062714B" w:rsidP="00E81C5B">
            <w:pPr>
              <w:rPr>
                <w:rFonts w:ascii="Calibri" w:eastAsia="Times New Roman" w:hAnsi="Calibri" w:cs="Arial"/>
                <w:sz w:val="22"/>
                <w:szCs w:val="22"/>
                <w:shd w:val="clear" w:color="auto" w:fill="FFFFFF"/>
              </w:rPr>
            </w:pPr>
          </w:p>
        </w:tc>
        <w:tc>
          <w:tcPr>
            <w:tcW w:w="1608" w:type="dxa"/>
          </w:tcPr>
          <w:p w14:paraId="434114F9" w14:textId="1221520C" w:rsidR="0062714B" w:rsidRDefault="0062714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Internet Commerce Association</w:t>
            </w:r>
          </w:p>
        </w:tc>
        <w:tc>
          <w:tcPr>
            <w:tcW w:w="2694" w:type="dxa"/>
          </w:tcPr>
          <w:p w14:paraId="32CE70B2" w14:textId="77777777" w:rsidR="0062714B" w:rsidRPr="007C033C" w:rsidRDefault="0062714B" w:rsidP="00E81C5B">
            <w:pPr>
              <w:contextualSpacing/>
              <w:rPr>
                <w:rFonts w:ascii="Calibri" w:hAnsi="Calibri"/>
                <w:sz w:val="22"/>
              </w:rPr>
            </w:pPr>
          </w:p>
        </w:tc>
        <w:tc>
          <w:tcPr>
            <w:tcW w:w="2436" w:type="dxa"/>
          </w:tcPr>
          <w:p w14:paraId="34C62725" w14:textId="77777777" w:rsidR="0062714B" w:rsidRPr="007C033C" w:rsidRDefault="0062714B" w:rsidP="00E81C5B">
            <w:pPr>
              <w:contextualSpacing/>
              <w:rPr>
                <w:rFonts w:ascii="Calibri" w:hAnsi="Calibri"/>
                <w:b/>
                <w:sz w:val="22"/>
              </w:rPr>
            </w:pPr>
          </w:p>
        </w:tc>
      </w:tr>
      <w:tr w:rsidR="0062714B" w:rsidRPr="007C033C" w14:paraId="4AEE4E90" w14:textId="77777777" w:rsidTr="00E81C5B">
        <w:tc>
          <w:tcPr>
            <w:tcW w:w="835" w:type="dxa"/>
          </w:tcPr>
          <w:p w14:paraId="72C5B65D" w14:textId="77777777" w:rsidR="0062714B" w:rsidRPr="002C71AD" w:rsidRDefault="0062714B" w:rsidP="00E81C5B">
            <w:pPr>
              <w:pStyle w:val="ListParagraph"/>
              <w:numPr>
                <w:ilvl w:val="0"/>
                <w:numId w:val="27"/>
              </w:numPr>
              <w:rPr>
                <w:rFonts w:ascii="Calibri" w:hAnsi="Calibri"/>
                <w:b/>
                <w:sz w:val="22"/>
              </w:rPr>
            </w:pPr>
          </w:p>
        </w:tc>
        <w:tc>
          <w:tcPr>
            <w:tcW w:w="3960" w:type="dxa"/>
          </w:tcPr>
          <w:p w14:paraId="0C842055" w14:textId="77777777" w:rsidR="0062714B" w:rsidRDefault="0062714B" w:rsidP="0062714B">
            <w:pPr>
              <w:rPr>
                <w:rFonts w:asciiTheme="majorHAnsi" w:eastAsia="Times New Roman" w:hAnsiTheme="majorHAnsi"/>
                <w:sz w:val="22"/>
                <w:szCs w:val="22"/>
              </w:rPr>
            </w:pPr>
            <w:r w:rsidRPr="00326ABD">
              <w:rPr>
                <w:rFonts w:asciiTheme="majorHAnsi" w:eastAsia="Times New Roman" w:hAnsiTheme="majorHAnsi"/>
                <w:sz w:val="22"/>
                <w:szCs w:val="22"/>
              </w:rPr>
              <w:t>Accredited privacy and proxy services should not be required to either Publish or Disclose registrant contact information other than when required by relevant law and utilizing relevant legal procedures. Privacy and</w:t>
            </w:r>
            <w:r>
              <w:rPr>
                <w:rFonts w:asciiTheme="majorHAnsi" w:eastAsia="Times New Roman" w:hAnsiTheme="majorHAnsi"/>
                <w:sz w:val="22"/>
                <w:szCs w:val="22"/>
              </w:rPr>
              <w:t xml:space="preserve"> proxy providers should not be</w:t>
            </w:r>
            <w:r w:rsidRPr="00326ABD">
              <w:rPr>
                <w:rFonts w:asciiTheme="majorHAnsi" w:eastAsia="Times New Roman" w:hAnsiTheme="majorHAnsi"/>
                <w:sz w:val="22"/>
                <w:szCs w:val="22"/>
              </w:rPr>
              <w:t xml:space="preserve"> required to present, process, or honor any forms required by ICANN in place of relevant legal processes. </w:t>
            </w:r>
          </w:p>
          <w:p w14:paraId="43D9129A" w14:textId="77777777" w:rsidR="0062714B" w:rsidRDefault="0062714B" w:rsidP="0062714B">
            <w:pPr>
              <w:rPr>
                <w:rFonts w:asciiTheme="majorHAnsi" w:eastAsia="Times New Roman" w:hAnsiTheme="majorHAnsi"/>
                <w:sz w:val="22"/>
                <w:szCs w:val="22"/>
              </w:rPr>
            </w:pPr>
          </w:p>
          <w:p w14:paraId="386F2E56" w14:textId="77777777" w:rsidR="0062714B" w:rsidRDefault="0062714B" w:rsidP="0062714B">
            <w:pPr>
              <w:rPr>
                <w:rFonts w:asciiTheme="majorHAnsi" w:eastAsia="Times New Roman" w:hAnsiTheme="majorHAnsi"/>
                <w:sz w:val="22"/>
                <w:szCs w:val="22"/>
              </w:rPr>
            </w:pPr>
            <w:r w:rsidRPr="00326ABD">
              <w:rPr>
                <w:rFonts w:asciiTheme="majorHAnsi" w:eastAsia="Times New Roman" w:hAnsiTheme="majorHAnsi"/>
                <w:sz w:val="22"/>
                <w:szCs w:val="22"/>
              </w:rPr>
              <w:t>Similarly, frameworks for responses to both Intel</w:t>
            </w:r>
            <w:r>
              <w:rPr>
                <w:rFonts w:asciiTheme="majorHAnsi" w:eastAsia="Times New Roman" w:hAnsiTheme="majorHAnsi"/>
                <w:sz w:val="22"/>
                <w:szCs w:val="22"/>
              </w:rPr>
              <w:t>lectual Property</w:t>
            </w:r>
            <w:r w:rsidRPr="00326ABD">
              <w:rPr>
                <w:rFonts w:asciiTheme="majorHAnsi" w:eastAsia="Times New Roman" w:hAnsiTheme="majorHAnsi"/>
                <w:sz w:val="22"/>
                <w:szCs w:val="22"/>
              </w:rPr>
              <w:t xml:space="preserve"> Rights</w:t>
            </w:r>
            <w:r w:rsidRPr="00326ABD">
              <w:rPr>
                <w:rFonts w:asciiTheme="majorHAnsi" w:eastAsia="Times New Roman" w:hAnsiTheme="majorHAnsi"/>
                <w:sz w:val="22"/>
                <w:szCs w:val="22"/>
              </w:rPr>
              <w:softHyphen/>
              <w:t>Holders and Law Enforcement should be replaced with a general requirement for privacy and proxy services to operate in accordance with relevant law. There are already a number of pre</w:t>
            </w:r>
            <w:r>
              <w:rPr>
                <w:rFonts w:asciiTheme="majorHAnsi" w:eastAsia="Times New Roman" w:hAnsiTheme="majorHAnsi"/>
                <w:sz w:val="22"/>
                <w:szCs w:val="22"/>
              </w:rPr>
              <w:t>-</w:t>
            </w:r>
            <w:r w:rsidRPr="00326ABD">
              <w:rPr>
                <w:rFonts w:asciiTheme="majorHAnsi" w:eastAsia="Times New Roman" w:hAnsiTheme="majorHAnsi"/>
                <w:sz w:val="22"/>
                <w:szCs w:val="22"/>
              </w:rPr>
              <w:softHyphen/>
              <w:t>litigation options available for intellectual property rights holders, including ICANN</w:t>
            </w:r>
            <w:r>
              <w:rPr>
                <w:rFonts w:asciiTheme="majorHAnsi" w:eastAsia="Times New Roman" w:hAnsiTheme="majorHAnsi"/>
                <w:sz w:val="22"/>
                <w:szCs w:val="22"/>
              </w:rPr>
              <w:t>-</w:t>
            </w:r>
            <w:r w:rsidRPr="00326ABD">
              <w:rPr>
                <w:rFonts w:asciiTheme="majorHAnsi" w:eastAsia="Times New Roman" w:hAnsiTheme="majorHAnsi"/>
                <w:sz w:val="22"/>
                <w:szCs w:val="22"/>
              </w:rPr>
              <w:softHyphen/>
              <w:t>imposed mechanisms such as the URS and UDRP as well as lega</w:t>
            </w:r>
            <w:r>
              <w:rPr>
                <w:rFonts w:asciiTheme="majorHAnsi" w:eastAsia="Times New Roman" w:hAnsiTheme="majorHAnsi"/>
                <w:sz w:val="22"/>
                <w:szCs w:val="22"/>
              </w:rPr>
              <w:t>l processes such as the DMCA.</w:t>
            </w:r>
          </w:p>
          <w:p w14:paraId="1C5165F9" w14:textId="77777777" w:rsidR="0062714B" w:rsidRDefault="0062714B" w:rsidP="0062714B">
            <w:pPr>
              <w:rPr>
                <w:rFonts w:asciiTheme="majorHAnsi" w:eastAsia="Times New Roman" w:hAnsiTheme="majorHAnsi"/>
                <w:sz w:val="22"/>
                <w:szCs w:val="22"/>
              </w:rPr>
            </w:pPr>
          </w:p>
          <w:p w14:paraId="25F20F1D" w14:textId="17470680" w:rsidR="0062714B" w:rsidRPr="00253C40" w:rsidRDefault="0062714B" w:rsidP="0062714B">
            <w:pPr>
              <w:rPr>
                <w:rFonts w:asciiTheme="majorHAnsi" w:eastAsia="Times New Roman" w:hAnsiTheme="majorHAnsi"/>
                <w:sz w:val="22"/>
                <w:szCs w:val="22"/>
              </w:rPr>
            </w:pPr>
            <w:r w:rsidRPr="00326ABD">
              <w:rPr>
                <w:rFonts w:asciiTheme="majorHAnsi" w:eastAsia="Times New Roman" w:hAnsiTheme="majorHAnsi"/>
                <w:sz w:val="22"/>
                <w:szCs w:val="22"/>
              </w:rPr>
              <w:t>Privacy and proxy services should ensure that communication submitted to them should be prope</w:t>
            </w:r>
            <w:r>
              <w:rPr>
                <w:rFonts w:asciiTheme="majorHAnsi" w:eastAsia="Times New Roman" w:hAnsiTheme="majorHAnsi"/>
                <w:sz w:val="22"/>
                <w:szCs w:val="22"/>
              </w:rPr>
              <w:t>rly forwarded to the registrant</w:t>
            </w:r>
            <w:r w:rsidRPr="00326ABD">
              <w:rPr>
                <w:rFonts w:asciiTheme="majorHAnsi" w:eastAsia="Times New Roman" w:hAnsiTheme="majorHAnsi"/>
                <w:sz w:val="22"/>
                <w:szCs w:val="22"/>
              </w:rPr>
              <w:t xml:space="preserve">, but </w:t>
            </w:r>
            <w:r>
              <w:rPr>
                <w:rFonts w:asciiTheme="majorHAnsi" w:eastAsia="Times New Roman" w:hAnsiTheme="majorHAnsi"/>
                <w:sz w:val="22"/>
                <w:szCs w:val="22"/>
              </w:rPr>
              <w:t xml:space="preserve">should not be responsible for </w:t>
            </w:r>
            <w:r w:rsidRPr="00326ABD">
              <w:rPr>
                <w:rFonts w:asciiTheme="majorHAnsi" w:eastAsia="Times New Roman" w:hAnsiTheme="majorHAnsi"/>
                <w:sz w:val="22"/>
                <w:szCs w:val="22"/>
              </w:rPr>
              <w:t>adjudicating disputes over specific types of content or behavior on behalf of the registrant. Disputes around intellectual property, in particular, are highly complex and fact</w:t>
            </w:r>
            <w:r w:rsidRPr="00326ABD">
              <w:rPr>
                <w:rFonts w:asciiTheme="majorHAnsi" w:eastAsia="Times New Roman" w:hAnsiTheme="majorHAnsi"/>
                <w:sz w:val="22"/>
                <w:szCs w:val="22"/>
              </w:rPr>
              <w:softHyphen/>
            </w:r>
            <w:r>
              <w:rPr>
                <w:rFonts w:asciiTheme="majorHAnsi" w:eastAsia="Times New Roman" w:hAnsiTheme="majorHAnsi"/>
                <w:sz w:val="22"/>
                <w:szCs w:val="22"/>
              </w:rPr>
              <w:t>-</w:t>
            </w:r>
            <w:r w:rsidRPr="00326ABD">
              <w:rPr>
                <w:rFonts w:asciiTheme="majorHAnsi" w:eastAsia="Times New Roman" w:hAnsiTheme="majorHAnsi"/>
                <w:sz w:val="22"/>
                <w:szCs w:val="22"/>
              </w:rPr>
              <w:t>driven, and neither registrars nor privacy and proxy providers are in a position to mediate claims regarding the use of intellectual property, particularly in situations involving user</w:t>
            </w:r>
            <w:r>
              <w:rPr>
                <w:rFonts w:asciiTheme="majorHAnsi" w:eastAsia="Times New Roman" w:hAnsiTheme="majorHAnsi"/>
                <w:sz w:val="22"/>
                <w:szCs w:val="22"/>
              </w:rPr>
              <w:t xml:space="preserve"> </w:t>
            </w:r>
            <w:r w:rsidRPr="00326ABD">
              <w:rPr>
                <w:rFonts w:asciiTheme="majorHAnsi" w:eastAsia="Times New Roman" w:hAnsiTheme="majorHAnsi"/>
                <w:sz w:val="22"/>
                <w:szCs w:val="22"/>
              </w:rPr>
              <w:softHyphen/>
              <w:t>generated content. The proper role of th</w:t>
            </w:r>
            <w:r>
              <w:rPr>
                <w:rFonts w:asciiTheme="majorHAnsi" w:eastAsia="Times New Roman" w:hAnsiTheme="majorHAnsi"/>
                <w:sz w:val="22"/>
                <w:szCs w:val="22"/>
              </w:rPr>
              <w:t>ese providers is to provide an</w:t>
            </w:r>
            <w:r w:rsidRPr="00326ABD">
              <w:rPr>
                <w:rFonts w:asciiTheme="majorHAnsi" w:eastAsia="Times New Roman" w:hAnsiTheme="majorHAnsi"/>
                <w:sz w:val="22"/>
                <w:szCs w:val="22"/>
              </w:rPr>
              <w:t xml:space="preserve"> alternative means of contactability, so the accreditation process should focus on their </w:t>
            </w:r>
            <w:r>
              <w:rPr>
                <w:rFonts w:asciiTheme="majorHAnsi" w:eastAsia="Times New Roman" w:hAnsiTheme="majorHAnsi"/>
                <w:sz w:val="22"/>
                <w:szCs w:val="22"/>
              </w:rPr>
              <w:t xml:space="preserve">ability to effectively do so. </w:t>
            </w:r>
          </w:p>
        </w:tc>
        <w:tc>
          <w:tcPr>
            <w:tcW w:w="3060" w:type="dxa"/>
          </w:tcPr>
          <w:p w14:paraId="523A92CB" w14:textId="77777777" w:rsidR="0062714B" w:rsidRPr="007C033C" w:rsidRDefault="0062714B" w:rsidP="00E81C5B">
            <w:pPr>
              <w:rPr>
                <w:rFonts w:ascii="Calibri" w:eastAsia="Times New Roman" w:hAnsi="Calibri" w:cs="Arial"/>
                <w:sz w:val="22"/>
                <w:szCs w:val="22"/>
                <w:shd w:val="clear" w:color="auto" w:fill="FFFFFF"/>
              </w:rPr>
            </w:pPr>
          </w:p>
        </w:tc>
        <w:tc>
          <w:tcPr>
            <w:tcW w:w="1608" w:type="dxa"/>
          </w:tcPr>
          <w:p w14:paraId="2C1E459F" w14:textId="437AFC0B" w:rsidR="0062714B" w:rsidRDefault="0062714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Google</w:t>
            </w:r>
          </w:p>
        </w:tc>
        <w:tc>
          <w:tcPr>
            <w:tcW w:w="2694" w:type="dxa"/>
          </w:tcPr>
          <w:p w14:paraId="2061B05E" w14:textId="77777777" w:rsidR="0062714B" w:rsidRPr="007C033C" w:rsidRDefault="0062714B" w:rsidP="00E81C5B">
            <w:pPr>
              <w:contextualSpacing/>
              <w:rPr>
                <w:rFonts w:ascii="Calibri" w:hAnsi="Calibri"/>
                <w:sz w:val="22"/>
              </w:rPr>
            </w:pPr>
          </w:p>
        </w:tc>
        <w:tc>
          <w:tcPr>
            <w:tcW w:w="2436" w:type="dxa"/>
          </w:tcPr>
          <w:p w14:paraId="5EB7C430" w14:textId="77777777" w:rsidR="0062714B" w:rsidRPr="007C033C" w:rsidRDefault="0062714B" w:rsidP="00E81C5B">
            <w:pPr>
              <w:contextualSpacing/>
              <w:rPr>
                <w:rFonts w:ascii="Calibri" w:hAnsi="Calibri"/>
                <w:b/>
                <w:sz w:val="22"/>
              </w:rPr>
            </w:pPr>
          </w:p>
        </w:tc>
      </w:tr>
      <w:tr w:rsidR="0062714B" w:rsidRPr="007C033C" w14:paraId="358957E8" w14:textId="77777777" w:rsidTr="00E81C5B">
        <w:tc>
          <w:tcPr>
            <w:tcW w:w="835" w:type="dxa"/>
          </w:tcPr>
          <w:p w14:paraId="5800139E" w14:textId="77777777" w:rsidR="0062714B" w:rsidRPr="002C71AD" w:rsidRDefault="0062714B" w:rsidP="00E81C5B">
            <w:pPr>
              <w:pStyle w:val="ListParagraph"/>
              <w:numPr>
                <w:ilvl w:val="0"/>
                <w:numId w:val="27"/>
              </w:numPr>
              <w:rPr>
                <w:rFonts w:ascii="Calibri" w:hAnsi="Calibri"/>
                <w:b/>
                <w:sz w:val="22"/>
              </w:rPr>
            </w:pPr>
          </w:p>
        </w:tc>
        <w:tc>
          <w:tcPr>
            <w:tcW w:w="3960" w:type="dxa"/>
          </w:tcPr>
          <w:p w14:paraId="15FD76B5" w14:textId="51320299" w:rsidR="0062714B" w:rsidRPr="00253C40" w:rsidRDefault="0062714B" w:rsidP="0062714B">
            <w:pPr>
              <w:rPr>
                <w:rFonts w:asciiTheme="majorHAnsi" w:eastAsia="Times New Roman" w:hAnsiTheme="majorHAnsi"/>
                <w:sz w:val="22"/>
                <w:szCs w:val="22"/>
              </w:rPr>
            </w:pPr>
            <w:r>
              <w:rPr>
                <w:rFonts w:asciiTheme="majorHAnsi" w:eastAsia="Times New Roman" w:hAnsiTheme="majorHAnsi"/>
                <w:sz w:val="22"/>
                <w:szCs w:val="22"/>
              </w:rPr>
              <w:t>An Internet i</w:t>
            </w:r>
            <w:r w:rsidRPr="00CA1DB6">
              <w:rPr>
                <w:rFonts w:asciiTheme="majorHAnsi" w:eastAsia="Times New Roman" w:hAnsiTheme="majorHAnsi"/>
                <w:sz w:val="22"/>
                <w:szCs w:val="22"/>
              </w:rPr>
              <w:t>ntermediary should have clear definitions of what constitutes a law enforcement request. There is a clear need to differentiate between a request made by law enforcement authorities (LEA) and one made by other third parties such as intellectual property rights holders or private anti abuse organizations.</w:t>
            </w:r>
          </w:p>
        </w:tc>
        <w:tc>
          <w:tcPr>
            <w:tcW w:w="3060" w:type="dxa"/>
          </w:tcPr>
          <w:p w14:paraId="37BFBD38" w14:textId="77777777" w:rsidR="0062714B" w:rsidRPr="007C033C" w:rsidRDefault="0062714B" w:rsidP="00E81C5B">
            <w:pPr>
              <w:rPr>
                <w:rFonts w:ascii="Calibri" w:eastAsia="Times New Roman" w:hAnsi="Calibri" w:cs="Arial"/>
                <w:sz w:val="22"/>
                <w:szCs w:val="22"/>
                <w:shd w:val="clear" w:color="auto" w:fill="FFFFFF"/>
              </w:rPr>
            </w:pPr>
          </w:p>
        </w:tc>
        <w:tc>
          <w:tcPr>
            <w:tcW w:w="1608" w:type="dxa"/>
          </w:tcPr>
          <w:p w14:paraId="51CAE16A" w14:textId="3FC7B731" w:rsidR="0062714B" w:rsidRDefault="0062714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I2C Coalition</w:t>
            </w:r>
          </w:p>
        </w:tc>
        <w:tc>
          <w:tcPr>
            <w:tcW w:w="2694" w:type="dxa"/>
          </w:tcPr>
          <w:p w14:paraId="6F3671B4" w14:textId="77777777" w:rsidR="0062714B" w:rsidRPr="007C033C" w:rsidRDefault="0062714B" w:rsidP="00E81C5B">
            <w:pPr>
              <w:contextualSpacing/>
              <w:rPr>
                <w:rFonts w:ascii="Calibri" w:hAnsi="Calibri"/>
                <w:sz w:val="22"/>
              </w:rPr>
            </w:pPr>
          </w:p>
        </w:tc>
        <w:tc>
          <w:tcPr>
            <w:tcW w:w="2436" w:type="dxa"/>
          </w:tcPr>
          <w:p w14:paraId="16B4EA33" w14:textId="77777777" w:rsidR="0062714B" w:rsidRPr="007C033C" w:rsidRDefault="0062714B" w:rsidP="00E81C5B">
            <w:pPr>
              <w:contextualSpacing/>
              <w:rPr>
                <w:rFonts w:ascii="Calibri" w:hAnsi="Calibri"/>
                <w:b/>
                <w:sz w:val="22"/>
              </w:rPr>
            </w:pPr>
          </w:p>
        </w:tc>
      </w:tr>
      <w:tr w:rsidR="0062714B" w:rsidRPr="007C033C" w14:paraId="1F4081F5" w14:textId="77777777" w:rsidTr="00E81C5B">
        <w:tc>
          <w:tcPr>
            <w:tcW w:w="835" w:type="dxa"/>
          </w:tcPr>
          <w:p w14:paraId="1B64CC03" w14:textId="77777777" w:rsidR="0062714B" w:rsidRPr="002C71AD" w:rsidRDefault="0062714B" w:rsidP="00E81C5B">
            <w:pPr>
              <w:pStyle w:val="ListParagraph"/>
              <w:numPr>
                <w:ilvl w:val="0"/>
                <w:numId w:val="27"/>
              </w:numPr>
              <w:rPr>
                <w:rFonts w:ascii="Calibri" w:hAnsi="Calibri"/>
                <w:b/>
                <w:sz w:val="22"/>
              </w:rPr>
            </w:pPr>
          </w:p>
        </w:tc>
        <w:tc>
          <w:tcPr>
            <w:tcW w:w="3960" w:type="dxa"/>
          </w:tcPr>
          <w:p w14:paraId="04F357A0" w14:textId="74C38108" w:rsidR="0062714B" w:rsidRPr="00253C40" w:rsidRDefault="0062714B" w:rsidP="0062714B">
            <w:pPr>
              <w:rPr>
                <w:rFonts w:asciiTheme="majorHAnsi" w:eastAsia="Times New Roman" w:hAnsiTheme="majorHAnsi"/>
                <w:sz w:val="22"/>
                <w:szCs w:val="22"/>
              </w:rPr>
            </w:pPr>
            <w:r>
              <w:rPr>
                <w:rFonts w:asciiTheme="majorHAnsi" w:hAnsiTheme="majorHAnsi" w:cs="Courier"/>
                <w:color w:val="000000"/>
                <w:sz w:val="22"/>
                <w:szCs w:val="22"/>
              </w:rPr>
              <w:t>[I]ntellectual property rights-</w:t>
            </w:r>
            <w:r w:rsidRPr="004E050B">
              <w:rPr>
                <w:rFonts w:asciiTheme="majorHAnsi" w:hAnsiTheme="majorHAnsi" w:cs="Courier"/>
                <w:color w:val="000000"/>
                <w:sz w:val="22"/>
                <w:szCs w:val="22"/>
              </w:rPr>
              <w:t>holders and private anti abuse organizations sho</w:t>
            </w:r>
            <w:r>
              <w:rPr>
                <w:rFonts w:asciiTheme="majorHAnsi" w:hAnsiTheme="majorHAnsi" w:cs="Courier"/>
                <w:color w:val="000000"/>
                <w:sz w:val="22"/>
                <w:szCs w:val="22"/>
              </w:rPr>
              <w:t xml:space="preserve">uld be treated as complainants </w:t>
            </w:r>
            <w:r w:rsidRPr="004E050B">
              <w:rPr>
                <w:rFonts w:asciiTheme="majorHAnsi" w:hAnsiTheme="majorHAnsi" w:cs="Courier"/>
                <w:color w:val="000000"/>
                <w:sz w:val="22"/>
                <w:szCs w:val="22"/>
              </w:rPr>
              <w:t>and not indisputably wronged parties,</w:t>
            </w:r>
            <w:r>
              <w:rPr>
                <w:rFonts w:asciiTheme="majorHAnsi" w:hAnsiTheme="majorHAnsi" w:cs="Courier"/>
                <w:color w:val="000000"/>
                <w:sz w:val="22"/>
                <w:szCs w:val="22"/>
              </w:rPr>
              <w:t xml:space="preserve"> and accordingly an independent</w:t>
            </w:r>
            <w:r w:rsidRPr="004E050B">
              <w:rPr>
                <w:rFonts w:asciiTheme="majorHAnsi" w:hAnsiTheme="majorHAnsi" w:cs="Courier"/>
                <w:color w:val="000000"/>
                <w:sz w:val="22"/>
                <w:szCs w:val="22"/>
              </w:rPr>
              <w:t xml:space="preserve"> adjudicator should determine the merits of their </w:t>
            </w:r>
            <w:r>
              <w:rPr>
                <w:rFonts w:asciiTheme="majorHAnsi" w:hAnsiTheme="majorHAnsi" w:cs="Courier"/>
                <w:color w:val="000000"/>
                <w:sz w:val="22"/>
                <w:szCs w:val="22"/>
              </w:rPr>
              <w:t xml:space="preserve">claim before rights that users </w:t>
            </w:r>
            <w:r w:rsidRPr="004E050B">
              <w:rPr>
                <w:rFonts w:asciiTheme="majorHAnsi" w:hAnsiTheme="majorHAnsi" w:cs="Courier"/>
                <w:color w:val="000000"/>
                <w:sz w:val="22"/>
                <w:szCs w:val="22"/>
              </w:rPr>
              <w:t xml:space="preserve">would otherwise have are abrogated by reason of those lawyers' claims.   </w:t>
            </w:r>
          </w:p>
        </w:tc>
        <w:tc>
          <w:tcPr>
            <w:tcW w:w="3060" w:type="dxa"/>
          </w:tcPr>
          <w:p w14:paraId="06754203" w14:textId="77777777" w:rsidR="0062714B" w:rsidRPr="007C033C" w:rsidRDefault="0062714B" w:rsidP="00E81C5B">
            <w:pPr>
              <w:rPr>
                <w:rFonts w:ascii="Calibri" w:eastAsia="Times New Roman" w:hAnsi="Calibri" w:cs="Arial"/>
                <w:sz w:val="22"/>
                <w:szCs w:val="22"/>
                <w:shd w:val="clear" w:color="auto" w:fill="FFFFFF"/>
              </w:rPr>
            </w:pPr>
          </w:p>
        </w:tc>
        <w:tc>
          <w:tcPr>
            <w:tcW w:w="1608" w:type="dxa"/>
          </w:tcPr>
          <w:p w14:paraId="5B7218FF" w14:textId="0B3A09D1" w:rsidR="0062714B" w:rsidRDefault="0062714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ISPCP Constituency</w:t>
            </w:r>
          </w:p>
        </w:tc>
        <w:tc>
          <w:tcPr>
            <w:tcW w:w="2694" w:type="dxa"/>
          </w:tcPr>
          <w:p w14:paraId="4335D969" w14:textId="77777777" w:rsidR="0062714B" w:rsidRPr="007C033C" w:rsidRDefault="0062714B" w:rsidP="00E81C5B">
            <w:pPr>
              <w:contextualSpacing/>
              <w:rPr>
                <w:rFonts w:ascii="Calibri" w:hAnsi="Calibri"/>
                <w:sz w:val="22"/>
              </w:rPr>
            </w:pPr>
          </w:p>
        </w:tc>
        <w:tc>
          <w:tcPr>
            <w:tcW w:w="2436" w:type="dxa"/>
          </w:tcPr>
          <w:p w14:paraId="03E264C5" w14:textId="77777777" w:rsidR="0062714B" w:rsidRPr="007C033C" w:rsidRDefault="0062714B" w:rsidP="00E81C5B">
            <w:pPr>
              <w:contextualSpacing/>
              <w:rPr>
                <w:rFonts w:ascii="Calibri" w:hAnsi="Calibri"/>
                <w:b/>
                <w:sz w:val="22"/>
              </w:rPr>
            </w:pPr>
          </w:p>
        </w:tc>
      </w:tr>
      <w:tr w:rsidR="008E6D47" w:rsidRPr="007C033C" w14:paraId="35DAB811" w14:textId="77777777" w:rsidTr="00E81C5B">
        <w:tc>
          <w:tcPr>
            <w:tcW w:w="835" w:type="dxa"/>
          </w:tcPr>
          <w:p w14:paraId="3937EB6F" w14:textId="77777777" w:rsidR="008E6D47" w:rsidRPr="002C71AD" w:rsidRDefault="008E6D47" w:rsidP="00E81C5B">
            <w:pPr>
              <w:pStyle w:val="ListParagraph"/>
              <w:numPr>
                <w:ilvl w:val="0"/>
                <w:numId w:val="27"/>
              </w:numPr>
              <w:rPr>
                <w:rFonts w:ascii="Calibri" w:hAnsi="Calibri"/>
                <w:b/>
                <w:sz w:val="22"/>
              </w:rPr>
            </w:pPr>
          </w:p>
        </w:tc>
        <w:tc>
          <w:tcPr>
            <w:tcW w:w="3960" w:type="dxa"/>
          </w:tcPr>
          <w:p w14:paraId="70158451" w14:textId="77777777" w:rsidR="008E6D47" w:rsidRPr="00754977" w:rsidRDefault="008E6D47" w:rsidP="005D7FD2">
            <w:pPr>
              <w:rPr>
                <w:rFonts w:asciiTheme="majorHAnsi" w:eastAsia="Times New Roman" w:hAnsiTheme="majorHAnsi"/>
                <w:sz w:val="22"/>
                <w:szCs w:val="22"/>
              </w:rPr>
            </w:pPr>
            <w:r w:rsidRPr="00754977">
              <w:rPr>
                <w:rFonts w:asciiTheme="majorHAnsi" w:eastAsia="Times New Roman" w:hAnsiTheme="majorHAnsi"/>
                <w:sz w:val="22"/>
                <w:szCs w:val="22"/>
              </w:rPr>
              <w:t>Mere allegation of infringement or illegality is insufficient cause for a</w:t>
            </w:r>
            <w:r>
              <w:rPr>
                <w:rFonts w:asciiTheme="majorHAnsi" w:eastAsia="Times New Roman" w:hAnsiTheme="majorHAnsi"/>
                <w:sz w:val="22"/>
                <w:szCs w:val="22"/>
              </w:rPr>
              <w:t xml:space="preserve"> </w:t>
            </w:r>
            <w:r w:rsidRPr="00754977">
              <w:rPr>
                <w:rFonts w:asciiTheme="majorHAnsi" w:eastAsia="Times New Roman" w:hAnsiTheme="majorHAnsi"/>
                <w:sz w:val="22"/>
                <w:szCs w:val="22"/>
              </w:rPr>
              <w:t>provider to disclose a customer’s data to a third party; it is frequently trivially</w:t>
            </w:r>
            <w:r>
              <w:rPr>
                <w:rFonts w:asciiTheme="majorHAnsi" w:eastAsia="Times New Roman" w:hAnsiTheme="majorHAnsi"/>
                <w:sz w:val="22"/>
                <w:szCs w:val="22"/>
              </w:rPr>
              <w:t xml:space="preserve"> </w:t>
            </w:r>
            <w:r w:rsidRPr="00754977">
              <w:rPr>
                <w:rFonts w:asciiTheme="majorHAnsi" w:eastAsia="Times New Roman" w:hAnsiTheme="majorHAnsi"/>
                <w:sz w:val="22"/>
                <w:szCs w:val="22"/>
              </w:rPr>
              <w:t>easy for a party abusing the system to allege frivolous or nonexistent civil claims</w:t>
            </w:r>
            <w:r>
              <w:rPr>
                <w:rFonts w:asciiTheme="majorHAnsi" w:eastAsia="Times New Roman" w:hAnsiTheme="majorHAnsi"/>
                <w:sz w:val="22"/>
                <w:szCs w:val="22"/>
              </w:rPr>
              <w:t xml:space="preserve"> </w:t>
            </w:r>
            <w:r w:rsidRPr="00754977">
              <w:rPr>
                <w:rFonts w:asciiTheme="majorHAnsi" w:eastAsia="Times New Roman" w:hAnsiTheme="majorHAnsi"/>
                <w:sz w:val="22"/>
                <w:szCs w:val="22"/>
              </w:rPr>
              <w:t>to justify a demand for personal information. Registrants should have the ability</w:t>
            </w:r>
            <w:r>
              <w:rPr>
                <w:rFonts w:asciiTheme="majorHAnsi" w:eastAsia="Times New Roman" w:hAnsiTheme="majorHAnsi"/>
                <w:sz w:val="22"/>
                <w:szCs w:val="22"/>
              </w:rPr>
              <w:t xml:space="preserve"> </w:t>
            </w:r>
            <w:r w:rsidRPr="00754977">
              <w:rPr>
                <w:rFonts w:asciiTheme="majorHAnsi" w:eastAsia="Times New Roman" w:hAnsiTheme="majorHAnsi"/>
                <w:sz w:val="22"/>
                <w:szCs w:val="22"/>
              </w:rPr>
              <w:t>and opportunity to respond to the allegations and to the dangers to which they,</w:t>
            </w:r>
            <w:r>
              <w:rPr>
                <w:rFonts w:asciiTheme="majorHAnsi" w:eastAsia="Times New Roman" w:hAnsiTheme="majorHAnsi"/>
                <w:sz w:val="22"/>
                <w:szCs w:val="22"/>
              </w:rPr>
              <w:t xml:space="preserve"> </w:t>
            </w:r>
            <w:r w:rsidRPr="00754977">
              <w:rPr>
                <w:rFonts w:asciiTheme="majorHAnsi" w:eastAsia="Times New Roman" w:hAnsiTheme="majorHAnsi"/>
                <w:sz w:val="22"/>
                <w:szCs w:val="22"/>
              </w:rPr>
              <w:t>their families, and their organizations might be subjected, and to obtain counsel</w:t>
            </w:r>
            <w:r>
              <w:rPr>
                <w:rFonts w:asciiTheme="majorHAnsi" w:eastAsia="Times New Roman" w:hAnsiTheme="majorHAnsi"/>
                <w:sz w:val="22"/>
                <w:szCs w:val="22"/>
              </w:rPr>
              <w:t xml:space="preserve"> </w:t>
            </w:r>
            <w:r w:rsidRPr="00754977">
              <w:rPr>
                <w:rFonts w:asciiTheme="majorHAnsi" w:eastAsia="Times New Roman" w:hAnsiTheme="majorHAnsi"/>
                <w:sz w:val="22"/>
                <w:szCs w:val="22"/>
              </w:rPr>
              <w:t>on these matters.</w:t>
            </w:r>
          </w:p>
          <w:p w14:paraId="0481FAC9" w14:textId="77777777" w:rsidR="008E6D47" w:rsidRDefault="008E6D47" w:rsidP="005D7FD2">
            <w:pPr>
              <w:rPr>
                <w:rFonts w:asciiTheme="majorHAnsi" w:eastAsia="Times New Roman" w:hAnsiTheme="majorHAnsi"/>
                <w:sz w:val="22"/>
                <w:szCs w:val="22"/>
              </w:rPr>
            </w:pPr>
          </w:p>
          <w:p w14:paraId="097E9F1B" w14:textId="77777777" w:rsidR="008E6D47" w:rsidRDefault="008E6D47" w:rsidP="005D7FD2">
            <w:pPr>
              <w:rPr>
                <w:rFonts w:asciiTheme="majorHAnsi" w:eastAsia="Times New Roman" w:hAnsiTheme="majorHAnsi"/>
                <w:sz w:val="22"/>
                <w:szCs w:val="22"/>
              </w:rPr>
            </w:pPr>
            <w:r w:rsidRPr="00754977">
              <w:rPr>
                <w:rFonts w:asciiTheme="majorHAnsi" w:eastAsia="Times New Roman" w:hAnsiTheme="majorHAnsi"/>
                <w:sz w:val="22"/>
                <w:szCs w:val="22"/>
              </w:rPr>
              <w:t>Revealing a customer’s registration data</w:t>
            </w:r>
            <w:r>
              <w:rPr>
                <w:rFonts w:asciiTheme="majorHAnsi" w:eastAsia="Times New Roman" w:hAnsiTheme="majorHAnsi"/>
                <w:sz w:val="22"/>
                <w:szCs w:val="22"/>
              </w:rPr>
              <w:t xml:space="preserve"> </w:t>
            </w:r>
            <w:r w:rsidRPr="00754977">
              <w:rPr>
                <w:rFonts w:asciiTheme="majorHAnsi" w:eastAsia="Times New Roman" w:hAnsiTheme="majorHAnsi"/>
                <w:sz w:val="22"/>
                <w:szCs w:val="22"/>
              </w:rPr>
              <w:t>should only occur when there has been a substantial showing of</w:t>
            </w:r>
            <w:r>
              <w:rPr>
                <w:rFonts w:asciiTheme="majorHAnsi" w:eastAsia="Times New Roman" w:hAnsiTheme="majorHAnsi"/>
                <w:sz w:val="22"/>
                <w:szCs w:val="22"/>
              </w:rPr>
              <w:t xml:space="preserve"> </w:t>
            </w:r>
            <w:r w:rsidRPr="00754977">
              <w:rPr>
                <w:rFonts w:asciiTheme="majorHAnsi" w:eastAsia="Times New Roman" w:hAnsiTheme="majorHAnsi"/>
                <w:sz w:val="22"/>
                <w:szCs w:val="22"/>
              </w:rPr>
              <w:t>likelihood of abuse and only after du</w:t>
            </w:r>
            <w:r>
              <w:rPr>
                <w:rFonts w:asciiTheme="majorHAnsi" w:eastAsia="Times New Roman" w:hAnsiTheme="majorHAnsi"/>
                <w:sz w:val="22"/>
                <w:szCs w:val="22"/>
              </w:rPr>
              <w:t>e process.</w:t>
            </w:r>
          </w:p>
          <w:p w14:paraId="59AA771E" w14:textId="77777777" w:rsidR="008E6D47" w:rsidRDefault="008E6D47" w:rsidP="005D7FD2">
            <w:pPr>
              <w:rPr>
                <w:rFonts w:asciiTheme="majorHAnsi" w:eastAsia="Times New Roman" w:hAnsiTheme="majorHAnsi"/>
                <w:sz w:val="22"/>
                <w:szCs w:val="22"/>
              </w:rPr>
            </w:pPr>
          </w:p>
          <w:p w14:paraId="314FC58C" w14:textId="7BA8AF75" w:rsidR="008E6D47" w:rsidRPr="00253C40" w:rsidRDefault="008E6D47" w:rsidP="0062714B">
            <w:pPr>
              <w:rPr>
                <w:rFonts w:asciiTheme="majorHAnsi" w:eastAsia="Times New Roman" w:hAnsiTheme="majorHAnsi"/>
                <w:sz w:val="22"/>
                <w:szCs w:val="22"/>
              </w:rPr>
            </w:pPr>
            <w:r w:rsidRPr="00754977">
              <w:rPr>
                <w:rFonts w:asciiTheme="majorHAnsi" w:eastAsia="Times New Roman" w:hAnsiTheme="majorHAnsi"/>
                <w:sz w:val="22"/>
                <w:szCs w:val="22"/>
              </w:rPr>
              <w:t>Customers should be entitled to a fair review process before their data is disclosed or published. Further, within a short period after adoption and implementation of the final rules, ICANN should implement a mandatory review process to survey customers to understand the impact of disclosures made pursuant to the requirements ICANN has imposed. In addition, ICANN should seek to assess on a continuing basis whether these rules create a c</w:t>
            </w:r>
            <w:r>
              <w:rPr>
                <w:rFonts w:asciiTheme="majorHAnsi" w:eastAsia="Times New Roman" w:hAnsiTheme="majorHAnsi"/>
                <w:sz w:val="22"/>
                <w:szCs w:val="22"/>
              </w:rPr>
              <w:t>hilling effect on online speech.</w:t>
            </w:r>
            <w:r w:rsidRPr="0003664B">
              <w:rPr>
                <w:rFonts w:asciiTheme="majorHAnsi" w:eastAsia="Times New Roman" w:hAnsiTheme="majorHAnsi"/>
                <w:sz w:val="22"/>
                <w:szCs w:val="22"/>
              </w:rPr>
              <w:t xml:space="preserve"> </w:t>
            </w:r>
          </w:p>
        </w:tc>
        <w:tc>
          <w:tcPr>
            <w:tcW w:w="3060" w:type="dxa"/>
          </w:tcPr>
          <w:p w14:paraId="5C5A6147" w14:textId="77777777" w:rsidR="008E6D47" w:rsidRPr="007C033C" w:rsidRDefault="008E6D47" w:rsidP="00E81C5B">
            <w:pPr>
              <w:rPr>
                <w:rFonts w:ascii="Calibri" w:eastAsia="Times New Roman" w:hAnsi="Calibri" w:cs="Arial"/>
                <w:sz w:val="22"/>
                <w:szCs w:val="22"/>
                <w:shd w:val="clear" w:color="auto" w:fill="FFFFFF"/>
              </w:rPr>
            </w:pPr>
          </w:p>
        </w:tc>
        <w:tc>
          <w:tcPr>
            <w:tcW w:w="1608" w:type="dxa"/>
          </w:tcPr>
          <w:p w14:paraId="1252BD55" w14:textId="11601B7C" w:rsidR="008E6D47" w:rsidRDefault="008E6D4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CDT, Open Technology Institute &amp; Public Knowledge</w:t>
            </w:r>
          </w:p>
        </w:tc>
        <w:tc>
          <w:tcPr>
            <w:tcW w:w="2694" w:type="dxa"/>
          </w:tcPr>
          <w:p w14:paraId="0B3625DF" w14:textId="77777777" w:rsidR="008E6D47" w:rsidRPr="007C033C" w:rsidRDefault="008E6D47" w:rsidP="00E81C5B">
            <w:pPr>
              <w:contextualSpacing/>
              <w:rPr>
                <w:rFonts w:ascii="Calibri" w:hAnsi="Calibri"/>
                <w:sz w:val="22"/>
              </w:rPr>
            </w:pPr>
          </w:p>
        </w:tc>
        <w:tc>
          <w:tcPr>
            <w:tcW w:w="2436" w:type="dxa"/>
          </w:tcPr>
          <w:p w14:paraId="37579422" w14:textId="77777777" w:rsidR="008E6D47" w:rsidRPr="007C033C" w:rsidRDefault="008E6D47" w:rsidP="00E81C5B">
            <w:pPr>
              <w:contextualSpacing/>
              <w:rPr>
                <w:rFonts w:ascii="Calibri" w:hAnsi="Calibri"/>
                <w:b/>
                <w:sz w:val="22"/>
              </w:rPr>
            </w:pPr>
          </w:p>
        </w:tc>
      </w:tr>
      <w:tr w:rsidR="008E6D47" w:rsidRPr="007C033C" w14:paraId="6B81B9BA" w14:textId="77777777" w:rsidTr="00E81C5B">
        <w:tc>
          <w:tcPr>
            <w:tcW w:w="835" w:type="dxa"/>
          </w:tcPr>
          <w:p w14:paraId="09222182" w14:textId="77777777" w:rsidR="008E6D47" w:rsidRPr="002C71AD" w:rsidRDefault="008E6D47" w:rsidP="00E81C5B">
            <w:pPr>
              <w:pStyle w:val="ListParagraph"/>
              <w:numPr>
                <w:ilvl w:val="0"/>
                <w:numId w:val="27"/>
              </w:numPr>
              <w:rPr>
                <w:rFonts w:ascii="Calibri" w:hAnsi="Calibri"/>
                <w:b/>
                <w:sz w:val="22"/>
              </w:rPr>
            </w:pPr>
          </w:p>
        </w:tc>
        <w:tc>
          <w:tcPr>
            <w:tcW w:w="3960" w:type="dxa"/>
          </w:tcPr>
          <w:p w14:paraId="2F0B20D1" w14:textId="77777777" w:rsidR="008E6D47" w:rsidRPr="00677545" w:rsidRDefault="008E6D47" w:rsidP="005D7FD2">
            <w:pPr>
              <w:pStyle w:val="HTMLPreformatted"/>
              <w:shd w:val="clear" w:color="auto" w:fill="FFFFFF"/>
              <w:rPr>
                <w:rFonts w:asciiTheme="majorHAnsi" w:hAnsiTheme="majorHAnsi"/>
                <w:color w:val="000000"/>
                <w:sz w:val="22"/>
                <w:szCs w:val="22"/>
              </w:rPr>
            </w:pPr>
            <w:r w:rsidRPr="00677545">
              <w:rPr>
                <w:rFonts w:asciiTheme="majorHAnsi" w:hAnsiTheme="majorHAnsi"/>
                <w:color w:val="000000"/>
                <w:sz w:val="22"/>
                <w:szCs w:val="22"/>
              </w:rPr>
              <w:t xml:space="preserve">The decision whether to relay, reveal, publish </w:t>
            </w:r>
            <w:r>
              <w:rPr>
                <w:rFonts w:asciiTheme="majorHAnsi" w:hAnsiTheme="majorHAnsi"/>
                <w:color w:val="000000"/>
                <w:sz w:val="22"/>
                <w:szCs w:val="22"/>
              </w:rPr>
              <w:t xml:space="preserve">or disclose seems fraught with </w:t>
            </w:r>
            <w:r w:rsidRPr="00677545">
              <w:rPr>
                <w:rFonts w:asciiTheme="majorHAnsi" w:hAnsiTheme="majorHAnsi"/>
                <w:color w:val="000000"/>
                <w:sz w:val="22"/>
                <w:szCs w:val="22"/>
              </w:rPr>
              <w:t xml:space="preserve">difficulty.  While producing a court order </w:t>
            </w:r>
            <w:r>
              <w:rPr>
                <w:rFonts w:asciiTheme="majorHAnsi" w:hAnsiTheme="majorHAnsi"/>
                <w:color w:val="000000"/>
                <w:sz w:val="22"/>
                <w:szCs w:val="22"/>
              </w:rPr>
              <w:t xml:space="preserve">(or any other such order) will </w:t>
            </w:r>
            <w:r w:rsidRPr="00677545">
              <w:rPr>
                <w:rFonts w:asciiTheme="majorHAnsi" w:hAnsiTheme="majorHAnsi"/>
                <w:color w:val="000000"/>
                <w:sz w:val="22"/>
                <w:szCs w:val="22"/>
              </w:rPr>
              <w:t xml:space="preserve">induce disclosure, is it to be suggested that a </w:t>
            </w:r>
            <w:r>
              <w:rPr>
                <w:rFonts w:asciiTheme="majorHAnsi" w:hAnsiTheme="majorHAnsi"/>
                <w:color w:val="000000"/>
                <w:sz w:val="22"/>
                <w:szCs w:val="22"/>
              </w:rPr>
              <w:t xml:space="preserve">privacy and proxy provider has </w:t>
            </w:r>
            <w:r w:rsidRPr="00677545">
              <w:rPr>
                <w:rFonts w:asciiTheme="majorHAnsi" w:hAnsiTheme="majorHAnsi"/>
                <w:color w:val="000000"/>
                <w:sz w:val="22"/>
                <w:szCs w:val="22"/>
              </w:rPr>
              <w:t>to act as judge and jury to decide whether or n</w:t>
            </w:r>
            <w:r>
              <w:rPr>
                <w:rFonts w:asciiTheme="majorHAnsi" w:hAnsiTheme="majorHAnsi"/>
                <w:color w:val="000000"/>
                <w:sz w:val="22"/>
                <w:szCs w:val="22"/>
              </w:rPr>
              <w:t>ot to publish or to disclose</w:t>
            </w:r>
            <w:r w:rsidRPr="00677545">
              <w:rPr>
                <w:rFonts w:asciiTheme="majorHAnsi" w:hAnsiTheme="majorHAnsi"/>
                <w:color w:val="000000"/>
                <w:sz w:val="22"/>
                <w:szCs w:val="22"/>
              </w:rPr>
              <w:t xml:space="preserve">?  </w:t>
            </w:r>
            <w:r>
              <w:rPr>
                <w:rFonts w:asciiTheme="majorHAnsi" w:hAnsiTheme="majorHAnsi"/>
                <w:color w:val="000000"/>
                <w:sz w:val="22"/>
                <w:szCs w:val="22"/>
              </w:rPr>
              <w:t>[We] suggest</w:t>
            </w:r>
            <w:r w:rsidRPr="00677545">
              <w:rPr>
                <w:rFonts w:asciiTheme="majorHAnsi" w:hAnsiTheme="majorHAnsi"/>
                <w:color w:val="000000"/>
                <w:sz w:val="22"/>
                <w:szCs w:val="22"/>
              </w:rPr>
              <w:t xml:space="preserve"> that the same onerous burden is not put on the</w:t>
            </w:r>
            <w:r>
              <w:rPr>
                <w:rFonts w:asciiTheme="majorHAnsi" w:hAnsiTheme="majorHAnsi"/>
                <w:color w:val="000000"/>
                <w:sz w:val="22"/>
                <w:szCs w:val="22"/>
              </w:rPr>
              <w:t xml:space="preserve">se providers.  It must also be </w:t>
            </w:r>
            <w:r w:rsidRPr="00677545">
              <w:rPr>
                <w:rFonts w:asciiTheme="majorHAnsi" w:hAnsiTheme="majorHAnsi"/>
                <w:color w:val="000000"/>
                <w:sz w:val="22"/>
                <w:szCs w:val="22"/>
              </w:rPr>
              <w:t xml:space="preserve">remembered that any complaint of abuse must be </w:t>
            </w:r>
            <w:r>
              <w:rPr>
                <w:rFonts w:asciiTheme="majorHAnsi" w:hAnsiTheme="majorHAnsi"/>
                <w:color w:val="000000"/>
                <w:sz w:val="22"/>
                <w:szCs w:val="22"/>
              </w:rPr>
              <w:t xml:space="preserve">in relation to the domain name </w:t>
            </w:r>
            <w:r w:rsidRPr="00677545">
              <w:rPr>
                <w:rFonts w:asciiTheme="majorHAnsi" w:hAnsiTheme="majorHAnsi"/>
                <w:color w:val="000000"/>
                <w:sz w:val="22"/>
                <w:szCs w:val="22"/>
              </w:rPr>
              <w:t>only.</w:t>
            </w:r>
          </w:p>
          <w:p w14:paraId="58F6B150" w14:textId="77777777" w:rsidR="008E6D47" w:rsidRDefault="008E6D47" w:rsidP="005D7FD2">
            <w:pPr>
              <w:pStyle w:val="HTMLPreformatted"/>
              <w:shd w:val="clear" w:color="auto" w:fill="FFFFFF"/>
              <w:rPr>
                <w:rFonts w:asciiTheme="majorHAnsi" w:hAnsiTheme="majorHAnsi"/>
                <w:color w:val="000000"/>
                <w:sz w:val="22"/>
                <w:szCs w:val="22"/>
              </w:rPr>
            </w:pPr>
          </w:p>
          <w:p w14:paraId="7D6C222F" w14:textId="0AFD3D88" w:rsidR="008E6D47" w:rsidRPr="00253C40" w:rsidRDefault="008E6D47" w:rsidP="0062714B">
            <w:pPr>
              <w:rPr>
                <w:rFonts w:asciiTheme="majorHAnsi" w:eastAsia="Times New Roman" w:hAnsiTheme="majorHAnsi"/>
                <w:sz w:val="22"/>
                <w:szCs w:val="22"/>
              </w:rPr>
            </w:pPr>
            <w:r>
              <w:rPr>
                <w:rFonts w:asciiTheme="majorHAnsi" w:hAnsiTheme="majorHAnsi"/>
                <w:color w:val="000000"/>
                <w:sz w:val="22"/>
                <w:szCs w:val="22"/>
              </w:rPr>
              <w:t>[I]</w:t>
            </w:r>
            <w:r w:rsidRPr="00677545">
              <w:rPr>
                <w:rFonts w:asciiTheme="majorHAnsi" w:hAnsiTheme="majorHAnsi"/>
                <w:color w:val="000000"/>
                <w:sz w:val="22"/>
                <w:szCs w:val="22"/>
              </w:rPr>
              <w:t>s it also suggested that any accredited privacy and  proxy provider would then be held liable for not publishing or disclosing the  identity of that domain name owner?  If so, this</w:t>
            </w:r>
            <w:r>
              <w:rPr>
                <w:rFonts w:asciiTheme="majorHAnsi" w:hAnsiTheme="majorHAnsi"/>
                <w:color w:val="000000"/>
                <w:sz w:val="22"/>
                <w:szCs w:val="22"/>
              </w:rPr>
              <w:t xml:space="preserve"> surely would then achieve the </w:t>
            </w:r>
            <w:r w:rsidRPr="00677545">
              <w:rPr>
                <w:rFonts w:asciiTheme="majorHAnsi" w:hAnsiTheme="majorHAnsi"/>
                <w:color w:val="000000"/>
                <w:sz w:val="22"/>
                <w:szCs w:val="22"/>
              </w:rPr>
              <w:t>desired result of either publishing or disclosin</w:t>
            </w:r>
            <w:r>
              <w:rPr>
                <w:rFonts w:asciiTheme="majorHAnsi" w:hAnsiTheme="majorHAnsi"/>
                <w:color w:val="000000"/>
                <w:sz w:val="22"/>
                <w:szCs w:val="22"/>
              </w:rPr>
              <w:t xml:space="preserve">g the required identity as the </w:t>
            </w:r>
            <w:r w:rsidRPr="00677545">
              <w:rPr>
                <w:rFonts w:asciiTheme="majorHAnsi" w:hAnsiTheme="majorHAnsi"/>
                <w:color w:val="000000"/>
                <w:sz w:val="22"/>
                <w:szCs w:val="22"/>
              </w:rPr>
              <w:t>privacy and proxy provider may see this as t</w:t>
            </w:r>
            <w:r>
              <w:rPr>
                <w:rFonts w:asciiTheme="majorHAnsi" w:hAnsiTheme="majorHAnsi"/>
                <w:color w:val="000000"/>
                <w:sz w:val="22"/>
                <w:szCs w:val="22"/>
              </w:rPr>
              <w:t xml:space="preserve">oo great a risk to continue to </w:t>
            </w:r>
            <w:r w:rsidRPr="00677545">
              <w:rPr>
                <w:rFonts w:asciiTheme="majorHAnsi" w:hAnsiTheme="majorHAnsi"/>
                <w:color w:val="000000"/>
                <w:sz w:val="22"/>
                <w:szCs w:val="22"/>
              </w:rPr>
              <w:t>provide the service.</w:t>
            </w:r>
          </w:p>
        </w:tc>
        <w:tc>
          <w:tcPr>
            <w:tcW w:w="3060" w:type="dxa"/>
          </w:tcPr>
          <w:p w14:paraId="38685A7D" w14:textId="77777777" w:rsidR="008E6D47" w:rsidRPr="007C033C" w:rsidRDefault="008E6D47" w:rsidP="00E81C5B">
            <w:pPr>
              <w:rPr>
                <w:rFonts w:ascii="Calibri" w:eastAsia="Times New Roman" w:hAnsi="Calibri" w:cs="Arial"/>
                <w:sz w:val="22"/>
                <w:szCs w:val="22"/>
                <w:shd w:val="clear" w:color="auto" w:fill="FFFFFF"/>
              </w:rPr>
            </w:pPr>
          </w:p>
        </w:tc>
        <w:tc>
          <w:tcPr>
            <w:tcW w:w="1608" w:type="dxa"/>
          </w:tcPr>
          <w:p w14:paraId="1664392A" w14:textId="302E3A5D" w:rsidR="008E6D47" w:rsidRDefault="008E6D4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1&amp;1 Internet SE</w:t>
            </w:r>
          </w:p>
        </w:tc>
        <w:tc>
          <w:tcPr>
            <w:tcW w:w="2694" w:type="dxa"/>
          </w:tcPr>
          <w:p w14:paraId="1DF1CC3D" w14:textId="77777777" w:rsidR="008E6D47" w:rsidRPr="007C033C" w:rsidRDefault="008E6D47" w:rsidP="00E81C5B">
            <w:pPr>
              <w:contextualSpacing/>
              <w:rPr>
                <w:rFonts w:ascii="Calibri" w:hAnsi="Calibri"/>
                <w:sz w:val="22"/>
              </w:rPr>
            </w:pPr>
          </w:p>
        </w:tc>
        <w:tc>
          <w:tcPr>
            <w:tcW w:w="2436" w:type="dxa"/>
          </w:tcPr>
          <w:p w14:paraId="6034FAAD" w14:textId="77777777" w:rsidR="008E6D47" w:rsidRPr="007C033C" w:rsidRDefault="008E6D47" w:rsidP="00E81C5B">
            <w:pPr>
              <w:contextualSpacing/>
              <w:rPr>
                <w:rFonts w:ascii="Calibri" w:hAnsi="Calibri"/>
                <w:b/>
                <w:sz w:val="22"/>
              </w:rPr>
            </w:pPr>
          </w:p>
        </w:tc>
      </w:tr>
      <w:tr w:rsidR="008E6D47" w:rsidRPr="007C033C" w14:paraId="05977185" w14:textId="77777777" w:rsidTr="00E81C5B">
        <w:tc>
          <w:tcPr>
            <w:tcW w:w="835" w:type="dxa"/>
          </w:tcPr>
          <w:p w14:paraId="365D93BB" w14:textId="77777777" w:rsidR="008E6D47" w:rsidRPr="002C71AD" w:rsidRDefault="008E6D47" w:rsidP="00E81C5B">
            <w:pPr>
              <w:pStyle w:val="ListParagraph"/>
              <w:numPr>
                <w:ilvl w:val="0"/>
                <w:numId w:val="27"/>
              </w:numPr>
              <w:rPr>
                <w:rFonts w:ascii="Calibri" w:hAnsi="Calibri"/>
                <w:b/>
                <w:sz w:val="22"/>
              </w:rPr>
            </w:pPr>
          </w:p>
        </w:tc>
        <w:tc>
          <w:tcPr>
            <w:tcW w:w="3960" w:type="dxa"/>
          </w:tcPr>
          <w:p w14:paraId="3EF93850" w14:textId="670E70BE" w:rsidR="008E6D47" w:rsidRPr="00253C40" w:rsidRDefault="008E6D47" w:rsidP="0062714B">
            <w:pPr>
              <w:rPr>
                <w:rFonts w:asciiTheme="majorHAnsi" w:eastAsia="Times New Roman" w:hAnsiTheme="majorHAnsi"/>
                <w:sz w:val="22"/>
                <w:szCs w:val="22"/>
              </w:rPr>
            </w:pPr>
            <w:r w:rsidRPr="00FB6104">
              <w:rPr>
                <w:rFonts w:asciiTheme="majorHAnsi" w:hAnsiTheme="majorHAnsi"/>
                <w:color w:val="000000"/>
                <w:sz w:val="22"/>
                <w:szCs w:val="22"/>
              </w:rPr>
              <w:t>In order to comply</w:t>
            </w:r>
            <w:r>
              <w:rPr>
                <w:rFonts w:asciiTheme="majorHAnsi" w:hAnsiTheme="majorHAnsi"/>
                <w:color w:val="000000"/>
                <w:sz w:val="22"/>
                <w:szCs w:val="22"/>
              </w:rPr>
              <w:t xml:space="preserve"> with human rights standards</w:t>
            </w:r>
            <w:r w:rsidRPr="00FB6104">
              <w:rPr>
                <w:rFonts w:asciiTheme="majorHAnsi" w:hAnsiTheme="majorHAnsi"/>
                <w:color w:val="000000"/>
                <w:sz w:val="22"/>
                <w:szCs w:val="22"/>
              </w:rPr>
              <w:t>, any rules forcing PPSP</w:t>
            </w:r>
            <w:r>
              <w:rPr>
                <w:rFonts w:asciiTheme="majorHAnsi" w:hAnsiTheme="majorHAnsi"/>
                <w:color w:val="000000"/>
                <w:sz w:val="22"/>
                <w:szCs w:val="22"/>
              </w:rPr>
              <w:t xml:space="preserve">s to disclose or publish user </w:t>
            </w:r>
            <w:r w:rsidRPr="00FB6104">
              <w:rPr>
                <w:rFonts w:asciiTheme="majorHAnsi" w:hAnsiTheme="majorHAnsi"/>
                <w:color w:val="000000"/>
                <w:sz w:val="22"/>
                <w:szCs w:val="22"/>
              </w:rPr>
              <w:t>data upon request must comport with legal due process and require a court order or a subpoena for its execution whether the requestor is a private party or a law enforcement authority. The most protective approach towards user privacy must be adopted in the case of any gaps between between domestic legislation and international human rights standards.</w:t>
            </w:r>
          </w:p>
        </w:tc>
        <w:tc>
          <w:tcPr>
            <w:tcW w:w="3060" w:type="dxa"/>
          </w:tcPr>
          <w:p w14:paraId="79F2248F" w14:textId="77777777" w:rsidR="008E6D47" w:rsidRPr="007C033C" w:rsidRDefault="008E6D47" w:rsidP="00E81C5B">
            <w:pPr>
              <w:rPr>
                <w:rFonts w:ascii="Calibri" w:eastAsia="Times New Roman" w:hAnsi="Calibri" w:cs="Arial"/>
                <w:sz w:val="22"/>
                <w:szCs w:val="22"/>
                <w:shd w:val="clear" w:color="auto" w:fill="FFFFFF"/>
              </w:rPr>
            </w:pPr>
          </w:p>
        </w:tc>
        <w:tc>
          <w:tcPr>
            <w:tcW w:w="1608" w:type="dxa"/>
          </w:tcPr>
          <w:p w14:paraId="59717770" w14:textId="30080436" w:rsidR="008E6D47" w:rsidRDefault="008E6D4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Access Now</w:t>
            </w:r>
          </w:p>
        </w:tc>
        <w:tc>
          <w:tcPr>
            <w:tcW w:w="2694" w:type="dxa"/>
          </w:tcPr>
          <w:p w14:paraId="70FFD655" w14:textId="77777777" w:rsidR="008E6D47" w:rsidRPr="007C033C" w:rsidRDefault="008E6D47" w:rsidP="00E81C5B">
            <w:pPr>
              <w:contextualSpacing/>
              <w:rPr>
                <w:rFonts w:ascii="Calibri" w:hAnsi="Calibri"/>
                <w:sz w:val="22"/>
              </w:rPr>
            </w:pPr>
          </w:p>
        </w:tc>
        <w:tc>
          <w:tcPr>
            <w:tcW w:w="2436" w:type="dxa"/>
          </w:tcPr>
          <w:p w14:paraId="21CE6222" w14:textId="77777777" w:rsidR="008E6D47" w:rsidRPr="007C033C" w:rsidRDefault="008E6D47" w:rsidP="00E81C5B">
            <w:pPr>
              <w:contextualSpacing/>
              <w:rPr>
                <w:rFonts w:ascii="Calibri" w:hAnsi="Calibri"/>
                <w:b/>
                <w:sz w:val="22"/>
              </w:rPr>
            </w:pPr>
          </w:p>
        </w:tc>
      </w:tr>
      <w:tr w:rsidR="00150974" w:rsidRPr="007C033C" w14:paraId="6E976C3A" w14:textId="77777777" w:rsidTr="00E81C5B">
        <w:tc>
          <w:tcPr>
            <w:tcW w:w="835" w:type="dxa"/>
          </w:tcPr>
          <w:p w14:paraId="47EAFF62" w14:textId="77777777" w:rsidR="00150974" w:rsidRPr="002C71AD" w:rsidRDefault="00150974" w:rsidP="00E81C5B">
            <w:pPr>
              <w:pStyle w:val="ListParagraph"/>
              <w:numPr>
                <w:ilvl w:val="0"/>
                <w:numId w:val="27"/>
              </w:numPr>
              <w:rPr>
                <w:rFonts w:ascii="Calibri" w:hAnsi="Calibri"/>
                <w:b/>
                <w:sz w:val="22"/>
              </w:rPr>
            </w:pPr>
          </w:p>
        </w:tc>
        <w:tc>
          <w:tcPr>
            <w:tcW w:w="3960" w:type="dxa"/>
          </w:tcPr>
          <w:p w14:paraId="1D543F2D" w14:textId="3541C467" w:rsidR="00150974" w:rsidRPr="00FB6104" w:rsidRDefault="00150974" w:rsidP="0062714B">
            <w:pPr>
              <w:rPr>
                <w:rFonts w:asciiTheme="majorHAnsi" w:hAnsiTheme="majorHAnsi"/>
                <w:color w:val="000000"/>
                <w:sz w:val="22"/>
                <w:szCs w:val="22"/>
              </w:rPr>
            </w:pPr>
            <w:r w:rsidRPr="00FB6104">
              <w:rPr>
                <w:rFonts w:asciiTheme="majorHAnsi" w:eastAsia="Times New Roman" w:hAnsiTheme="majorHAnsi"/>
                <w:sz w:val="22"/>
                <w:szCs w:val="22"/>
              </w:rPr>
              <w:t>[T]he framework for processing intellectual property complaints set out in Annex E is concerning because it allows for the circumvention of existing due process. The proposed framework would essentially allow a copyright owner to bypass existing DMCA processes to obtain private registrant information. Establishing an accreditation program that allows any one party (i.e., intellectual property owners) to bypass due process opens the door for other parties to do the same (e.g., law enforcement agencies). Further, the proposed framework ignores existing jurisdictional and legal rights applicable to registrants and privacy providers around the world</w:t>
            </w:r>
            <w:r>
              <w:rPr>
                <w:rFonts w:asciiTheme="majorHAnsi" w:eastAsia="Times New Roman" w:hAnsiTheme="majorHAnsi"/>
                <w:sz w:val="22"/>
                <w:szCs w:val="22"/>
              </w:rPr>
              <w:t>.</w:t>
            </w:r>
          </w:p>
        </w:tc>
        <w:tc>
          <w:tcPr>
            <w:tcW w:w="3060" w:type="dxa"/>
          </w:tcPr>
          <w:p w14:paraId="44085C64" w14:textId="77777777" w:rsidR="00150974" w:rsidRPr="007C033C" w:rsidRDefault="00150974" w:rsidP="00E81C5B">
            <w:pPr>
              <w:rPr>
                <w:rFonts w:ascii="Calibri" w:eastAsia="Times New Roman" w:hAnsi="Calibri" w:cs="Arial"/>
                <w:sz w:val="22"/>
                <w:szCs w:val="22"/>
                <w:shd w:val="clear" w:color="auto" w:fill="FFFFFF"/>
              </w:rPr>
            </w:pPr>
          </w:p>
        </w:tc>
        <w:tc>
          <w:tcPr>
            <w:tcW w:w="1608" w:type="dxa"/>
          </w:tcPr>
          <w:p w14:paraId="0FCD4744" w14:textId="1C46E18B" w:rsidR="00150974" w:rsidRDefault="0015097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Endurance Int’l Group</w:t>
            </w:r>
          </w:p>
        </w:tc>
        <w:tc>
          <w:tcPr>
            <w:tcW w:w="2694" w:type="dxa"/>
          </w:tcPr>
          <w:p w14:paraId="5133B480" w14:textId="77777777" w:rsidR="00150974" w:rsidRPr="007C033C" w:rsidRDefault="00150974" w:rsidP="00E81C5B">
            <w:pPr>
              <w:contextualSpacing/>
              <w:rPr>
                <w:rFonts w:ascii="Calibri" w:hAnsi="Calibri"/>
                <w:sz w:val="22"/>
              </w:rPr>
            </w:pPr>
          </w:p>
        </w:tc>
        <w:tc>
          <w:tcPr>
            <w:tcW w:w="2436" w:type="dxa"/>
          </w:tcPr>
          <w:p w14:paraId="47A06033" w14:textId="77777777" w:rsidR="00150974" w:rsidRPr="007C033C" w:rsidRDefault="00150974" w:rsidP="00E81C5B">
            <w:pPr>
              <w:contextualSpacing/>
              <w:rPr>
                <w:rFonts w:ascii="Calibri" w:hAnsi="Calibri"/>
                <w:b/>
                <w:sz w:val="22"/>
              </w:rPr>
            </w:pPr>
          </w:p>
        </w:tc>
      </w:tr>
      <w:tr w:rsidR="00150974" w:rsidRPr="007C033C" w14:paraId="7922378A" w14:textId="77777777" w:rsidTr="00E81C5B">
        <w:tc>
          <w:tcPr>
            <w:tcW w:w="835" w:type="dxa"/>
          </w:tcPr>
          <w:p w14:paraId="663426CC" w14:textId="77777777" w:rsidR="00150974" w:rsidRPr="002C71AD" w:rsidRDefault="00150974" w:rsidP="00E81C5B">
            <w:pPr>
              <w:pStyle w:val="ListParagraph"/>
              <w:numPr>
                <w:ilvl w:val="0"/>
                <w:numId w:val="27"/>
              </w:numPr>
              <w:rPr>
                <w:rFonts w:ascii="Calibri" w:hAnsi="Calibri"/>
                <w:b/>
                <w:sz w:val="22"/>
              </w:rPr>
            </w:pPr>
          </w:p>
        </w:tc>
        <w:tc>
          <w:tcPr>
            <w:tcW w:w="3960" w:type="dxa"/>
          </w:tcPr>
          <w:p w14:paraId="79C13E4B" w14:textId="612D75E7" w:rsidR="00150974" w:rsidRPr="00150974" w:rsidRDefault="00150974" w:rsidP="0062714B">
            <w:pPr>
              <w:rPr>
                <w:rFonts w:asciiTheme="majorHAnsi" w:eastAsia="Times New Roman" w:hAnsiTheme="majorHAnsi"/>
                <w:sz w:val="22"/>
                <w:szCs w:val="22"/>
              </w:rPr>
            </w:pPr>
            <w:r w:rsidRPr="00FB6104">
              <w:rPr>
                <w:rFonts w:asciiTheme="majorHAnsi" w:eastAsia="Times New Roman" w:hAnsiTheme="majorHAnsi"/>
                <w:sz w:val="22"/>
                <w:szCs w:val="22"/>
              </w:rPr>
              <w:t xml:space="preserve">INTA generally supports the [Illustrative] Disclosure Framework. In INTA’s view, the Disclosure Framework largely achieves the three objectives that the WG identified for it. INTA especially agrees with Section III(D) of the Disclosure Framework. </w:t>
            </w:r>
          </w:p>
        </w:tc>
        <w:tc>
          <w:tcPr>
            <w:tcW w:w="3060" w:type="dxa"/>
          </w:tcPr>
          <w:p w14:paraId="057FA974" w14:textId="77777777" w:rsidR="00150974" w:rsidRPr="007C033C" w:rsidRDefault="00150974" w:rsidP="00E81C5B">
            <w:pPr>
              <w:rPr>
                <w:rFonts w:ascii="Calibri" w:eastAsia="Times New Roman" w:hAnsi="Calibri" w:cs="Arial"/>
                <w:sz w:val="22"/>
                <w:szCs w:val="22"/>
                <w:shd w:val="clear" w:color="auto" w:fill="FFFFFF"/>
              </w:rPr>
            </w:pPr>
          </w:p>
        </w:tc>
        <w:tc>
          <w:tcPr>
            <w:tcW w:w="1608" w:type="dxa"/>
          </w:tcPr>
          <w:p w14:paraId="0D947154" w14:textId="530843CB" w:rsidR="00150974" w:rsidRDefault="0015097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Int’l Trademark Association (INTA)</w:t>
            </w:r>
          </w:p>
        </w:tc>
        <w:tc>
          <w:tcPr>
            <w:tcW w:w="2694" w:type="dxa"/>
          </w:tcPr>
          <w:p w14:paraId="12CC611C" w14:textId="77777777" w:rsidR="00150974" w:rsidRPr="007C033C" w:rsidRDefault="00150974" w:rsidP="00E81C5B">
            <w:pPr>
              <w:contextualSpacing/>
              <w:rPr>
                <w:rFonts w:ascii="Calibri" w:hAnsi="Calibri"/>
                <w:sz w:val="22"/>
              </w:rPr>
            </w:pPr>
          </w:p>
        </w:tc>
        <w:tc>
          <w:tcPr>
            <w:tcW w:w="2436" w:type="dxa"/>
          </w:tcPr>
          <w:p w14:paraId="45B62E7C" w14:textId="77777777" w:rsidR="00150974" w:rsidRPr="007C033C" w:rsidRDefault="00150974" w:rsidP="00E81C5B">
            <w:pPr>
              <w:contextualSpacing/>
              <w:rPr>
                <w:rFonts w:ascii="Calibri" w:hAnsi="Calibri"/>
                <w:b/>
                <w:sz w:val="22"/>
              </w:rPr>
            </w:pPr>
          </w:p>
        </w:tc>
      </w:tr>
      <w:tr w:rsidR="00150974" w:rsidRPr="007C033C" w14:paraId="51EF7856" w14:textId="77777777" w:rsidTr="00E81C5B">
        <w:tc>
          <w:tcPr>
            <w:tcW w:w="835" w:type="dxa"/>
          </w:tcPr>
          <w:p w14:paraId="6A44B5C9" w14:textId="77777777" w:rsidR="00150974" w:rsidRPr="002C71AD" w:rsidRDefault="00150974" w:rsidP="00E81C5B">
            <w:pPr>
              <w:pStyle w:val="ListParagraph"/>
              <w:numPr>
                <w:ilvl w:val="0"/>
                <w:numId w:val="27"/>
              </w:numPr>
              <w:rPr>
                <w:rFonts w:ascii="Calibri" w:hAnsi="Calibri"/>
                <w:b/>
                <w:sz w:val="22"/>
              </w:rPr>
            </w:pPr>
          </w:p>
        </w:tc>
        <w:tc>
          <w:tcPr>
            <w:tcW w:w="3960" w:type="dxa"/>
          </w:tcPr>
          <w:p w14:paraId="68FEC2FF" w14:textId="7C77255A" w:rsidR="00150974" w:rsidRPr="00150974" w:rsidRDefault="00150974" w:rsidP="0062714B">
            <w:pPr>
              <w:rPr>
                <w:rFonts w:asciiTheme="majorHAnsi" w:eastAsia="Times New Roman" w:hAnsiTheme="majorHAnsi"/>
                <w:sz w:val="22"/>
                <w:szCs w:val="22"/>
              </w:rPr>
            </w:pPr>
            <w:r w:rsidRPr="00FB6104">
              <w:rPr>
                <w:rFonts w:asciiTheme="majorHAnsi" w:eastAsia="Times New Roman" w:hAnsiTheme="majorHAnsi"/>
                <w:sz w:val="22"/>
                <w:szCs w:val="22"/>
              </w:rPr>
              <w:t>We also support the efforts of the working group to clearly establish under what circumstances and through what process a third party could request “disclosure” of underlying registrant information (Recommendations 18 &amp; 19, Annex E). The IACC notes that appropriate safeguards have been put into place to protect registrants in this regard [and] that privacy and proxy providers can deny requests for information with adequate, sufficient or compelling reasons to do so, which addresses many of the concerns that have been expressed in this public comment period. The IACC believes this is a well formulated disclosure template and supports it.</w:t>
            </w:r>
          </w:p>
        </w:tc>
        <w:tc>
          <w:tcPr>
            <w:tcW w:w="3060" w:type="dxa"/>
          </w:tcPr>
          <w:p w14:paraId="108BAED2" w14:textId="77777777" w:rsidR="00150974" w:rsidRPr="007C033C" w:rsidRDefault="00150974" w:rsidP="00E81C5B">
            <w:pPr>
              <w:rPr>
                <w:rFonts w:ascii="Calibri" w:eastAsia="Times New Roman" w:hAnsi="Calibri" w:cs="Arial"/>
                <w:sz w:val="22"/>
                <w:szCs w:val="22"/>
                <w:shd w:val="clear" w:color="auto" w:fill="FFFFFF"/>
              </w:rPr>
            </w:pPr>
          </w:p>
        </w:tc>
        <w:tc>
          <w:tcPr>
            <w:tcW w:w="1608" w:type="dxa"/>
          </w:tcPr>
          <w:p w14:paraId="59BE5D45" w14:textId="49DF25A5" w:rsidR="00150974" w:rsidRDefault="0015097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Int’l Anti-Counterfeiting Coalition (IACC)</w:t>
            </w:r>
          </w:p>
        </w:tc>
        <w:tc>
          <w:tcPr>
            <w:tcW w:w="2694" w:type="dxa"/>
          </w:tcPr>
          <w:p w14:paraId="770CF5A2" w14:textId="77777777" w:rsidR="00150974" w:rsidRPr="007C033C" w:rsidRDefault="00150974" w:rsidP="00E81C5B">
            <w:pPr>
              <w:contextualSpacing/>
              <w:rPr>
                <w:rFonts w:ascii="Calibri" w:hAnsi="Calibri"/>
                <w:sz w:val="22"/>
              </w:rPr>
            </w:pPr>
          </w:p>
        </w:tc>
        <w:tc>
          <w:tcPr>
            <w:tcW w:w="2436" w:type="dxa"/>
          </w:tcPr>
          <w:p w14:paraId="47383253" w14:textId="77777777" w:rsidR="00150974" w:rsidRPr="007C033C" w:rsidRDefault="00150974" w:rsidP="00E81C5B">
            <w:pPr>
              <w:contextualSpacing/>
              <w:rPr>
                <w:rFonts w:ascii="Calibri" w:hAnsi="Calibri"/>
                <w:b/>
                <w:sz w:val="22"/>
              </w:rPr>
            </w:pPr>
          </w:p>
        </w:tc>
      </w:tr>
      <w:tr w:rsidR="00150974" w:rsidRPr="007C033C" w14:paraId="757FBDF5" w14:textId="77777777" w:rsidTr="00E81C5B">
        <w:tc>
          <w:tcPr>
            <w:tcW w:w="835" w:type="dxa"/>
          </w:tcPr>
          <w:p w14:paraId="2FDA685B" w14:textId="77777777" w:rsidR="00150974" w:rsidRPr="002C71AD" w:rsidRDefault="00150974" w:rsidP="00E81C5B">
            <w:pPr>
              <w:pStyle w:val="ListParagraph"/>
              <w:numPr>
                <w:ilvl w:val="0"/>
                <w:numId w:val="27"/>
              </w:numPr>
              <w:rPr>
                <w:rFonts w:ascii="Calibri" w:hAnsi="Calibri"/>
                <w:b/>
                <w:sz w:val="22"/>
              </w:rPr>
            </w:pPr>
          </w:p>
        </w:tc>
        <w:tc>
          <w:tcPr>
            <w:tcW w:w="3960" w:type="dxa"/>
          </w:tcPr>
          <w:p w14:paraId="242E04DA"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Prior to the disclosure of any personal data – prior to any Reveal not ordered by a court or judicial magistrate – we strongly support the requirement that all Proxy/</w:t>
            </w:r>
            <w:r w:rsidRPr="00FB6104">
              <w:rPr>
                <w:rFonts w:asciiTheme="majorHAnsi" w:eastAsia="Times New Roman" w:hAnsiTheme="majorHAnsi"/>
                <w:sz w:val="22"/>
                <w:szCs w:val="22"/>
              </w:rPr>
              <w:softHyphen/>
              <w:t>Privacy Service Providers (“Providers”) offer the option to Customers of surrendering their domain names rather than having their underlying Customer data revealed to a third party by their Providers.</w:t>
            </w:r>
          </w:p>
          <w:p w14:paraId="147CDAFE" w14:textId="77777777" w:rsidR="00150974" w:rsidRPr="00FB6104" w:rsidRDefault="00150974" w:rsidP="00150974">
            <w:pPr>
              <w:rPr>
                <w:rFonts w:asciiTheme="majorHAnsi" w:eastAsia="Times New Roman" w:hAnsiTheme="majorHAnsi"/>
                <w:sz w:val="22"/>
                <w:szCs w:val="22"/>
              </w:rPr>
            </w:pPr>
          </w:p>
          <w:p w14:paraId="14E9F3CE"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 xml:space="preserve">NCSG strongly supports the proposed rule of the PPSAI that the Provider must reach out to the Customer to seek input on whether to “reveal” the Customer data and what dangers or risks that disclosure might impose. </w:t>
            </w:r>
          </w:p>
          <w:p w14:paraId="6E3ADBC8" w14:textId="77777777" w:rsidR="00150974" w:rsidRPr="00FB6104" w:rsidRDefault="00150974" w:rsidP="00150974">
            <w:pPr>
              <w:rPr>
                <w:rFonts w:asciiTheme="majorHAnsi" w:eastAsia="Times New Roman" w:hAnsiTheme="majorHAnsi"/>
                <w:sz w:val="22"/>
                <w:szCs w:val="22"/>
              </w:rPr>
            </w:pPr>
          </w:p>
          <w:p w14:paraId="7E48D42E" w14:textId="77777777" w:rsidR="00150974" w:rsidRDefault="00150974" w:rsidP="0062714B">
            <w:pPr>
              <w:rPr>
                <w:rFonts w:asciiTheme="majorHAnsi" w:eastAsia="Times New Roman" w:hAnsiTheme="majorHAnsi"/>
                <w:sz w:val="22"/>
                <w:szCs w:val="22"/>
              </w:rPr>
            </w:pPr>
            <w:r w:rsidRPr="00FB6104">
              <w:rPr>
                <w:rFonts w:asciiTheme="majorHAnsi" w:eastAsia="Times New Roman" w:hAnsiTheme="majorHAnsi"/>
                <w:sz w:val="22"/>
                <w:szCs w:val="22"/>
              </w:rPr>
              <w:t>NCSG further support allowing Providers to deny requests when they have determined that the Customer may be placed in an at</w:t>
            </w:r>
            <w:r w:rsidRPr="00FB6104">
              <w:rPr>
                <w:rFonts w:asciiTheme="majorHAnsi" w:eastAsia="Times New Roman" w:hAnsiTheme="majorHAnsi"/>
                <w:sz w:val="22"/>
                <w:szCs w:val="22"/>
              </w:rPr>
              <w:softHyphen/>
              <w:t>-risk situation by disclosure of their information to a third party or the request simply does not rise to the level required for disclosure.</w:t>
            </w:r>
          </w:p>
          <w:p w14:paraId="4B00DD86" w14:textId="77777777" w:rsidR="00150974" w:rsidRDefault="00150974" w:rsidP="0062714B">
            <w:pPr>
              <w:rPr>
                <w:rFonts w:asciiTheme="majorHAnsi" w:eastAsia="Times New Roman" w:hAnsiTheme="majorHAnsi"/>
                <w:sz w:val="22"/>
                <w:szCs w:val="22"/>
              </w:rPr>
            </w:pPr>
          </w:p>
          <w:p w14:paraId="7B3F3E69"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Under no circumstances should Intellectual Property Interests, Law Enforcement or any other Requestors have unlimited appeals to third party dispute resolution providers. It will be far more than an implementation detail to define this appellate procedure – but a whole new arbitration forum of its own will need to be created and a UDRP process un</w:t>
            </w:r>
            <w:r w:rsidRPr="00FB6104">
              <w:rPr>
                <w:rFonts w:asciiTheme="majorHAnsi" w:eastAsia="Times New Roman" w:hAnsiTheme="majorHAnsi"/>
                <w:sz w:val="22"/>
                <w:szCs w:val="22"/>
              </w:rPr>
              <w:softHyphen/>
              <w:t>discussed and un</w:t>
            </w:r>
            <w:r w:rsidRPr="00FB6104">
              <w:rPr>
                <w:rFonts w:asciiTheme="majorHAnsi" w:eastAsia="Times New Roman" w:hAnsiTheme="majorHAnsi"/>
                <w:sz w:val="22"/>
                <w:szCs w:val="22"/>
              </w:rPr>
              <w:softHyphen/>
              <w:t>planned by this Working Group. All deliberation about appeal mechanisms should be set aside at this time. Any Intellectual Property owner or group that feels a Provider is routinely denying appropriate requests will have full access to the growing and increasingly responsive ICANN Compliance Team – which will be accessible to Complainers through the accreditation process now being created.</w:t>
            </w:r>
          </w:p>
          <w:p w14:paraId="4C80F2D6" w14:textId="77777777" w:rsidR="00150974" w:rsidRDefault="00150974" w:rsidP="00150974">
            <w:pPr>
              <w:rPr>
                <w:rFonts w:asciiTheme="majorHAnsi" w:eastAsia="Times New Roman" w:hAnsiTheme="majorHAnsi"/>
                <w:sz w:val="22"/>
                <w:szCs w:val="22"/>
              </w:rPr>
            </w:pPr>
          </w:p>
          <w:p w14:paraId="35DFE823"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We recommend that providers be allowed to follow the laws of their jurisdictions of incorporation with regards to notification.</w:t>
            </w:r>
          </w:p>
          <w:p w14:paraId="69D94BCC" w14:textId="77777777" w:rsidR="00150974" w:rsidRPr="00FB6104" w:rsidRDefault="00150974" w:rsidP="00150974">
            <w:pPr>
              <w:rPr>
                <w:rFonts w:asciiTheme="majorHAnsi" w:eastAsia="Times New Roman" w:hAnsiTheme="majorHAnsi"/>
                <w:sz w:val="22"/>
                <w:szCs w:val="22"/>
              </w:rPr>
            </w:pPr>
          </w:p>
          <w:p w14:paraId="68E231B7" w14:textId="75F82A70" w:rsidR="00150974" w:rsidRPr="00150974" w:rsidRDefault="00150974" w:rsidP="0062714B">
            <w:pPr>
              <w:rPr>
                <w:rFonts w:asciiTheme="majorHAnsi" w:eastAsia="Times New Roman" w:hAnsiTheme="majorHAnsi"/>
                <w:sz w:val="22"/>
                <w:szCs w:val="22"/>
              </w:rPr>
            </w:pPr>
            <w:r w:rsidRPr="00FB6104">
              <w:rPr>
                <w:rFonts w:asciiTheme="majorHAnsi" w:eastAsia="Times New Roman" w:hAnsiTheme="majorHAnsi"/>
                <w:sz w:val="22"/>
                <w:szCs w:val="22"/>
              </w:rPr>
              <w:t>The PPSAI WG final recommendations must ensure that extraterritorial requests are not facilitated absent clear proof that the allegation of illegality is a) illegal in the country in which the domain name is registered and b) supported by existing evidence.</w:t>
            </w:r>
          </w:p>
        </w:tc>
        <w:tc>
          <w:tcPr>
            <w:tcW w:w="3060" w:type="dxa"/>
          </w:tcPr>
          <w:p w14:paraId="489A1E55" w14:textId="77777777" w:rsidR="00150974" w:rsidRPr="007C033C" w:rsidRDefault="00150974" w:rsidP="00E81C5B">
            <w:pPr>
              <w:rPr>
                <w:rFonts w:ascii="Calibri" w:eastAsia="Times New Roman" w:hAnsi="Calibri" w:cs="Arial"/>
                <w:sz w:val="22"/>
                <w:szCs w:val="22"/>
                <w:shd w:val="clear" w:color="auto" w:fill="FFFFFF"/>
              </w:rPr>
            </w:pPr>
          </w:p>
        </w:tc>
        <w:tc>
          <w:tcPr>
            <w:tcW w:w="1608" w:type="dxa"/>
          </w:tcPr>
          <w:p w14:paraId="5B8A8F73" w14:textId="40E330BA" w:rsidR="00150974" w:rsidRDefault="0015097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NCSG</w:t>
            </w:r>
          </w:p>
        </w:tc>
        <w:tc>
          <w:tcPr>
            <w:tcW w:w="2694" w:type="dxa"/>
          </w:tcPr>
          <w:p w14:paraId="6DAE102F" w14:textId="77777777" w:rsidR="00150974" w:rsidRPr="007C033C" w:rsidRDefault="00150974" w:rsidP="00E81C5B">
            <w:pPr>
              <w:contextualSpacing/>
              <w:rPr>
                <w:rFonts w:ascii="Calibri" w:hAnsi="Calibri"/>
                <w:sz w:val="22"/>
              </w:rPr>
            </w:pPr>
          </w:p>
        </w:tc>
        <w:tc>
          <w:tcPr>
            <w:tcW w:w="2436" w:type="dxa"/>
          </w:tcPr>
          <w:p w14:paraId="49AFBA02" w14:textId="77777777" w:rsidR="00150974" w:rsidRPr="007C033C" w:rsidRDefault="00150974" w:rsidP="00E81C5B">
            <w:pPr>
              <w:contextualSpacing/>
              <w:rPr>
                <w:rFonts w:ascii="Calibri" w:hAnsi="Calibri"/>
                <w:b/>
                <w:sz w:val="22"/>
              </w:rPr>
            </w:pPr>
          </w:p>
        </w:tc>
      </w:tr>
      <w:tr w:rsidR="00150974" w:rsidRPr="007C033C" w14:paraId="76053C3A" w14:textId="77777777" w:rsidTr="00E81C5B">
        <w:tc>
          <w:tcPr>
            <w:tcW w:w="835" w:type="dxa"/>
          </w:tcPr>
          <w:p w14:paraId="1CACD8FC" w14:textId="77777777" w:rsidR="00150974" w:rsidRPr="002C71AD" w:rsidRDefault="00150974" w:rsidP="00E81C5B">
            <w:pPr>
              <w:pStyle w:val="ListParagraph"/>
              <w:numPr>
                <w:ilvl w:val="0"/>
                <w:numId w:val="27"/>
              </w:numPr>
              <w:rPr>
                <w:rFonts w:ascii="Calibri" w:hAnsi="Calibri"/>
                <w:b/>
                <w:sz w:val="22"/>
              </w:rPr>
            </w:pPr>
          </w:p>
        </w:tc>
        <w:tc>
          <w:tcPr>
            <w:tcW w:w="3960" w:type="dxa"/>
          </w:tcPr>
          <w:p w14:paraId="43B06A4E" w14:textId="00C32641" w:rsidR="00150974" w:rsidRPr="00FB6104" w:rsidRDefault="00150974" w:rsidP="00150974">
            <w:pPr>
              <w:rPr>
                <w:rFonts w:asciiTheme="majorHAnsi" w:hAnsiTheme="majorHAnsi"/>
                <w:color w:val="000000"/>
                <w:sz w:val="22"/>
                <w:szCs w:val="22"/>
              </w:rPr>
            </w:pPr>
            <w:r>
              <w:rPr>
                <w:rFonts w:asciiTheme="majorHAnsi" w:hAnsiTheme="majorHAnsi"/>
                <w:color w:val="000000"/>
                <w:sz w:val="22"/>
                <w:szCs w:val="22"/>
              </w:rPr>
              <w:t>[T]</w:t>
            </w:r>
            <w:r w:rsidRPr="00FB6104">
              <w:rPr>
                <w:rFonts w:asciiTheme="majorHAnsi" w:hAnsiTheme="majorHAnsi"/>
                <w:color w:val="000000"/>
                <w:sz w:val="22"/>
                <w:szCs w:val="22"/>
              </w:rPr>
              <w:t>here are a few situations where disclosure is legitimately warranted.  Those situations largely involve litigation or law enforcement action.  In those cases, to balance against the harm of inappropriate disclosure society has already established a system of warrants, court orders,</w:t>
            </w:r>
            <w:r>
              <w:rPr>
                <w:rFonts w:asciiTheme="majorHAnsi" w:hAnsiTheme="majorHAnsi"/>
                <w:color w:val="000000"/>
                <w:sz w:val="22"/>
                <w:szCs w:val="22"/>
              </w:rPr>
              <w:t xml:space="preserve"> and subpoenas that is used to </w:t>
            </w:r>
            <w:r w:rsidRPr="00FB6104">
              <w:rPr>
                <w:rFonts w:asciiTheme="majorHAnsi" w:hAnsiTheme="majorHAnsi"/>
                <w:color w:val="000000"/>
                <w:sz w:val="22"/>
                <w:szCs w:val="22"/>
              </w:rPr>
              <w:t xml:space="preserve">justify and validate obtaining those types of records.  In most jurisdictions, the bar set by these processes is not particularly high.  Yet the working group proposes to expressly prohibit adherence to existing, time-tested due process, a position which is very difficult to defend.  If there is some action occurring related to a domain, and timely intervention is needed to investigate or stop that action, there is nothing a domain privacy provider can do.  They cannot suspend the domain.  They cannot initiate, block, or reverse a transfer.  They cannot change the name servers associated with a domain.  They cannot affect any web site associated with that domain or its content. </w:t>
            </w:r>
          </w:p>
          <w:p w14:paraId="61EB0A13" w14:textId="77777777" w:rsidR="00150974" w:rsidRPr="00FB6104" w:rsidRDefault="00150974" w:rsidP="00150974">
            <w:pPr>
              <w:rPr>
                <w:rFonts w:asciiTheme="majorHAnsi" w:hAnsiTheme="majorHAnsi"/>
                <w:color w:val="000000"/>
                <w:sz w:val="22"/>
                <w:szCs w:val="22"/>
              </w:rPr>
            </w:pPr>
          </w:p>
          <w:p w14:paraId="10EE6FA5" w14:textId="77777777" w:rsidR="00150974" w:rsidRPr="00FB6104" w:rsidRDefault="00150974" w:rsidP="00150974">
            <w:pPr>
              <w:rPr>
                <w:rFonts w:asciiTheme="majorHAnsi" w:hAnsiTheme="majorHAnsi"/>
                <w:color w:val="000000"/>
                <w:sz w:val="22"/>
                <w:szCs w:val="22"/>
              </w:rPr>
            </w:pPr>
            <w:r w:rsidRPr="00FB6104">
              <w:rPr>
                <w:rFonts w:asciiTheme="majorHAnsi" w:hAnsiTheme="majorHAnsi"/>
                <w:color w:val="000000"/>
                <w:sz w:val="22"/>
                <w:szCs w:val="22"/>
              </w:rPr>
              <w:t>[W]hile a few situations do exist where disclosure is warranted, a  vanishingly small number if any at all exist where urgent action must be taken  with respect to a domain and that action requires the identity of the  registrant.  Despite this, the working group proposes a process similar to the DMCA.   However, there are three key factors that have been overlooked:  1) DMCA actions are reversible.  Privacy disclosure is not.  Once a person's information is disclosed, that can never be undone.  2) Abuse of the DMCA is rampant because there is effectively no punishment for it.  Cases where someone has been punished for filing a false takedown notice are spectacularly rare.  Similar abuse of similar processes for private information disclosure can also be expected.  3) Taking down all or part of someone's web site does not place that individual in personal danger.  Disclosing their private contact information very well might.</w:t>
            </w:r>
          </w:p>
          <w:p w14:paraId="263DC045" w14:textId="77777777" w:rsidR="00150974" w:rsidRPr="00FB6104" w:rsidRDefault="00150974" w:rsidP="00150974">
            <w:pPr>
              <w:rPr>
                <w:rFonts w:asciiTheme="majorHAnsi" w:hAnsiTheme="majorHAnsi"/>
                <w:color w:val="000000"/>
                <w:sz w:val="22"/>
                <w:szCs w:val="22"/>
              </w:rPr>
            </w:pPr>
          </w:p>
          <w:p w14:paraId="2E0D001C" w14:textId="694DF548" w:rsidR="00150974" w:rsidRPr="00FB6104" w:rsidRDefault="00150974" w:rsidP="0062714B">
            <w:pPr>
              <w:rPr>
                <w:rFonts w:asciiTheme="majorHAnsi" w:hAnsiTheme="majorHAnsi"/>
                <w:color w:val="000000"/>
                <w:sz w:val="22"/>
                <w:szCs w:val="22"/>
              </w:rPr>
            </w:pPr>
            <w:r w:rsidRPr="00FB6104">
              <w:rPr>
                <w:rFonts w:asciiTheme="majorHAnsi" w:hAnsiTheme="majorHAnsi"/>
                <w:color w:val="000000"/>
                <w:sz w:val="22"/>
                <w:szCs w:val="22"/>
              </w:rPr>
              <w:t xml:space="preserve">[The WG seems to treat registrars and p/p providers interchangeably and] any plan that proposes to place requirements on privacy providers that can only be met by registrars is fundamentally unworkable. </w:t>
            </w:r>
          </w:p>
        </w:tc>
        <w:tc>
          <w:tcPr>
            <w:tcW w:w="3060" w:type="dxa"/>
          </w:tcPr>
          <w:p w14:paraId="43C9ED5E" w14:textId="77777777" w:rsidR="00150974" w:rsidRPr="007C033C" w:rsidRDefault="00150974" w:rsidP="00E81C5B">
            <w:pPr>
              <w:rPr>
                <w:rFonts w:ascii="Calibri" w:eastAsia="Times New Roman" w:hAnsi="Calibri" w:cs="Arial"/>
                <w:sz w:val="22"/>
                <w:szCs w:val="22"/>
                <w:shd w:val="clear" w:color="auto" w:fill="FFFFFF"/>
              </w:rPr>
            </w:pPr>
          </w:p>
        </w:tc>
        <w:tc>
          <w:tcPr>
            <w:tcW w:w="1608" w:type="dxa"/>
          </w:tcPr>
          <w:p w14:paraId="34A3F5A8" w14:textId="599F4262" w:rsidR="00150974" w:rsidRDefault="0015097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Jeff Wheelhouse</w:t>
            </w:r>
          </w:p>
        </w:tc>
        <w:tc>
          <w:tcPr>
            <w:tcW w:w="2694" w:type="dxa"/>
          </w:tcPr>
          <w:p w14:paraId="111404F4" w14:textId="77777777" w:rsidR="00150974" w:rsidRPr="007C033C" w:rsidRDefault="00150974" w:rsidP="00E81C5B">
            <w:pPr>
              <w:contextualSpacing/>
              <w:rPr>
                <w:rFonts w:ascii="Calibri" w:hAnsi="Calibri"/>
                <w:sz w:val="22"/>
              </w:rPr>
            </w:pPr>
          </w:p>
        </w:tc>
        <w:tc>
          <w:tcPr>
            <w:tcW w:w="2436" w:type="dxa"/>
          </w:tcPr>
          <w:p w14:paraId="480EACBA" w14:textId="77777777" w:rsidR="00150974" w:rsidRPr="007C033C" w:rsidRDefault="00150974" w:rsidP="00E81C5B">
            <w:pPr>
              <w:contextualSpacing/>
              <w:rPr>
                <w:rFonts w:ascii="Calibri" w:hAnsi="Calibri"/>
                <w:b/>
                <w:sz w:val="22"/>
              </w:rPr>
            </w:pPr>
          </w:p>
        </w:tc>
      </w:tr>
      <w:tr w:rsidR="00150974" w:rsidRPr="007C033C" w14:paraId="26443607" w14:textId="77777777" w:rsidTr="00E81C5B">
        <w:tc>
          <w:tcPr>
            <w:tcW w:w="835" w:type="dxa"/>
          </w:tcPr>
          <w:p w14:paraId="2051B0EE" w14:textId="77777777" w:rsidR="00150974" w:rsidRPr="002C71AD" w:rsidRDefault="00150974" w:rsidP="00E81C5B">
            <w:pPr>
              <w:pStyle w:val="ListParagraph"/>
              <w:numPr>
                <w:ilvl w:val="0"/>
                <w:numId w:val="27"/>
              </w:numPr>
              <w:rPr>
                <w:rFonts w:ascii="Calibri" w:hAnsi="Calibri"/>
                <w:b/>
                <w:sz w:val="22"/>
              </w:rPr>
            </w:pPr>
          </w:p>
        </w:tc>
        <w:tc>
          <w:tcPr>
            <w:tcW w:w="3960" w:type="dxa"/>
          </w:tcPr>
          <w:p w14:paraId="04C4CB2F" w14:textId="77777777" w:rsidR="005D7FD2" w:rsidRPr="00FB6104" w:rsidRDefault="005D7FD2" w:rsidP="005D7FD2">
            <w:pPr>
              <w:rPr>
                <w:rFonts w:asciiTheme="majorHAnsi" w:hAnsiTheme="majorHAnsi"/>
                <w:color w:val="000000"/>
                <w:sz w:val="22"/>
                <w:szCs w:val="22"/>
              </w:rPr>
            </w:pPr>
            <w:r w:rsidRPr="00FB6104">
              <w:rPr>
                <w:rFonts w:asciiTheme="majorHAnsi" w:hAnsiTheme="majorHAnsi"/>
                <w:color w:val="000000"/>
                <w:sz w:val="22"/>
                <w:szCs w:val="22"/>
              </w:rPr>
              <w:t xml:space="preserve">In general, privacy of sensitive personal data is desirable for domain owners (or “registrants”). Therefore, the PPSAI-WG must adopt the overarching principle that privacy is desirable for domain registrants, and that mandatory disclosure of a registrant’s personal information must always be a narrowly-circumscribed exception to the general rule in favour of privacy. </w:t>
            </w:r>
          </w:p>
          <w:p w14:paraId="0CB37FA7" w14:textId="77777777" w:rsidR="005D7FD2" w:rsidRPr="00FB6104" w:rsidRDefault="005D7FD2" w:rsidP="005D7FD2">
            <w:pPr>
              <w:rPr>
                <w:rFonts w:asciiTheme="majorHAnsi" w:hAnsiTheme="majorHAnsi"/>
                <w:color w:val="000000"/>
                <w:sz w:val="22"/>
                <w:szCs w:val="22"/>
              </w:rPr>
            </w:pPr>
          </w:p>
          <w:p w14:paraId="5D34D846" w14:textId="77777777" w:rsidR="005D7FD2" w:rsidRPr="00FB6104" w:rsidRDefault="005D7FD2" w:rsidP="005D7FD2">
            <w:pPr>
              <w:rPr>
                <w:rFonts w:asciiTheme="majorHAnsi" w:hAnsiTheme="majorHAnsi"/>
                <w:color w:val="000000"/>
                <w:sz w:val="22"/>
                <w:szCs w:val="22"/>
              </w:rPr>
            </w:pPr>
            <w:r w:rsidRPr="00FB6104">
              <w:rPr>
                <w:rFonts w:asciiTheme="majorHAnsi" w:hAnsiTheme="majorHAnsi"/>
                <w:color w:val="000000"/>
                <w:sz w:val="22"/>
                <w:szCs w:val="22"/>
              </w:rPr>
              <w:t xml:space="preserve">Where a draft Disclosure Framework is </w:t>
            </w:r>
            <w:r>
              <w:rPr>
                <w:rFonts w:asciiTheme="majorHAnsi" w:hAnsiTheme="majorHAnsi"/>
                <w:color w:val="000000"/>
                <w:sz w:val="22"/>
                <w:szCs w:val="22"/>
              </w:rPr>
              <w:t xml:space="preserve">contemplated, it is crucial to </w:t>
            </w:r>
            <w:r w:rsidRPr="00FB6104">
              <w:rPr>
                <w:rFonts w:asciiTheme="majorHAnsi" w:hAnsiTheme="majorHAnsi"/>
                <w:color w:val="000000"/>
                <w:sz w:val="22"/>
                <w:szCs w:val="22"/>
              </w:rPr>
              <w:t xml:space="preserve">strictly limit the potential sources of demands for </w:t>
            </w:r>
            <w:r>
              <w:rPr>
                <w:rFonts w:asciiTheme="majorHAnsi" w:hAnsiTheme="majorHAnsi"/>
                <w:color w:val="000000"/>
                <w:sz w:val="22"/>
                <w:szCs w:val="22"/>
              </w:rPr>
              <w:t>disclosure, in order to</w:t>
            </w:r>
            <w:r w:rsidRPr="00FB6104">
              <w:rPr>
                <w:rFonts w:asciiTheme="majorHAnsi" w:hAnsiTheme="majorHAnsi"/>
                <w:color w:val="000000"/>
                <w:sz w:val="22"/>
                <w:szCs w:val="22"/>
              </w:rPr>
              <w:t xml:space="preserve"> safeguard the general principle in favour of domain privacy through P/P  services. A hierarchy of priority between different sources of demands for disclosure may also be established. For example, disclosure demands from law enforcement agencies (LEAs) investigating criminal activities such as terrorism or threats to cybersecurity should be permitted, subject to the establishment of due procedures and adequate safeguards for registrants. Then, disclosure demands from IP owners may also be permitted, subject to stricter procedures and safeguards. Finally, disclosure demands from other third parties may be permitted (if at all) only in strictly limited circumstances, and subject to the strictest set of procedures and safeguards.   </w:t>
            </w:r>
          </w:p>
          <w:p w14:paraId="4F59CE85" w14:textId="77777777" w:rsidR="005D7FD2" w:rsidRPr="00FB6104" w:rsidRDefault="005D7FD2" w:rsidP="005D7FD2">
            <w:pPr>
              <w:rPr>
                <w:rFonts w:asciiTheme="majorHAnsi" w:hAnsiTheme="majorHAnsi"/>
                <w:color w:val="000000"/>
                <w:sz w:val="22"/>
                <w:szCs w:val="22"/>
              </w:rPr>
            </w:pPr>
          </w:p>
          <w:p w14:paraId="78FD6337" w14:textId="20191825" w:rsidR="00150974" w:rsidRPr="00FB6104" w:rsidRDefault="005D7FD2" w:rsidP="0062714B">
            <w:pPr>
              <w:rPr>
                <w:rFonts w:asciiTheme="majorHAnsi" w:hAnsiTheme="majorHAnsi"/>
                <w:color w:val="000000"/>
                <w:sz w:val="22"/>
                <w:szCs w:val="22"/>
              </w:rPr>
            </w:pPr>
            <w:r w:rsidRPr="00FB6104">
              <w:rPr>
                <w:rFonts w:asciiTheme="majorHAnsi" w:hAnsiTheme="majorHAnsi"/>
                <w:color w:val="000000"/>
                <w:sz w:val="22"/>
                <w:szCs w:val="22"/>
              </w:rPr>
              <w:t xml:space="preserve">Disclosure demands for a registrant’s data must be dealt with in compliance with the local privacy law in the applicable registry’s home jurisdiction. A “one size fits all” approach should be avoided.   </w:t>
            </w:r>
          </w:p>
        </w:tc>
        <w:tc>
          <w:tcPr>
            <w:tcW w:w="3060" w:type="dxa"/>
          </w:tcPr>
          <w:p w14:paraId="2BD41D22" w14:textId="77777777" w:rsidR="00150974" w:rsidRPr="007C033C" w:rsidRDefault="00150974" w:rsidP="00E81C5B">
            <w:pPr>
              <w:rPr>
                <w:rFonts w:ascii="Calibri" w:eastAsia="Times New Roman" w:hAnsi="Calibri" w:cs="Arial"/>
                <w:sz w:val="22"/>
                <w:szCs w:val="22"/>
                <w:shd w:val="clear" w:color="auto" w:fill="FFFFFF"/>
              </w:rPr>
            </w:pPr>
          </w:p>
        </w:tc>
        <w:tc>
          <w:tcPr>
            <w:tcW w:w="1608" w:type="dxa"/>
          </w:tcPr>
          <w:p w14:paraId="036E676A" w14:textId="7DC00DEB" w:rsidR="00150974" w:rsidRDefault="005D7FD2"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Shardul Amarchand Mangaldas (Advocates &amp; Solicitors, India)</w:t>
            </w:r>
          </w:p>
        </w:tc>
        <w:tc>
          <w:tcPr>
            <w:tcW w:w="2694" w:type="dxa"/>
          </w:tcPr>
          <w:p w14:paraId="3D81FA9D" w14:textId="77777777" w:rsidR="00150974" w:rsidRPr="007C033C" w:rsidRDefault="00150974" w:rsidP="00E81C5B">
            <w:pPr>
              <w:contextualSpacing/>
              <w:rPr>
                <w:rFonts w:ascii="Calibri" w:hAnsi="Calibri"/>
                <w:sz w:val="22"/>
              </w:rPr>
            </w:pPr>
          </w:p>
        </w:tc>
        <w:tc>
          <w:tcPr>
            <w:tcW w:w="2436" w:type="dxa"/>
          </w:tcPr>
          <w:p w14:paraId="3E784036" w14:textId="77777777" w:rsidR="00150974" w:rsidRPr="007C033C" w:rsidRDefault="00150974" w:rsidP="00E81C5B">
            <w:pPr>
              <w:contextualSpacing/>
              <w:rPr>
                <w:rFonts w:ascii="Calibri" w:hAnsi="Calibri"/>
                <w:b/>
                <w:sz w:val="22"/>
              </w:rPr>
            </w:pPr>
          </w:p>
        </w:tc>
      </w:tr>
      <w:tr w:rsidR="00150974" w:rsidRPr="007C033C" w14:paraId="59CC4BB5" w14:textId="77777777" w:rsidTr="00E81C5B">
        <w:tc>
          <w:tcPr>
            <w:tcW w:w="835" w:type="dxa"/>
          </w:tcPr>
          <w:p w14:paraId="63078B76" w14:textId="77777777" w:rsidR="00150974" w:rsidRPr="002C71AD" w:rsidRDefault="00150974" w:rsidP="00E81C5B">
            <w:pPr>
              <w:pStyle w:val="ListParagraph"/>
              <w:numPr>
                <w:ilvl w:val="0"/>
                <w:numId w:val="27"/>
              </w:numPr>
              <w:rPr>
                <w:rFonts w:ascii="Calibri" w:hAnsi="Calibri"/>
                <w:b/>
                <w:sz w:val="22"/>
              </w:rPr>
            </w:pPr>
          </w:p>
        </w:tc>
        <w:tc>
          <w:tcPr>
            <w:tcW w:w="3960" w:type="dxa"/>
          </w:tcPr>
          <w:p w14:paraId="337E186B" w14:textId="400CB44F" w:rsidR="00150974" w:rsidRPr="00FB6104" w:rsidRDefault="005D7FD2" w:rsidP="0062714B">
            <w:pPr>
              <w:rPr>
                <w:rFonts w:asciiTheme="majorHAnsi" w:hAnsiTheme="majorHAnsi"/>
                <w:color w:val="000000"/>
                <w:sz w:val="22"/>
                <w:szCs w:val="22"/>
              </w:rPr>
            </w:pPr>
            <w:r w:rsidRPr="00FB6104">
              <w:rPr>
                <w:rFonts w:asciiTheme="majorHAnsi" w:hAnsiTheme="majorHAnsi"/>
                <w:color w:val="000000"/>
                <w:sz w:val="22"/>
                <w:szCs w:val="22"/>
              </w:rPr>
              <w:t>Like the DMCA is already heavily abused, a proposal to 'unmask' WHOIS data upon a copyright complaint is effectively a backdoor.  Repercussions for false copyright claims are effectively non-existent, and this is unlikely to ever change, because of the inherent financial imbalance in the legal system between individuals and corporate organizations.</w:t>
            </w:r>
          </w:p>
        </w:tc>
        <w:tc>
          <w:tcPr>
            <w:tcW w:w="3060" w:type="dxa"/>
          </w:tcPr>
          <w:p w14:paraId="077B7F97" w14:textId="77777777" w:rsidR="00150974" w:rsidRPr="007C033C" w:rsidRDefault="00150974" w:rsidP="00E81C5B">
            <w:pPr>
              <w:rPr>
                <w:rFonts w:ascii="Calibri" w:eastAsia="Times New Roman" w:hAnsi="Calibri" w:cs="Arial"/>
                <w:sz w:val="22"/>
                <w:szCs w:val="22"/>
                <w:shd w:val="clear" w:color="auto" w:fill="FFFFFF"/>
              </w:rPr>
            </w:pPr>
          </w:p>
        </w:tc>
        <w:tc>
          <w:tcPr>
            <w:tcW w:w="1608" w:type="dxa"/>
          </w:tcPr>
          <w:p w14:paraId="27DA789B" w14:textId="7A74504B" w:rsidR="00150974" w:rsidRDefault="005D7FD2"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Sven S</w:t>
            </w:r>
            <w:r w:rsidR="00937B49">
              <w:rPr>
                <w:rFonts w:ascii="Calibri" w:eastAsia="Times New Roman" w:hAnsi="Calibri" w:cs="Arial"/>
                <w:sz w:val="22"/>
                <w:szCs w:val="22"/>
                <w:shd w:val="clear" w:color="auto" w:fill="FFFFFF"/>
              </w:rPr>
              <w:t>lootweg</w:t>
            </w:r>
          </w:p>
        </w:tc>
        <w:tc>
          <w:tcPr>
            <w:tcW w:w="2694" w:type="dxa"/>
          </w:tcPr>
          <w:p w14:paraId="0351A75B" w14:textId="77777777" w:rsidR="00150974" w:rsidRPr="007C033C" w:rsidRDefault="00150974" w:rsidP="00E81C5B">
            <w:pPr>
              <w:contextualSpacing/>
              <w:rPr>
                <w:rFonts w:ascii="Calibri" w:hAnsi="Calibri"/>
                <w:sz w:val="22"/>
              </w:rPr>
            </w:pPr>
          </w:p>
        </w:tc>
        <w:tc>
          <w:tcPr>
            <w:tcW w:w="2436" w:type="dxa"/>
          </w:tcPr>
          <w:p w14:paraId="6E8E07C0" w14:textId="77777777" w:rsidR="00150974" w:rsidRPr="007C033C" w:rsidRDefault="00150974" w:rsidP="00E81C5B">
            <w:pPr>
              <w:contextualSpacing/>
              <w:rPr>
                <w:rFonts w:ascii="Calibri" w:hAnsi="Calibri"/>
                <w:b/>
                <w:sz w:val="22"/>
              </w:rPr>
            </w:pPr>
          </w:p>
        </w:tc>
      </w:tr>
      <w:tr w:rsidR="00937B49" w:rsidRPr="007C033C" w14:paraId="55E406D5" w14:textId="77777777" w:rsidTr="00E81C5B">
        <w:tc>
          <w:tcPr>
            <w:tcW w:w="835" w:type="dxa"/>
          </w:tcPr>
          <w:p w14:paraId="736A3A28" w14:textId="77777777" w:rsidR="00937B49" w:rsidRPr="002C71AD" w:rsidRDefault="00937B49" w:rsidP="00E81C5B">
            <w:pPr>
              <w:pStyle w:val="ListParagraph"/>
              <w:numPr>
                <w:ilvl w:val="0"/>
                <w:numId w:val="27"/>
              </w:numPr>
              <w:rPr>
                <w:rFonts w:ascii="Calibri" w:hAnsi="Calibri"/>
                <w:b/>
                <w:sz w:val="22"/>
              </w:rPr>
            </w:pPr>
          </w:p>
        </w:tc>
        <w:tc>
          <w:tcPr>
            <w:tcW w:w="3960" w:type="dxa"/>
          </w:tcPr>
          <w:p w14:paraId="4D45FD7A" w14:textId="4638E756" w:rsidR="00937B49" w:rsidRPr="00FB6104" w:rsidRDefault="00937B49" w:rsidP="0062714B">
            <w:pPr>
              <w:rPr>
                <w:rFonts w:asciiTheme="majorHAnsi" w:hAnsiTheme="majorHAnsi"/>
                <w:color w:val="000000"/>
                <w:sz w:val="22"/>
                <w:szCs w:val="22"/>
              </w:rPr>
            </w:pPr>
            <w:r w:rsidRPr="00FB6104">
              <w:rPr>
                <w:rFonts w:asciiTheme="majorHAnsi" w:hAnsiTheme="majorHAnsi" w:cs="Courier"/>
                <w:color w:val="000000"/>
                <w:sz w:val="22"/>
                <w:szCs w:val="22"/>
              </w:rPr>
              <w:t xml:space="preserve">It has been estimated that 15 - 25% of domains use privacy (see </w:t>
            </w:r>
            <w:hyperlink r:id="rId10" w:history="1">
              <w:r w:rsidRPr="00FB6104">
                <w:rPr>
                  <w:rFonts w:asciiTheme="majorHAnsi" w:hAnsiTheme="majorHAnsi" w:cs="Courier"/>
                  <w:color w:val="0000FF"/>
                  <w:sz w:val="22"/>
                  <w:szCs w:val="22"/>
                  <w:u w:val="single"/>
                </w:rPr>
                <w:t>http://www.inta.org/Advocacy/Documents/November202009Whois.pdf</w:t>
              </w:r>
            </w:hyperlink>
            <w:r w:rsidRPr="00FB6104">
              <w:rPr>
                <w:rFonts w:asciiTheme="majorHAnsi" w:hAnsiTheme="majorHAnsi" w:cs="Courier"/>
                <w:color w:val="000000"/>
                <w:sz w:val="22"/>
                <w:szCs w:val="22"/>
              </w:rPr>
              <w:t>), and this strikes me as a very large potential impact. Has any study been made as to what percentage of these domains may be hosting illegal data? Has any study been made into what percentage of domains which are *not* using privacy are hosting illegal data? Are there any numbers or statistics which might suggest this proposal will actually have a positive impact on piracy, or is this simply an attempt to appease a special interest?</w:t>
            </w:r>
          </w:p>
        </w:tc>
        <w:tc>
          <w:tcPr>
            <w:tcW w:w="3060" w:type="dxa"/>
          </w:tcPr>
          <w:p w14:paraId="111A0F5C" w14:textId="77777777" w:rsidR="00937B49" w:rsidRPr="007C033C" w:rsidRDefault="00937B49" w:rsidP="00E81C5B">
            <w:pPr>
              <w:rPr>
                <w:rFonts w:ascii="Calibri" w:eastAsia="Times New Roman" w:hAnsi="Calibri" w:cs="Arial"/>
                <w:sz w:val="22"/>
                <w:szCs w:val="22"/>
                <w:shd w:val="clear" w:color="auto" w:fill="FFFFFF"/>
              </w:rPr>
            </w:pPr>
          </w:p>
        </w:tc>
        <w:tc>
          <w:tcPr>
            <w:tcW w:w="1608" w:type="dxa"/>
          </w:tcPr>
          <w:p w14:paraId="2FCBEE53" w14:textId="7E5CDAED" w:rsidR="00937B49" w:rsidRDefault="00937B49"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Brendan Conniff</w:t>
            </w:r>
          </w:p>
        </w:tc>
        <w:tc>
          <w:tcPr>
            <w:tcW w:w="2694" w:type="dxa"/>
          </w:tcPr>
          <w:p w14:paraId="3D82BEF1" w14:textId="77777777" w:rsidR="00937B49" w:rsidRPr="007C033C" w:rsidRDefault="00937B49" w:rsidP="00E81C5B">
            <w:pPr>
              <w:contextualSpacing/>
              <w:rPr>
                <w:rFonts w:ascii="Calibri" w:hAnsi="Calibri"/>
                <w:sz w:val="22"/>
              </w:rPr>
            </w:pPr>
          </w:p>
        </w:tc>
        <w:tc>
          <w:tcPr>
            <w:tcW w:w="2436" w:type="dxa"/>
          </w:tcPr>
          <w:p w14:paraId="5BE406C1" w14:textId="77777777" w:rsidR="00937B49" w:rsidRPr="007C033C" w:rsidRDefault="00937B49" w:rsidP="00E81C5B">
            <w:pPr>
              <w:contextualSpacing/>
              <w:rPr>
                <w:rFonts w:ascii="Calibri" w:hAnsi="Calibri"/>
                <w:b/>
                <w:sz w:val="22"/>
              </w:rPr>
            </w:pPr>
          </w:p>
        </w:tc>
      </w:tr>
      <w:tr w:rsidR="00937B49" w:rsidRPr="007C033C" w14:paraId="1019E8C3" w14:textId="77777777" w:rsidTr="00E81C5B">
        <w:tc>
          <w:tcPr>
            <w:tcW w:w="835" w:type="dxa"/>
          </w:tcPr>
          <w:p w14:paraId="2F59B50B" w14:textId="77777777" w:rsidR="00937B49" w:rsidRPr="002C71AD" w:rsidRDefault="00937B49" w:rsidP="00E81C5B">
            <w:pPr>
              <w:pStyle w:val="ListParagraph"/>
              <w:numPr>
                <w:ilvl w:val="0"/>
                <w:numId w:val="27"/>
              </w:numPr>
              <w:rPr>
                <w:rFonts w:ascii="Calibri" w:hAnsi="Calibri"/>
                <w:b/>
                <w:sz w:val="22"/>
              </w:rPr>
            </w:pPr>
          </w:p>
        </w:tc>
        <w:tc>
          <w:tcPr>
            <w:tcW w:w="3960" w:type="dxa"/>
          </w:tcPr>
          <w:p w14:paraId="4B47B63A" w14:textId="77777777" w:rsidR="00937B49" w:rsidRPr="00937B49" w:rsidRDefault="00937B49" w:rsidP="00937B49">
            <w:pPr>
              <w:rPr>
                <w:rFonts w:asciiTheme="majorHAnsi" w:hAnsiTheme="majorHAnsi" w:cs="Courier"/>
                <w:color w:val="000000"/>
                <w:sz w:val="22"/>
                <w:szCs w:val="22"/>
                <w:shd w:val="clear" w:color="auto" w:fill="FFFFFF"/>
              </w:rPr>
            </w:pPr>
            <w:r w:rsidRPr="00937B49">
              <w:rPr>
                <w:rFonts w:asciiTheme="majorHAnsi" w:hAnsiTheme="majorHAnsi" w:cs="Courier"/>
                <w:color w:val="000000"/>
                <w:sz w:val="22"/>
                <w:szCs w:val="22"/>
                <w:shd w:val="clear" w:color="auto" w:fill="FFFFFF"/>
              </w:rPr>
              <w:t xml:space="preserve">Disclosure or publication should never be the automatic result of a process, but rather remain an option of the provider. Requests for disclosure by third parties should remain refusable by the provider unless the request is issued by a public law enforcement body of proper authority acting within its own jurisdiction. Private organizations designated by a public body for certain types of abuse should not qualify as such public law enforcement bodies. </w:t>
            </w:r>
          </w:p>
          <w:p w14:paraId="204F7ACB" w14:textId="77777777" w:rsidR="00937B49" w:rsidRDefault="00937B49" w:rsidP="00937B49">
            <w:pPr>
              <w:rPr>
                <w:rFonts w:asciiTheme="majorHAnsi" w:hAnsiTheme="majorHAnsi" w:cs="Courier"/>
                <w:color w:val="000000"/>
                <w:sz w:val="22"/>
                <w:szCs w:val="22"/>
                <w:shd w:val="clear" w:color="auto" w:fill="FFFFFF"/>
              </w:rPr>
            </w:pPr>
          </w:p>
          <w:p w14:paraId="1F8345EF" w14:textId="24268E5F" w:rsidR="00937B49" w:rsidRPr="00937B49" w:rsidRDefault="00937B49" w:rsidP="0062714B">
            <w:pPr>
              <w:rPr>
                <w:rFonts w:asciiTheme="majorHAnsi" w:eastAsia="Times New Roman" w:hAnsiTheme="majorHAnsi"/>
                <w:sz w:val="22"/>
                <w:szCs w:val="22"/>
              </w:rPr>
            </w:pPr>
            <w:r w:rsidRPr="00937B49">
              <w:rPr>
                <w:rFonts w:asciiTheme="majorHAnsi" w:hAnsiTheme="majorHAnsi" w:cs="Courier"/>
                <w:color w:val="000000"/>
                <w:sz w:val="22"/>
                <w:szCs w:val="22"/>
                <w:shd w:val="clear" w:color="auto" w:fill="FFFFFF"/>
              </w:rPr>
              <w:t>We do not support the proposed Disclosure Framework as it assumes disclosure if certain process steps are followed regardless of the merits of the complaint.</w:t>
            </w:r>
          </w:p>
        </w:tc>
        <w:tc>
          <w:tcPr>
            <w:tcW w:w="3060" w:type="dxa"/>
          </w:tcPr>
          <w:p w14:paraId="0A1E9AA0" w14:textId="77777777" w:rsidR="00937B49" w:rsidRPr="007C033C" w:rsidRDefault="00937B49" w:rsidP="00E81C5B">
            <w:pPr>
              <w:rPr>
                <w:rFonts w:ascii="Calibri" w:eastAsia="Times New Roman" w:hAnsi="Calibri" w:cs="Arial"/>
                <w:sz w:val="22"/>
                <w:szCs w:val="22"/>
                <w:shd w:val="clear" w:color="auto" w:fill="FFFFFF"/>
              </w:rPr>
            </w:pPr>
          </w:p>
        </w:tc>
        <w:tc>
          <w:tcPr>
            <w:tcW w:w="1608" w:type="dxa"/>
          </w:tcPr>
          <w:p w14:paraId="531E9376" w14:textId="33DF8073" w:rsidR="00937B49" w:rsidRDefault="00937B49"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Key Systems</w:t>
            </w:r>
          </w:p>
        </w:tc>
        <w:tc>
          <w:tcPr>
            <w:tcW w:w="2694" w:type="dxa"/>
          </w:tcPr>
          <w:p w14:paraId="570BFD91" w14:textId="77777777" w:rsidR="00937B49" w:rsidRPr="007C033C" w:rsidRDefault="00937B49" w:rsidP="00E81C5B">
            <w:pPr>
              <w:contextualSpacing/>
              <w:rPr>
                <w:rFonts w:ascii="Calibri" w:hAnsi="Calibri"/>
                <w:sz w:val="22"/>
              </w:rPr>
            </w:pPr>
          </w:p>
        </w:tc>
        <w:tc>
          <w:tcPr>
            <w:tcW w:w="2436" w:type="dxa"/>
          </w:tcPr>
          <w:p w14:paraId="020B8C81" w14:textId="77777777" w:rsidR="00937B49" w:rsidRPr="007C033C" w:rsidRDefault="00937B49" w:rsidP="00E81C5B">
            <w:pPr>
              <w:contextualSpacing/>
              <w:rPr>
                <w:rFonts w:ascii="Calibri" w:hAnsi="Calibri"/>
                <w:b/>
                <w:sz w:val="22"/>
              </w:rPr>
            </w:pPr>
          </w:p>
        </w:tc>
      </w:tr>
      <w:tr w:rsidR="00E11EE7" w:rsidRPr="007C033C" w14:paraId="30D6890E" w14:textId="77777777" w:rsidTr="00E81C5B">
        <w:tc>
          <w:tcPr>
            <w:tcW w:w="835" w:type="dxa"/>
          </w:tcPr>
          <w:p w14:paraId="50E47C8C" w14:textId="77777777" w:rsidR="00E11EE7" w:rsidRPr="002C71AD" w:rsidRDefault="00E11EE7" w:rsidP="00E81C5B">
            <w:pPr>
              <w:pStyle w:val="ListParagraph"/>
              <w:numPr>
                <w:ilvl w:val="0"/>
                <w:numId w:val="27"/>
              </w:numPr>
              <w:rPr>
                <w:rFonts w:ascii="Calibri" w:hAnsi="Calibri"/>
                <w:b/>
                <w:sz w:val="22"/>
              </w:rPr>
            </w:pPr>
          </w:p>
        </w:tc>
        <w:tc>
          <w:tcPr>
            <w:tcW w:w="3960" w:type="dxa"/>
          </w:tcPr>
          <w:p w14:paraId="688ADC6D" w14:textId="62B61147" w:rsidR="00E11EE7" w:rsidRPr="00E11EE7" w:rsidRDefault="00E11EE7" w:rsidP="00E11EE7">
            <w:pPr>
              <w:rPr>
                <w:rFonts w:asciiTheme="majorHAnsi" w:hAnsiTheme="majorHAnsi" w:cs="Courier"/>
                <w:color w:val="000000"/>
                <w:sz w:val="22"/>
                <w:szCs w:val="22"/>
                <w:shd w:val="clear" w:color="auto" w:fill="FFFFFF"/>
                <w:lang w:val="en-CA"/>
              </w:rPr>
            </w:pPr>
            <w:r>
              <w:rPr>
                <w:rFonts w:asciiTheme="majorHAnsi" w:hAnsiTheme="majorHAnsi" w:cs="Courier"/>
                <w:color w:val="000000"/>
                <w:sz w:val="22"/>
                <w:szCs w:val="22"/>
                <w:shd w:val="clear" w:color="auto" w:fill="FFFFFF"/>
                <w:lang w:val="en-CA"/>
              </w:rPr>
              <w:t>[B]</w:t>
            </w:r>
            <w:r w:rsidRPr="00E11EE7">
              <w:rPr>
                <w:rFonts w:asciiTheme="majorHAnsi" w:hAnsiTheme="majorHAnsi" w:cs="Courier"/>
                <w:color w:val="000000"/>
                <w:sz w:val="22"/>
                <w:szCs w:val="22"/>
                <w:shd w:val="clear" w:color="auto" w:fill="FFFFFF"/>
                <w:lang w:val="en-CA"/>
              </w:rPr>
              <w:t>ad actors are likely to ignore whatever initial communication a P/P Provider relays. In such cases trademark and copyright owners must have a reliable and predictable method by which to request disclosure</w:t>
            </w:r>
            <w:r>
              <w:rPr>
                <w:rFonts w:asciiTheme="majorHAnsi" w:hAnsiTheme="majorHAnsi" w:cs="Courier"/>
                <w:color w:val="000000"/>
                <w:sz w:val="22"/>
                <w:szCs w:val="22"/>
                <w:shd w:val="clear" w:color="auto" w:fill="FFFFFF"/>
                <w:lang w:val="en-CA"/>
              </w:rPr>
              <w:t xml:space="preserve"> … </w:t>
            </w:r>
            <w:r w:rsidRPr="00E11EE7">
              <w:rPr>
                <w:rFonts w:asciiTheme="majorHAnsi" w:hAnsiTheme="majorHAnsi" w:cs="Courier"/>
                <w:color w:val="000000"/>
                <w:sz w:val="22"/>
                <w:szCs w:val="22"/>
                <w:shd w:val="clear" w:color="auto" w:fill="FFFFFF"/>
                <w:lang w:val="en-CA"/>
              </w:rPr>
              <w:t>"Annex E — Illustrative Draft Disclosure Framework for Intellectual Property Rights-holders" (the "Disclosure Framework") largely does that! Turner recognizes that the Disclosure Framework represents a carefully considered and heavily negotiated "equipoise" that attempts to balance the interests of intellectual property owners, P/P Providers, and P/P Customers alike.5 It largely does so, and goes far toward providing intellectual property owners with the high degree of certainty and predictability that they need as to if, when, and how they can obtain disclosure.</w:t>
            </w:r>
          </w:p>
        </w:tc>
        <w:tc>
          <w:tcPr>
            <w:tcW w:w="3060" w:type="dxa"/>
          </w:tcPr>
          <w:p w14:paraId="32372C12" w14:textId="77777777" w:rsidR="00E11EE7" w:rsidRPr="007C033C" w:rsidRDefault="00E11EE7" w:rsidP="00E81C5B">
            <w:pPr>
              <w:rPr>
                <w:rFonts w:ascii="Calibri" w:eastAsia="Times New Roman" w:hAnsi="Calibri" w:cs="Arial"/>
                <w:sz w:val="22"/>
                <w:szCs w:val="22"/>
                <w:shd w:val="clear" w:color="auto" w:fill="FFFFFF"/>
              </w:rPr>
            </w:pPr>
          </w:p>
        </w:tc>
        <w:tc>
          <w:tcPr>
            <w:tcW w:w="1608" w:type="dxa"/>
          </w:tcPr>
          <w:p w14:paraId="09A28CA7" w14:textId="201CF529" w:rsidR="00E11EE7" w:rsidRDefault="00E11EE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Turner Broadcasting System</w:t>
            </w:r>
          </w:p>
        </w:tc>
        <w:tc>
          <w:tcPr>
            <w:tcW w:w="2694" w:type="dxa"/>
          </w:tcPr>
          <w:p w14:paraId="3BFA9B8A" w14:textId="77777777" w:rsidR="00E11EE7" w:rsidRPr="007C033C" w:rsidRDefault="00E11EE7" w:rsidP="00E81C5B">
            <w:pPr>
              <w:contextualSpacing/>
              <w:rPr>
                <w:rFonts w:ascii="Calibri" w:hAnsi="Calibri"/>
                <w:sz w:val="22"/>
              </w:rPr>
            </w:pPr>
          </w:p>
        </w:tc>
        <w:tc>
          <w:tcPr>
            <w:tcW w:w="2436" w:type="dxa"/>
          </w:tcPr>
          <w:p w14:paraId="182DD1CE" w14:textId="77777777" w:rsidR="00E11EE7" w:rsidRPr="007C033C" w:rsidRDefault="00E11EE7" w:rsidP="00E81C5B">
            <w:pPr>
              <w:contextualSpacing/>
              <w:rPr>
                <w:rFonts w:ascii="Calibri" w:hAnsi="Calibri"/>
                <w:b/>
                <w:sz w:val="22"/>
              </w:rPr>
            </w:pPr>
          </w:p>
        </w:tc>
      </w:tr>
      <w:tr w:rsidR="00937B49" w:rsidRPr="007C033C" w14:paraId="0F5D0F42" w14:textId="77777777" w:rsidTr="00E81C5B">
        <w:tc>
          <w:tcPr>
            <w:tcW w:w="835" w:type="dxa"/>
          </w:tcPr>
          <w:p w14:paraId="518C422C" w14:textId="77777777" w:rsidR="00937B49" w:rsidRPr="002C71AD" w:rsidRDefault="00937B49" w:rsidP="00E81C5B">
            <w:pPr>
              <w:pStyle w:val="ListParagraph"/>
              <w:numPr>
                <w:ilvl w:val="0"/>
                <w:numId w:val="27"/>
              </w:numPr>
              <w:rPr>
                <w:rFonts w:ascii="Calibri" w:hAnsi="Calibri"/>
                <w:b/>
                <w:sz w:val="22"/>
              </w:rPr>
            </w:pPr>
          </w:p>
        </w:tc>
        <w:tc>
          <w:tcPr>
            <w:tcW w:w="3960" w:type="dxa"/>
          </w:tcPr>
          <w:p w14:paraId="5DC72129" w14:textId="69695778" w:rsidR="00937B49" w:rsidRPr="00FB6104" w:rsidRDefault="00937B49" w:rsidP="00937B49">
            <w:pPr>
              <w:rPr>
                <w:rFonts w:asciiTheme="majorHAnsi" w:hAnsiTheme="majorHAnsi" w:cs="Courier"/>
                <w:color w:val="000000"/>
                <w:sz w:val="22"/>
                <w:szCs w:val="22"/>
              </w:rPr>
            </w:pPr>
            <w:r w:rsidRPr="00FB6104">
              <w:rPr>
                <w:rFonts w:asciiTheme="majorHAnsi" w:hAnsiTheme="majorHAnsi" w:cs="Courier"/>
                <w:color w:val="000000"/>
                <w:sz w:val="22"/>
                <w:szCs w:val="22"/>
              </w:rPr>
              <w:t>[O]nce we did change directions and offer Whois Privacy, we found that doing so had absolutely no material effect on occurrences of net abuse, known cases of cybercrime or any other form of civil misdeed such as copyright violations or intellectual property infringement. As a result of these experiences, we believe that absent a breach of service terms such as net abuse, the only basis for disclosing underlying Registrant data, especially to copyright and trademark complainants should be subject to a court order (in a competent jurisdiction to the Proxy provider), a subpoena (in a competent jurisdiction to the Proxy provider), a pending civil action [or] a URS or UDRP action.  In other words, we feel that Section D of Annex E of the Initial Report should have precisely the opposite requirement that it now proposes.</w:t>
            </w:r>
          </w:p>
          <w:p w14:paraId="3B50034D" w14:textId="77777777" w:rsidR="00937B49" w:rsidRPr="00FB6104" w:rsidRDefault="00937B49" w:rsidP="00937B49">
            <w:pPr>
              <w:rPr>
                <w:rFonts w:asciiTheme="majorHAnsi" w:hAnsiTheme="majorHAnsi" w:cs="Courier"/>
                <w:color w:val="000000"/>
                <w:sz w:val="22"/>
                <w:szCs w:val="22"/>
              </w:rPr>
            </w:pPr>
          </w:p>
          <w:p w14:paraId="0CD37CD6" w14:textId="1477AAC1" w:rsidR="00937B49" w:rsidRPr="00937B49" w:rsidRDefault="00937B49" w:rsidP="0062714B">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Understanding that a consequence of simply registering a domain name results in one's personal contact details being published in a world viewable, digital database is actually quite limited. This reason in itself is enough motivation for Registrars to create privacy mechanisms to safeguard Registrants against … unwanted intrusions. We have ample first-hand experience with complainants abusing allegations of trademark or copyright infringement in an attempt to do one or more of the following: cause a website / domain takedown without due process; force a disclosure of Registrant data with no legal basis; suppress websites or specific pages from search engine results.  If Section D of Annex E is adopted as proposed we foresee this as an ideal attack vector to compel Registrant data disclosure without being tested by due process.  </w:t>
            </w:r>
          </w:p>
        </w:tc>
        <w:tc>
          <w:tcPr>
            <w:tcW w:w="3060" w:type="dxa"/>
          </w:tcPr>
          <w:p w14:paraId="2868D1F8" w14:textId="77777777" w:rsidR="00937B49" w:rsidRPr="007C033C" w:rsidRDefault="00937B49" w:rsidP="00E81C5B">
            <w:pPr>
              <w:rPr>
                <w:rFonts w:ascii="Calibri" w:eastAsia="Times New Roman" w:hAnsi="Calibri" w:cs="Arial"/>
                <w:sz w:val="22"/>
                <w:szCs w:val="22"/>
                <w:shd w:val="clear" w:color="auto" w:fill="FFFFFF"/>
              </w:rPr>
            </w:pPr>
          </w:p>
        </w:tc>
        <w:tc>
          <w:tcPr>
            <w:tcW w:w="1608" w:type="dxa"/>
          </w:tcPr>
          <w:p w14:paraId="584BE1B9" w14:textId="094D9719" w:rsidR="00937B49" w:rsidRDefault="00937B49"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Mark Jeftovic (EasyDNS)</w:t>
            </w:r>
          </w:p>
        </w:tc>
        <w:tc>
          <w:tcPr>
            <w:tcW w:w="2694" w:type="dxa"/>
          </w:tcPr>
          <w:p w14:paraId="721F4CBF" w14:textId="77777777" w:rsidR="00937B49" w:rsidRPr="007C033C" w:rsidRDefault="00937B49" w:rsidP="00E81C5B">
            <w:pPr>
              <w:contextualSpacing/>
              <w:rPr>
                <w:rFonts w:ascii="Calibri" w:hAnsi="Calibri"/>
                <w:sz w:val="22"/>
              </w:rPr>
            </w:pPr>
          </w:p>
        </w:tc>
        <w:tc>
          <w:tcPr>
            <w:tcW w:w="2436" w:type="dxa"/>
          </w:tcPr>
          <w:p w14:paraId="35D033B9" w14:textId="77777777" w:rsidR="00937B49" w:rsidRPr="007C033C" w:rsidRDefault="00937B49" w:rsidP="00E81C5B">
            <w:pPr>
              <w:contextualSpacing/>
              <w:rPr>
                <w:rFonts w:ascii="Calibri" w:hAnsi="Calibri"/>
                <w:b/>
                <w:sz w:val="22"/>
              </w:rPr>
            </w:pPr>
          </w:p>
        </w:tc>
      </w:tr>
      <w:tr w:rsidR="00937B49" w:rsidRPr="007C033C" w14:paraId="4EFD0E04" w14:textId="77777777" w:rsidTr="00E81C5B">
        <w:tc>
          <w:tcPr>
            <w:tcW w:w="835" w:type="dxa"/>
          </w:tcPr>
          <w:p w14:paraId="0A07E679" w14:textId="77777777" w:rsidR="00937B49" w:rsidRPr="002C71AD" w:rsidRDefault="00937B49" w:rsidP="00E81C5B">
            <w:pPr>
              <w:pStyle w:val="ListParagraph"/>
              <w:numPr>
                <w:ilvl w:val="0"/>
                <w:numId w:val="27"/>
              </w:numPr>
              <w:rPr>
                <w:rFonts w:ascii="Calibri" w:hAnsi="Calibri"/>
                <w:b/>
                <w:sz w:val="22"/>
              </w:rPr>
            </w:pPr>
          </w:p>
        </w:tc>
        <w:tc>
          <w:tcPr>
            <w:tcW w:w="3960" w:type="dxa"/>
          </w:tcPr>
          <w:p w14:paraId="6B46580A" w14:textId="295652F7" w:rsidR="00D56A5B" w:rsidRPr="009E1DE7" w:rsidRDefault="00D56A5B" w:rsidP="00D56A5B">
            <w:pPr>
              <w:rPr>
                <w:rFonts w:asciiTheme="majorHAnsi" w:eastAsia="Times New Roman" w:hAnsiTheme="majorHAnsi"/>
                <w:sz w:val="22"/>
                <w:szCs w:val="22"/>
              </w:rPr>
            </w:pPr>
            <w:r w:rsidRPr="009E1DE7">
              <w:rPr>
                <w:rFonts w:asciiTheme="majorHAnsi" w:eastAsia="Times New Roman" w:hAnsiTheme="majorHAnsi"/>
                <w:sz w:val="22"/>
                <w:szCs w:val="22"/>
              </w:rPr>
              <w:t xml:space="preserve">[S]trongly support requiring Providers to offer the option to surrender the domain in the case of a request for reveal of information. We believe that maintain the anonymity of the registrant should be the default in all processes defined by the policy. </w:t>
            </w:r>
          </w:p>
          <w:p w14:paraId="04AC7956" w14:textId="77777777" w:rsidR="00D56A5B" w:rsidRPr="009E1DE7" w:rsidRDefault="00D56A5B" w:rsidP="00D56A5B">
            <w:pPr>
              <w:rPr>
                <w:rFonts w:asciiTheme="majorHAnsi" w:eastAsia="Times New Roman" w:hAnsiTheme="majorHAnsi"/>
                <w:sz w:val="22"/>
                <w:szCs w:val="22"/>
              </w:rPr>
            </w:pPr>
          </w:p>
          <w:p w14:paraId="6C2169CD" w14:textId="67B79BE6" w:rsidR="00937B49" w:rsidRPr="00FB6104" w:rsidRDefault="00D56A5B" w:rsidP="00D56A5B">
            <w:pPr>
              <w:rPr>
                <w:rFonts w:asciiTheme="majorHAnsi" w:hAnsiTheme="majorHAnsi"/>
                <w:color w:val="000000"/>
                <w:sz w:val="22"/>
                <w:szCs w:val="22"/>
              </w:rPr>
            </w:pPr>
            <w:r w:rsidRPr="009E1DE7">
              <w:rPr>
                <w:rFonts w:asciiTheme="majorHAnsi" w:eastAsia="Times New Roman" w:hAnsiTheme="majorHAnsi"/>
                <w:sz w:val="22"/>
                <w:szCs w:val="22"/>
              </w:rPr>
              <w:t>[S]upport allowing the Provider to deny requests when they have determined that the registrant may be placed in an at-risk situation by disclosure of their information to a third party. In the situation where the provider has exhausted all means of contact without a response from the registrant we support termination/surrender of the domain to be the default action rather that proceeding with the reveal of information.</w:t>
            </w:r>
          </w:p>
        </w:tc>
        <w:tc>
          <w:tcPr>
            <w:tcW w:w="3060" w:type="dxa"/>
          </w:tcPr>
          <w:p w14:paraId="58E4C001" w14:textId="77777777" w:rsidR="00937B49" w:rsidRPr="007C033C" w:rsidRDefault="00937B49" w:rsidP="00E81C5B">
            <w:pPr>
              <w:rPr>
                <w:rFonts w:ascii="Calibri" w:eastAsia="Times New Roman" w:hAnsi="Calibri" w:cs="Arial"/>
                <w:sz w:val="22"/>
                <w:szCs w:val="22"/>
                <w:shd w:val="clear" w:color="auto" w:fill="FFFFFF"/>
              </w:rPr>
            </w:pPr>
          </w:p>
        </w:tc>
        <w:tc>
          <w:tcPr>
            <w:tcW w:w="1608" w:type="dxa"/>
          </w:tcPr>
          <w:p w14:paraId="5AA6BACE" w14:textId="723BE223" w:rsidR="00937B49" w:rsidRDefault="00D56A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Cyberinvasion (on behalf of 43 individuals, 6 charities and 2 unincorporated associations)</w:t>
            </w:r>
          </w:p>
        </w:tc>
        <w:tc>
          <w:tcPr>
            <w:tcW w:w="2694" w:type="dxa"/>
          </w:tcPr>
          <w:p w14:paraId="495965E0" w14:textId="77777777" w:rsidR="00937B49" w:rsidRPr="007C033C" w:rsidRDefault="00937B49" w:rsidP="00E81C5B">
            <w:pPr>
              <w:contextualSpacing/>
              <w:rPr>
                <w:rFonts w:ascii="Calibri" w:hAnsi="Calibri"/>
                <w:sz w:val="22"/>
              </w:rPr>
            </w:pPr>
          </w:p>
        </w:tc>
        <w:tc>
          <w:tcPr>
            <w:tcW w:w="2436" w:type="dxa"/>
          </w:tcPr>
          <w:p w14:paraId="05A61194" w14:textId="77777777" w:rsidR="00937B49" w:rsidRPr="007C033C" w:rsidRDefault="00937B49" w:rsidP="00E81C5B">
            <w:pPr>
              <w:contextualSpacing/>
              <w:rPr>
                <w:rFonts w:ascii="Calibri" w:hAnsi="Calibri"/>
                <w:b/>
                <w:sz w:val="22"/>
              </w:rPr>
            </w:pPr>
          </w:p>
        </w:tc>
      </w:tr>
      <w:tr w:rsidR="00937B49" w:rsidRPr="007C033C" w14:paraId="1B6B13A5" w14:textId="77777777" w:rsidTr="00E81C5B">
        <w:tc>
          <w:tcPr>
            <w:tcW w:w="835" w:type="dxa"/>
          </w:tcPr>
          <w:p w14:paraId="17E873BA" w14:textId="77777777" w:rsidR="00937B49" w:rsidRPr="002C71AD" w:rsidRDefault="00937B49" w:rsidP="00E81C5B">
            <w:pPr>
              <w:pStyle w:val="ListParagraph"/>
              <w:numPr>
                <w:ilvl w:val="0"/>
                <w:numId w:val="27"/>
              </w:numPr>
              <w:rPr>
                <w:rFonts w:ascii="Calibri" w:hAnsi="Calibri"/>
                <w:b/>
                <w:sz w:val="22"/>
              </w:rPr>
            </w:pPr>
          </w:p>
        </w:tc>
        <w:tc>
          <w:tcPr>
            <w:tcW w:w="3960" w:type="dxa"/>
          </w:tcPr>
          <w:p w14:paraId="4BAC5806" w14:textId="22B114BA" w:rsidR="00937B49" w:rsidRPr="00FB6104" w:rsidRDefault="00D56A5B" w:rsidP="0062714B">
            <w:pPr>
              <w:rPr>
                <w:rFonts w:asciiTheme="majorHAnsi" w:hAnsiTheme="majorHAnsi"/>
                <w:color w:val="000000"/>
                <w:sz w:val="22"/>
                <w:szCs w:val="22"/>
              </w:rPr>
            </w:pPr>
            <w:r w:rsidRPr="00FB6104">
              <w:rPr>
                <w:rFonts w:asciiTheme="majorHAnsi" w:hAnsiTheme="majorHAnsi" w:cs="Courier"/>
                <w:color w:val="000000"/>
                <w:sz w:val="22"/>
                <w:szCs w:val="22"/>
              </w:rPr>
              <w:t>The proposals do not adequately protect users of proxy services from intellectual property trolling. Any disclosure of personal information from proxy providers to third parties should be subject to oversight. Legal systems around the world already provide a process by which personal information can be obtained, and disclosure of personal information is regularly ordered by courts, but subject to judicial oversight. These established systems and oversight mechanisms should not be usurped by ICANN policy.</w:t>
            </w:r>
          </w:p>
        </w:tc>
        <w:tc>
          <w:tcPr>
            <w:tcW w:w="3060" w:type="dxa"/>
          </w:tcPr>
          <w:p w14:paraId="2DB9B386" w14:textId="77777777" w:rsidR="00937B49" w:rsidRPr="007C033C" w:rsidRDefault="00937B49" w:rsidP="00E81C5B">
            <w:pPr>
              <w:rPr>
                <w:rFonts w:ascii="Calibri" w:eastAsia="Times New Roman" w:hAnsi="Calibri" w:cs="Arial"/>
                <w:sz w:val="22"/>
                <w:szCs w:val="22"/>
                <w:shd w:val="clear" w:color="auto" w:fill="FFFFFF"/>
              </w:rPr>
            </w:pPr>
          </w:p>
        </w:tc>
        <w:tc>
          <w:tcPr>
            <w:tcW w:w="1608" w:type="dxa"/>
          </w:tcPr>
          <w:p w14:paraId="4828F13F" w14:textId="18F31563" w:rsidR="00937B49" w:rsidRDefault="00D56A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Greg McMullen (ascribe GmbH)</w:t>
            </w:r>
          </w:p>
        </w:tc>
        <w:tc>
          <w:tcPr>
            <w:tcW w:w="2694" w:type="dxa"/>
          </w:tcPr>
          <w:p w14:paraId="65BBE85C" w14:textId="77777777" w:rsidR="00937B49" w:rsidRPr="007C033C" w:rsidRDefault="00937B49" w:rsidP="00E81C5B">
            <w:pPr>
              <w:contextualSpacing/>
              <w:rPr>
                <w:rFonts w:ascii="Calibri" w:hAnsi="Calibri"/>
                <w:sz w:val="22"/>
              </w:rPr>
            </w:pPr>
          </w:p>
        </w:tc>
        <w:tc>
          <w:tcPr>
            <w:tcW w:w="2436" w:type="dxa"/>
          </w:tcPr>
          <w:p w14:paraId="74CDEF87" w14:textId="77777777" w:rsidR="00937B49" w:rsidRPr="007C033C" w:rsidRDefault="00937B49" w:rsidP="00E81C5B">
            <w:pPr>
              <w:contextualSpacing/>
              <w:rPr>
                <w:rFonts w:ascii="Calibri" w:hAnsi="Calibri"/>
                <w:b/>
                <w:sz w:val="22"/>
              </w:rPr>
            </w:pPr>
          </w:p>
        </w:tc>
      </w:tr>
      <w:tr w:rsidR="00D56A5B" w:rsidRPr="007C033C" w14:paraId="1B2FD4F8" w14:textId="77777777" w:rsidTr="00E81C5B">
        <w:tc>
          <w:tcPr>
            <w:tcW w:w="835" w:type="dxa"/>
          </w:tcPr>
          <w:p w14:paraId="25A9C1D6" w14:textId="77777777" w:rsidR="00D56A5B" w:rsidRPr="002C71AD" w:rsidRDefault="00D56A5B" w:rsidP="00E81C5B">
            <w:pPr>
              <w:pStyle w:val="ListParagraph"/>
              <w:numPr>
                <w:ilvl w:val="0"/>
                <w:numId w:val="27"/>
              </w:numPr>
              <w:rPr>
                <w:rFonts w:ascii="Calibri" w:hAnsi="Calibri"/>
                <w:b/>
                <w:sz w:val="22"/>
              </w:rPr>
            </w:pPr>
          </w:p>
        </w:tc>
        <w:tc>
          <w:tcPr>
            <w:tcW w:w="3960" w:type="dxa"/>
          </w:tcPr>
          <w:p w14:paraId="1CE9D9D0" w14:textId="77777777" w:rsidR="00D56A5B" w:rsidRDefault="00D56A5B" w:rsidP="00D56A5B">
            <w:pPr>
              <w:rPr>
                <w:rFonts w:asciiTheme="majorHAnsi" w:hAnsiTheme="majorHAnsi" w:cs="Courier"/>
                <w:color w:val="000000"/>
                <w:sz w:val="22"/>
                <w:szCs w:val="22"/>
              </w:rPr>
            </w:pPr>
            <w:r w:rsidRPr="00FB6104">
              <w:rPr>
                <w:rFonts w:asciiTheme="majorHAnsi" w:hAnsiTheme="majorHAnsi" w:cs="Courier"/>
                <w:color w:val="000000"/>
                <w:sz w:val="22"/>
                <w:szCs w:val="22"/>
              </w:rPr>
              <w:t>It should not be the burden or the domain owner to show requests are automated, high volum</w:t>
            </w:r>
            <w:r>
              <w:rPr>
                <w:rFonts w:asciiTheme="majorHAnsi" w:hAnsiTheme="majorHAnsi" w:cs="Courier"/>
                <w:color w:val="000000"/>
                <w:sz w:val="22"/>
                <w:szCs w:val="22"/>
              </w:rPr>
              <w:t>e, etc. The provider or ICANN</w:t>
            </w:r>
            <w:r w:rsidRPr="00FB6104">
              <w:rPr>
                <w:rFonts w:asciiTheme="majorHAnsi" w:hAnsiTheme="majorHAnsi" w:cs="Courier"/>
                <w:color w:val="000000"/>
                <w:sz w:val="22"/>
                <w:szCs w:val="22"/>
              </w:rPr>
              <w:t xml:space="preserve"> itself, on request by the domain owner, needs to determine the validity of each claim (need a way to group related claims where voluminous claims are warranted), and the investigation should provide the targeted domain owners a right for rebuttal prior </w:t>
            </w:r>
            <w:r>
              <w:rPr>
                <w:rFonts w:asciiTheme="majorHAnsi" w:hAnsiTheme="majorHAnsi" w:cs="Courier"/>
                <w:color w:val="000000"/>
                <w:sz w:val="22"/>
                <w:szCs w:val="22"/>
              </w:rPr>
              <w:t>to execution of the request.</w:t>
            </w:r>
          </w:p>
          <w:p w14:paraId="5255D348" w14:textId="77777777" w:rsidR="00D56A5B" w:rsidRDefault="00D56A5B" w:rsidP="00D56A5B">
            <w:pPr>
              <w:rPr>
                <w:rFonts w:asciiTheme="majorHAnsi" w:hAnsiTheme="majorHAnsi" w:cs="Courier"/>
                <w:color w:val="000000"/>
                <w:sz w:val="22"/>
                <w:szCs w:val="22"/>
              </w:rPr>
            </w:pPr>
          </w:p>
          <w:p w14:paraId="7C7DFE50" w14:textId="6732C721" w:rsidR="00D56A5B" w:rsidRPr="00FB6104" w:rsidRDefault="00D56A5B" w:rsidP="0062714B">
            <w:pPr>
              <w:rPr>
                <w:rFonts w:asciiTheme="majorHAnsi" w:hAnsiTheme="majorHAnsi" w:cs="Courier"/>
                <w:color w:val="000000"/>
                <w:sz w:val="22"/>
                <w:szCs w:val="22"/>
              </w:rPr>
            </w:pPr>
            <w:r w:rsidRPr="00FB6104">
              <w:rPr>
                <w:rFonts w:asciiTheme="majorHAnsi" w:hAnsiTheme="majorHAnsi" w:cs="Courier"/>
                <w:color w:val="000000"/>
                <w:sz w:val="22"/>
                <w:szCs w:val="22"/>
              </w:rPr>
              <w:t>There should be an appeal mechanism to ICANN for the domain holder should they disagree with the provider, the same as between the provider and the requesto</w:t>
            </w:r>
            <w:r>
              <w:rPr>
                <w:rFonts w:asciiTheme="majorHAnsi" w:hAnsiTheme="majorHAnsi" w:cs="Courier"/>
                <w:color w:val="000000"/>
                <w:sz w:val="22"/>
                <w:szCs w:val="22"/>
              </w:rPr>
              <w:t xml:space="preserve">r, prior to the Publication. </w:t>
            </w:r>
          </w:p>
        </w:tc>
        <w:tc>
          <w:tcPr>
            <w:tcW w:w="3060" w:type="dxa"/>
          </w:tcPr>
          <w:p w14:paraId="08923F86" w14:textId="77777777" w:rsidR="00D56A5B" w:rsidRPr="007C033C" w:rsidRDefault="00D56A5B" w:rsidP="00E81C5B">
            <w:pPr>
              <w:rPr>
                <w:rFonts w:ascii="Calibri" w:eastAsia="Times New Roman" w:hAnsi="Calibri" w:cs="Arial"/>
                <w:sz w:val="22"/>
                <w:szCs w:val="22"/>
                <w:shd w:val="clear" w:color="auto" w:fill="FFFFFF"/>
              </w:rPr>
            </w:pPr>
          </w:p>
        </w:tc>
        <w:tc>
          <w:tcPr>
            <w:tcW w:w="1608" w:type="dxa"/>
          </w:tcPr>
          <w:p w14:paraId="6D9B9FEA" w14:textId="220E345A" w:rsidR="00D56A5B" w:rsidRDefault="00D56A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Phil Crooker</w:t>
            </w:r>
          </w:p>
        </w:tc>
        <w:tc>
          <w:tcPr>
            <w:tcW w:w="2694" w:type="dxa"/>
          </w:tcPr>
          <w:p w14:paraId="0652C29B" w14:textId="77777777" w:rsidR="00D56A5B" w:rsidRPr="007C033C" w:rsidRDefault="00D56A5B" w:rsidP="00E81C5B">
            <w:pPr>
              <w:contextualSpacing/>
              <w:rPr>
                <w:rFonts w:ascii="Calibri" w:hAnsi="Calibri"/>
                <w:sz w:val="22"/>
              </w:rPr>
            </w:pPr>
          </w:p>
        </w:tc>
        <w:tc>
          <w:tcPr>
            <w:tcW w:w="2436" w:type="dxa"/>
          </w:tcPr>
          <w:p w14:paraId="30006BAF" w14:textId="77777777" w:rsidR="00D56A5B" w:rsidRPr="007C033C" w:rsidRDefault="00D56A5B" w:rsidP="00E81C5B">
            <w:pPr>
              <w:contextualSpacing/>
              <w:rPr>
                <w:rFonts w:ascii="Calibri" w:hAnsi="Calibri"/>
                <w:b/>
                <w:sz w:val="22"/>
              </w:rPr>
            </w:pPr>
          </w:p>
        </w:tc>
      </w:tr>
      <w:tr w:rsidR="00D56A5B" w:rsidRPr="007C033C" w14:paraId="184A722F" w14:textId="77777777" w:rsidTr="00E81C5B">
        <w:tc>
          <w:tcPr>
            <w:tcW w:w="835" w:type="dxa"/>
          </w:tcPr>
          <w:p w14:paraId="549D4F52" w14:textId="77777777" w:rsidR="00D56A5B" w:rsidRPr="002C71AD" w:rsidRDefault="00D56A5B" w:rsidP="00E81C5B">
            <w:pPr>
              <w:pStyle w:val="ListParagraph"/>
              <w:numPr>
                <w:ilvl w:val="0"/>
                <w:numId w:val="27"/>
              </w:numPr>
              <w:rPr>
                <w:rFonts w:ascii="Calibri" w:hAnsi="Calibri"/>
                <w:b/>
                <w:sz w:val="22"/>
              </w:rPr>
            </w:pPr>
          </w:p>
        </w:tc>
        <w:tc>
          <w:tcPr>
            <w:tcW w:w="3960" w:type="dxa"/>
          </w:tcPr>
          <w:p w14:paraId="31F8E28B" w14:textId="4F3155EE" w:rsidR="00D56A5B" w:rsidRPr="00D56A5B" w:rsidRDefault="00D56A5B" w:rsidP="0062714B">
            <w:pPr>
              <w:rPr>
                <w:rFonts w:asciiTheme="majorHAnsi" w:hAnsiTheme="majorHAnsi" w:cs="Courier"/>
                <w:color w:val="000000"/>
                <w:sz w:val="22"/>
                <w:szCs w:val="22"/>
                <w:shd w:val="clear" w:color="auto" w:fill="FFFFFF"/>
              </w:rPr>
            </w:pPr>
            <w:r w:rsidRPr="00FB6104">
              <w:rPr>
                <w:rFonts w:asciiTheme="majorHAnsi" w:hAnsiTheme="majorHAnsi" w:cs="Courier"/>
                <w:color w:val="000000"/>
                <w:sz w:val="22"/>
                <w:szCs w:val="22"/>
              </w:rPr>
              <w:t>Private information should not be revealed without either the consent of the party concerned, or a warrant issued by an independent court</w:t>
            </w:r>
            <w:r w:rsidRPr="00FB6104">
              <w:rPr>
                <w:rStyle w:val="FootnoteReference"/>
                <w:rFonts w:asciiTheme="majorHAnsi" w:hAnsiTheme="majorHAnsi" w:cs="Courier"/>
                <w:color w:val="000000"/>
                <w:sz w:val="22"/>
                <w:szCs w:val="22"/>
              </w:rPr>
              <w:footnoteReference w:id="1"/>
            </w:r>
            <w:r w:rsidRPr="00FB6104">
              <w:rPr>
                <w:rFonts w:asciiTheme="majorHAnsi" w:hAnsiTheme="majorHAnsi" w:cs="Courier"/>
                <w:color w:val="000000"/>
                <w:sz w:val="22"/>
                <w:szCs w:val="22"/>
              </w:rPr>
              <w:t xml:space="preserve">.  I would urge you to consider the potential for abuse in a system which would allow such warrantless disclosure of personal information.  ICANN should also consider whether this is compatible with data protection law.  </w:t>
            </w:r>
          </w:p>
        </w:tc>
        <w:tc>
          <w:tcPr>
            <w:tcW w:w="3060" w:type="dxa"/>
          </w:tcPr>
          <w:p w14:paraId="3417BB99" w14:textId="77777777" w:rsidR="00D56A5B" w:rsidRPr="007C033C" w:rsidRDefault="00D56A5B" w:rsidP="00E81C5B">
            <w:pPr>
              <w:rPr>
                <w:rFonts w:ascii="Calibri" w:eastAsia="Times New Roman" w:hAnsi="Calibri" w:cs="Arial"/>
                <w:sz w:val="22"/>
                <w:szCs w:val="22"/>
                <w:shd w:val="clear" w:color="auto" w:fill="FFFFFF"/>
              </w:rPr>
            </w:pPr>
          </w:p>
        </w:tc>
        <w:tc>
          <w:tcPr>
            <w:tcW w:w="1608" w:type="dxa"/>
          </w:tcPr>
          <w:p w14:paraId="0D84B2E7" w14:textId="32BA76AF" w:rsidR="00D56A5B" w:rsidRDefault="00D56A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Evelyn Aya Snow</w:t>
            </w:r>
          </w:p>
        </w:tc>
        <w:tc>
          <w:tcPr>
            <w:tcW w:w="2694" w:type="dxa"/>
          </w:tcPr>
          <w:p w14:paraId="36D004FC" w14:textId="77777777" w:rsidR="00D56A5B" w:rsidRPr="007C033C" w:rsidRDefault="00D56A5B" w:rsidP="00E81C5B">
            <w:pPr>
              <w:contextualSpacing/>
              <w:rPr>
                <w:rFonts w:ascii="Calibri" w:hAnsi="Calibri"/>
                <w:sz w:val="22"/>
              </w:rPr>
            </w:pPr>
          </w:p>
        </w:tc>
        <w:tc>
          <w:tcPr>
            <w:tcW w:w="2436" w:type="dxa"/>
          </w:tcPr>
          <w:p w14:paraId="655C12CF" w14:textId="77777777" w:rsidR="00D56A5B" w:rsidRPr="007C033C" w:rsidRDefault="00D56A5B" w:rsidP="00E81C5B">
            <w:pPr>
              <w:contextualSpacing/>
              <w:rPr>
                <w:rFonts w:ascii="Calibri" w:hAnsi="Calibri"/>
                <w:b/>
                <w:sz w:val="22"/>
              </w:rPr>
            </w:pPr>
          </w:p>
        </w:tc>
      </w:tr>
      <w:tr w:rsidR="00D56A5B" w:rsidRPr="007C033C" w14:paraId="50BE5A76" w14:textId="77777777" w:rsidTr="00E81C5B">
        <w:tc>
          <w:tcPr>
            <w:tcW w:w="835" w:type="dxa"/>
          </w:tcPr>
          <w:p w14:paraId="3CDA716B" w14:textId="77777777" w:rsidR="00D56A5B" w:rsidRPr="002C71AD" w:rsidRDefault="00D56A5B" w:rsidP="00E81C5B">
            <w:pPr>
              <w:pStyle w:val="ListParagraph"/>
              <w:numPr>
                <w:ilvl w:val="0"/>
                <w:numId w:val="27"/>
              </w:numPr>
              <w:rPr>
                <w:rFonts w:ascii="Calibri" w:hAnsi="Calibri"/>
                <w:b/>
                <w:sz w:val="22"/>
              </w:rPr>
            </w:pPr>
          </w:p>
        </w:tc>
        <w:tc>
          <w:tcPr>
            <w:tcW w:w="3960" w:type="dxa"/>
          </w:tcPr>
          <w:p w14:paraId="233DE153" w14:textId="1787D192" w:rsidR="00D56A5B" w:rsidRPr="00941326" w:rsidRDefault="00941326" w:rsidP="0062714B">
            <w:pPr>
              <w:rPr>
                <w:rFonts w:asciiTheme="majorHAnsi" w:hAnsiTheme="majorHAnsi" w:cs="Courier"/>
                <w:color w:val="000000"/>
                <w:sz w:val="22"/>
                <w:szCs w:val="22"/>
                <w:shd w:val="clear" w:color="auto" w:fill="FFFFFF"/>
              </w:rPr>
            </w:pPr>
            <w:r>
              <w:rPr>
                <w:rFonts w:asciiTheme="majorHAnsi" w:hAnsiTheme="majorHAnsi" w:cs="Courier"/>
                <w:color w:val="000000"/>
                <w:sz w:val="22"/>
                <w:szCs w:val="22"/>
                <w:shd w:val="clear" w:color="auto" w:fill="FFFFFF"/>
              </w:rPr>
              <w:t>[I]</w:t>
            </w:r>
            <w:r w:rsidRPr="00FB6104">
              <w:rPr>
                <w:rFonts w:asciiTheme="majorHAnsi" w:hAnsiTheme="majorHAnsi" w:cs="Courier"/>
                <w:color w:val="000000"/>
                <w:sz w:val="22"/>
                <w:szCs w:val="22"/>
                <w:shd w:val="clear" w:color="auto" w:fill="FFFFFF"/>
              </w:rPr>
              <w:t>nstead of taking away a general right of everyone, you should instead modify the idea to only make sharing of details with 2 watch dog organizations mandatory when someone chooses to use private registration, and charge those organizations to only disclose details if they can be directed to an infringing link, ad, or illegal activity. This would satisfy corporate interests, and still protect the bulk of legal private domain registrations.</w:t>
            </w:r>
          </w:p>
        </w:tc>
        <w:tc>
          <w:tcPr>
            <w:tcW w:w="3060" w:type="dxa"/>
          </w:tcPr>
          <w:p w14:paraId="17FA039F" w14:textId="77777777" w:rsidR="00D56A5B" w:rsidRPr="007C033C" w:rsidRDefault="00D56A5B" w:rsidP="00E81C5B">
            <w:pPr>
              <w:rPr>
                <w:rFonts w:ascii="Calibri" w:eastAsia="Times New Roman" w:hAnsi="Calibri" w:cs="Arial"/>
                <w:sz w:val="22"/>
                <w:szCs w:val="22"/>
                <w:shd w:val="clear" w:color="auto" w:fill="FFFFFF"/>
              </w:rPr>
            </w:pPr>
          </w:p>
        </w:tc>
        <w:tc>
          <w:tcPr>
            <w:tcW w:w="1608" w:type="dxa"/>
          </w:tcPr>
          <w:p w14:paraId="6D69B5C3" w14:textId="507F97D8" w:rsidR="00D56A5B" w:rsidRDefault="0094132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Myers</w:t>
            </w:r>
          </w:p>
        </w:tc>
        <w:tc>
          <w:tcPr>
            <w:tcW w:w="2694" w:type="dxa"/>
          </w:tcPr>
          <w:p w14:paraId="0B6EF33A" w14:textId="77777777" w:rsidR="00D56A5B" w:rsidRPr="007C033C" w:rsidRDefault="00D56A5B" w:rsidP="00E81C5B">
            <w:pPr>
              <w:contextualSpacing/>
              <w:rPr>
                <w:rFonts w:ascii="Calibri" w:hAnsi="Calibri"/>
                <w:sz w:val="22"/>
              </w:rPr>
            </w:pPr>
          </w:p>
        </w:tc>
        <w:tc>
          <w:tcPr>
            <w:tcW w:w="2436" w:type="dxa"/>
          </w:tcPr>
          <w:p w14:paraId="3A75B570" w14:textId="77777777" w:rsidR="00D56A5B" w:rsidRPr="007C033C" w:rsidRDefault="00D56A5B" w:rsidP="00E81C5B">
            <w:pPr>
              <w:contextualSpacing/>
              <w:rPr>
                <w:rFonts w:ascii="Calibri" w:hAnsi="Calibri"/>
                <w:b/>
                <w:sz w:val="22"/>
              </w:rPr>
            </w:pPr>
          </w:p>
        </w:tc>
      </w:tr>
      <w:tr w:rsidR="00D56A5B" w:rsidRPr="007C033C" w14:paraId="030F2CDB" w14:textId="77777777" w:rsidTr="00E81C5B">
        <w:tc>
          <w:tcPr>
            <w:tcW w:w="835" w:type="dxa"/>
          </w:tcPr>
          <w:p w14:paraId="7EE91890" w14:textId="77777777" w:rsidR="00D56A5B" w:rsidRPr="002C71AD" w:rsidRDefault="00D56A5B" w:rsidP="00E81C5B">
            <w:pPr>
              <w:pStyle w:val="ListParagraph"/>
              <w:numPr>
                <w:ilvl w:val="0"/>
                <w:numId w:val="27"/>
              </w:numPr>
              <w:rPr>
                <w:rFonts w:ascii="Calibri" w:hAnsi="Calibri"/>
                <w:b/>
                <w:sz w:val="22"/>
              </w:rPr>
            </w:pPr>
          </w:p>
        </w:tc>
        <w:tc>
          <w:tcPr>
            <w:tcW w:w="3960" w:type="dxa"/>
          </w:tcPr>
          <w:p w14:paraId="4F604732" w14:textId="139CD452" w:rsidR="00D56A5B" w:rsidRPr="00FB6104" w:rsidRDefault="00941326" w:rsidP="0062714B">
            <w:pPr>
              <w:rPr>
                <w:rFonts w:asciiTheme="majorHAnsi" w:hAnsiTheme="majorHAnsi" w:cs="Courier"/>
                <w:color w:val="000000"/>
                <w:sz w:val="22"/>
                <w:szCs w:val="22"/>
              </w:rPr>
            </w:pPr>
            <w:r>
              <w:rPr>
                <w:rFonts w:asciiTheme="majorHAnsi" w:hAnsiTheme="majorHAnsi" w:cs="Courier"/>
                <w:color w:val="000000"/>
                <w:sz w:val="22"/>
                <w:szCs w:val="22"/>
              </w:rPr>
              <w:t xml:space="preserve">[Disagree with proposal that] </w:t>
            </w:r>
            <w:r w:rsidRPr="00FB6104">
              <w:rPr>
                <w:rFonts w:asciiTheme="majorHAnsi" w:hAnsiTheme="majorHAnsi"/>
                <w:color w:val="000000"/>
                <w:sz w:val="22"/>
                <w:szCs w:val="22"/>
              </w:rPr>
              <w:t>Providers can be forced to give your priv</w:t>
            </w:r>
            <w:r w:rsidR="00435944">
              <w:rPr>
                <w:rFonts w:asciiTheme="majorHAnsi" w:hAnsiTheme="majorHAnsi"/>
                <w:color w:val="000000"/>
                <w:sz w:val="22"/>
                <w:szCs w:val="22"/>
              </w:rPr>
              <w:t>ate contact details to anyone</w:t>
            </w:r>
            <w:r w:rsidRPr="00FB6104">
              <w:rPr>
                <w:rFonts w:asciiTheme="majorHAnsi" w:hAnsiTheme="majorHAnsi"/>
                <w:color w:val="000000"/>
                <w:sz w:val="22"/>
                <w:szCs w:val="22"/>
              </w:rPr>
              <w:t xml:space="preserve"> complaining that your site violates their copyright or trademark.   </w:t>
            </w:r>
          </w:p>
        </w:tc>
        <w:tc>
          <w:tcPr>
            <w:tcW w:w="3060" w:type="dxa"/>
          </w:tcPr>
          <w:p w14:paraId="3B981ECF" w14:textId="77777777" w:rsidR="00D56A5B" w:rsidRPr="007C033C" w:rsidRDefault="00D56A5B" w:rsidP="00E81C5B">
            <w:pPr>
              <w:rPr>
                <w:rFonts w:ascii="Calibri" w:eastAsia="Times New Roman" w:hAnsi="Calibri" w:cs="Arial"/>
                <w:sz w:val="22"/>
                <w:szCs w:val="22"/>
                <w:shd w:val="clear" w:color="auto" w:fill="FFFFFF"/>
              </w:rPr>
            </w:pPr>
          </w:p>
        </w:tc>
        <w:tc>
          <w:tcPr>
            <w:tcW w:w="1608" w:type="dxa"/>
          </w:tcPr>
          <w:p w14:paraId="55E2B647" w14:textId="028A1832" w:rsidR="00D56A5B" w:rsidRDefault="0043594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Ralf Haring</w:t>
            </w:r>
          </w:p>
        </w:tc>
        <w:tc>
          <w:tcPr>
            <w:tcW w:w="2694" w:type="dxa"/>
          </w:tcPr>
          <w:p w14:paraId="75779BC7" w14:textId="77777777" w:rsidR="00D56A5B" w:rsidRPr="007C033C" w:rsidRDefault="00D56A5B" w:rsidP="00E81C5B">
            <w:pPr>
              <w:contextualSpacing/>
              <w:rPr>
                <w:rFonts w:ascii="Calibri" w:hAnsi="Calibri"/>
                <w:sz w:val="22"/>
              </w:rPr>
            </w:pPr>
          </w:p>
        </w:tc>
        <w:tc>
          <w:tcPr>
            <w:tcW w:w="2436" w:type="dxa"/>
          </w:tcPr>
          <w:p w14:paraId="08A02745" w14:textId="77777777" w:rsidR="00D56A5B" w:rsidRPr="007C033C" w:rsidRDefault="00D56A5B" w:rsidP="00E81C5B">
            <w:pPr>
              <w:contextualSpacing/>
              <w:rPr>
                <w:rFonts w:ascii="Calibri" w:hAnsi="Calibri"/>
                <w:b/>
                <w:sz w:val="22"/>
              </w:rPr>
            </w:pPr>
          </w:p>
        </w:tc>
      </w:tr>
      <w:tr w:rsidR="00D56A5B" w:rsidRPr="007C033C" w14:paraId="329F1B5F" w14:textId="77777777" w:rsidTr="00E81C5B">
        <w:tc>
          <w:tcPr>
            <w:tcW w:w="835" w:type="dxa"/>
          </w:tcPr>
          <w:p w14:paraId="208A35F1" w14:textId="77777777" w:rsidR="00D56A5B" w:rsidRPr="002C71AD" w:rsidRDefault="00D56A5B" w:rsidP="00E81C5B">
            <w:pPr>
              <w:pStyle w:val="ListParagraph"/>
              <w:numPr>
                <w:ilvl w:val="0"/>
                <w:numId w:val="27"/>
              </w:numPr>
              <w:rPr>
                <w:rFonts w:ascii="Calibri" w:hAnsi="Calibri"/>
                <w:b/>
                <w:sz w:val="22"/>
              </w:rPr>
            </w:pPr>
          </w:p>
        </w:tc>
        <w:tc>
          <w:tcPr>
            <w:tcW w:w="3960" w:type="dxa"/>
          </w:tcPr>
          <w:p w14:paraId="714434B7" w14:textId="557FA73F" w:rsidR="00D56A5B" w:rsidRPr="00FB6104" w:rsidRDefault="00435944" w:rsidP="0062714B">
            <w:pPr>
              <w:rPr>
                <w:rFonts w:asciiTheme="majorHAnsi" w:hAnsiTheme="majorHAnsi" w:cs="Courier"/>
                <w:color w:val="000000"/>
                <w:sz w:val="22"/>
                <w:szCs w:val="22"/>
              </w:rPr>
            </w:pPr>
            <w:r w:rsidRPr="00FB6104">
              <w:rPr>
                <w:rFonts w:asciiTheme="majorHAnsi" w:hAnsiTheme="majorHAnsi" w:cs="Courier"/>
                <w:color w:val="000000"/>
                <w:sz w:val="22"/>
                <w:szCs w:val="22"/>
              </w:rPr>
              <w:t>During the case proceeding, the privacy and proxy service make it difficult to confirm who is the respondent.  So as provider of domain name dispute resolution service, we hope the registrar could provide us the detailed information of t</w:t>
            </w:r>
            <w:r>
              <w:rPr>
                <w:rFonts w:asciiTheme="majorHAnsi" w:hAnsiTheme="majorHAnsi" w:cs="Courier"/>
                <w:color w:val="000000"/>
                <w:sz w:val="22"/>
                <w:szCs w:val="22"/>
              </w:rPr>
              <w:t xml:space="preserve">he real holder of the disputed </w:t>
            </w:r>
            <w:r w:rsidRPr="00FB6104">
              <w:rPr>
                <w:rFonts w:asciiTheme="majorHAnsi" w:hAnsiTheme="majorHAnsi" w:cs="Courier"/>
                <w:color w:val="000000"/>
                <w:sz w:val="22"/>
                <w:szCs w:val="22"/>
              </w:rPr>
              <w:t>domain name while a complaint has been filed.</w:t>
            </w:r>
          </w:p>
        </w:tc>
        <w:tc>
          <w:tcPr>
            <w:tcW w:w="3060" w:type="dxa"/>
          </w:tcPr>
          <w:p w14:paraId="60A74C56" w14:textId="77777777" w:rsidR="00D56A5B" w:rsidRPr="007C033C" w:rsidRDefault="00D56A5B" w:rsidP="00E81C5B">
            <w:pPr>
              <w:rPr>
                <w:rFonts w:ascii="Calibri" w:eastAsia="Times New Roman" w:hAnsi="Calibri" w:cs="Arial"/>
                <w:sz w:val="22"/>
                <w:szCs w:val="22"/>
                <w:shd w:val="clear" w:color="auto" w:fill="FFFFFF"/>
              </w:rPr>
            </w:pPr>
          </w:p>
        </w:tc>
        <w:tc>
          <w:tcPr>
            <w:tcW w:w="1608" w:type="dxa"/>
          </w:tcPr>
          <w:p w14:paraId="0D2862D3" w14:textId="1D3FF5BA" w:rsidR="00D56A5B" w:rsidRDefault="0043594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Cui (ADNDRC)</w:t>
            </w:r>
          </w:p>
        </w:tc>
        <w:tc>
          <w:tcPr>
            <w:tcW w:w="2694" w:type="dxa"/>
          </w:tcPr>
          <w:p w14:paraId="6163FB7D" w14:textId="77777777" w:rsidR="00D56A5B" w:rsidRPr="007C033C" w:rsidRDefault="00D56A5B" w:rsidP="00E81C5B">
            <w:pPr>
              <w:contextualSpacing/>
              <w:rPr>
                <w:rFonts w:ascii="Calibri" w:hAnsi="Calibri"/>
                <w:sz w:val="22"/>
              </w:rPr>
            </w:pPr>
          </w:p>
        </w:tc>
        <w:tc>
          <w:tcPr>
            <w:tcW w:w="2436" w:type="dxa"/>
          </w:tcPr>
          <w:p w14:paraId="53B3C526" w14:textId="77777777" w:rsidR="00D56A5B" w:rsidRPr="007C033C" w:rsidRDefault="00D56A5B" w:rsidP="00E81C5B">
            <w:pPr>
              <w:contextualSpacing/>
              <w:rPr>
                <w:rFonts w:ascii="Calibri" w:hAnsi="Calibri"/>
                <w:b/>
                <w:sz w:val="22"/>
              </w:rPr>
            </w:pPr>
          </w:p>
        </w:tc>
      </w:tr>
      <w:tr w:rsidR="005F643A" w:rsidRPr="007C033C" w14:paraId="6A81DE72" w14:textId="77777777" w:rsidTr="00E81C5B">
        <w:tc>
          <w:tcPr>
            <w:tcW w:w="835" w:type="dxa"/>
          </w:tcPr>
          <w:p w14:paraId="330613FA"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0B3932DE" w14:textId="602CEB48" w:rsidR="005F643A" w:rsidRPr="00FB6104" w:rsidRDefault="005F643A" w:rsidP="0062714B">
            <w:pPr>
              <w:rPr>
                <w:rFonts w:asciiTheme="majorHAnsi" w:hAnsiTheme="majorHAnsi" w:cs="Courier"/>
                <w:color w:val="000000"/>
                <w:sz w:val="22"/>
                <w:szCs w:val="22"/>
              </w:rPr>
            </w:pPr>
            <w:r>
              <w:rPr>
                <w:rFonts w:ascii="Calibri" w:hAnsi="Calibri"/>
                <w:sz w:val="22"/>
                <w:szCs w:val="22"/>
              </w:rPr>
              <w:t>Disagree with any disclosure to copyright holders</w:t>
            </w:r>
          </w:p>
        </w:tc>
        <w:tc>
          <w:tcPr>
            <w:tcW w:w="3060" w:type="dxa"/>
          </w:tcPr>
          <w:p w14:paraId="2C612858" w14:textId="77777777" w:rsidR="005F643A" w:rsidRPr="007C033C" w:rsidRDefault="005F643A" w:rsidP="00E81C5B">
            <w:pPr>
              <w:rPr>
                <w:rFonts w:ascii="Calibri" w:eastAsia="Times New Roman" w:hAnsi="Calibri" w:cs="Arial"/>
                <w:sz w:val="22"/>
                <w:szCs w:val="22"/>
                <w:shd w:val="clear" w:color="auto" w:fill="FFFFFF"/>
              </w:rPr>
            </w:pPr>
          </w:p>
        </w:tc>
        <w:tc>
          <w:tcPr>
            <w:tcW w:w="1608" w:type="dxa"/>
          </w:tcPr>
          <w:p w14:paraId="26558C91" w14:textId="364B186D"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Liam</w:t>
            </w:r>
          </w:p>
        </w:tc>
        <w:tc>
          <w:tcPr>
            <w:tcW w:w="2694" w:type="dxa"/>
          </w:tcPr>
          <w:p w14:paraId="3AFE4CED" w14:textId="77777777" w:rsidR="005F643A" w:rsidRPr="007C033C" w:rsidRDefault="005F643A" w:rsidP="00E81C5B">
            <w:pPr>
              <w:contextualSpacing/>
              <w:rPr>
                <w:rFonts w:ascii="Calibri" w:hAnsi="Calibri"/>
                <w:sz w:val="22"/>
              </w:rPr>
            </w:pPr>
          </w:p>
        </w:tc>
        <w:tc>
          <w:tcPr>
            <w:tcW w:w="2436" w:type="dxa"/>
          </w:tcPr>
          <w:p w14:paraId="48D9E70E" w14:textId="77777777" w:rsidR="005F643A" w:rsidRPr="007C033C" w:rsidRDefault="005F643A" w:rsidP="00E81C5B">
            <w:pPr>
              <w:contextualSpacing/>
              <w:rPr>
                <w:rFonts w:ascii="Calibri" w:hAnsi="Calibri"/>
                <w:b/>
                <w:sz w:val="22"/>
              </w:rPr>
            </w:pPr>
          </w:p>
        </w:tc>
      </w:tr>
      <w:tr w:rsidR="005F643A" w:rsidRPr="007C033C" w14:paraId="49759ACA" w14:textId="77777777" w:rsidTr="00E81C5B">
        <w:tc>
          <w:tcPr>
            <w:tcW w:w="835" w:type="dxa"/>
          </w:tcPr>
          <w:p w14:paraId="0785435A"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1E757651" w14:textId="1B6A1CA6" w:rsidR="005F643A" w:rsidRPr="00FB6104" w:rsidRDefault="005F643A" w:rsidP="0062714B">
            <w:pPr>
              <w:rPr>
                <w:rFonts w:asciiTheme="majorHAnsi" w:hAnsiTheme="majorHAnsi" w:cs="Courier"/>
                <w:color w:val="000000"/>
                <w:sz w:val="22"/>
                <w:szCs w:val="22"/>
              </w:rPr>
            </w:pPr>
            <w:r w:rsidRPr="000C1D27">
              <w:rPr>
                <w:rFonts w:ascii="Calibri" w:hAnsi="Calibri"/>
                <w:sz w:val="22"/>
                <w:szCs w:val="22"/>
              </w:rPr>
              <w:t>It is never acceptable to disclose a person</w:t>
            </w:r>
            <w:r>
              <w:rPr>
                <w:rFonts w:ascii="Calibri" w:hAnsi="Calibri"/>
                <w:sz w:val="22"/>
                <w:szCs w:val="22"/>
              </w:rPr>
              <w:t>’</w:t>
            </w:r>
            <w:r w:rsidRPr="000C1D27">
              <w:rPr>
                <w:rFonts w:ascii="Calibri" w:hAnsi="Calibri"/>
                <w:sz w:val="22"/>
                <w:szCs w:val="22"/>
              </w:rPr>
              <w:t>s information absent a court order specifically requiring that action. To do anything else erodes the fabric of the internet.</w:t>
            </w:r>
          </w:p>
        </w:tc>
        <w:tc>
          <w:tcPr>
            <w:tcW w:w="3060" w:type="dxa"/>
          </w:tcPr>
          <w:p w14:paraId="1B48B1C2" w14:textId="77777777" w:rsidR="005F643A" w:rsidRPr="007C033C" w:rsidRDefault="005F643A" w:rsidP="00E81C5B">
            <w:pPr>
              <w:rPr>
                <w:rFonts w:ascii="Calibri" w:eastAsia="Times New Roman" w:hAnsi="Calibri" w:cs="Arial"/>
                <w:sz w:val="22"/>
                <w:szCs w:val="22"/>
                <w:shd w:val="clear" w:color="auto" w:fill="FFFFFF"/>
              </w:rPr>
            </w:pPr>
          </w:p>
        </w:tc>
        <w:tc>
          <w:tcPr>
            <w:tcW w:w="1608" w:type="dxa"/>
          </w:tcPr>
          <w:p w14:paraId="4ED81905" w14:textId="50D9D549"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Dr M Klinefelter</w:t>
            </w:r>
          </w:p>
        </w:tc>
        <w:tc>
          <w:tcPr>
            <w:tcW w:w="2694" w:type="dxa"/>
          </w:tcPr>
          <w:p w14:paraId="5344C1D6" w14:textId="77777777" w:rsidR="005F643A" w:rsidRPr="007C033C" w:rsidRDefault="005F643A" w:rsidP="00E81C5B">
            <w:pPr>
              <w:contextualSpacing/>
              <w:rPr>
                <w:rFonts w:ascii="Calibri" w:hAnsi="Calibri"/>
                <w:sz w:val="22"/>
              </w:rPr>
            </w:pPr>
          </w:p>
        </w:tc>
        <w:tc>
          <w:tcPr>
            <w:tcW w:w="2436" w:type="dxa"/>
          </w:tcPr>
          <w:p w14:paraId="0FCD1399" w14:textId="77777777" w:rsidR="005F643A" w:rsidRPr="007C033C" w:rsidRDefault="005F643A" w:rsidP="00E81C5B">
            <w:pPr>
              <w:contextualSpacing/>
              <w:rPr>
                <w:rFonts w:ascii="Calibri" w:hAnsi="Calibri"/>
                <w:b/>
                <w:sz w:val="22"/>
              </w:rPr>
            </w:pPr>
          </w:p>
        </w:tc>
      </w:tr>
      <w:tr w:rsidR="005F643A" w:rsidRPr="007C033C" w14:paraId="2BEAFDDE" w14:textId="77777777" w:rsidTr="00E81C5B">
        <w:tc>
          <w:tcPr>
            <w:tcW w:w="835" w:type="dxa"/>
          </w:tcPr>
          <w:p w14:paraId="408E7DBE"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357AC142" w14:textId="77777777" w:rsidR="005F643A" w:rsidRPr="000C1D27" w:rsidRDefault="005F643A" w:rsidP="0062714B">
            <w:pPr>
              <w:rPr>
                <w:rFonts w:ascii="Calibri" w:hAnsi="Calibri"/>
                <w:sz w:val="22"/>
                <w:szCs w:val="22"/>
              </w:rPr>
            </w:pPr>
          </w:p>
        </w:tc>
        <w:tc>
          <w:tcPr>
            <w:tcW w:w="3060" w:type="dxa"/>
          </w:tcPr>
          <w:p w14:paraId="4154D5A5" w14:textId="7119FBF2" w:rsidR="005F643A" w:rsidRPr="007C033C" w:rsidRDefault="005F643A" w:rsidP="00E81C5B">
            <w:pPr>
              <w:rPr>
                <w:rFonts w:ascii="Calibri" w:eastAsia="Times New Roman" w:hAnsi="Calibri" w:cs="Arial"/>
                <w:sz w:val="22"/>
                <w:szCs w:val="22"/>
                <w:shd w:val="clear" w:color="auto" w:fill="FFFFFF"/>
              </w:rPr>
            </w:pPr>
            <w:r w:rsidRPr="00402793">
              <w:rPr>
                <w:rFonts w:ascii="Calibri" w:eastAsia="Times New Roman" w:hAnsi="Calibri" w:cs="Arial"/>
                <w:sz w:val="22"/>
                <w:szCs w:val="22"/>
                <w:shd w:val="clear" w:color="auto" w:fill="FFFFFF"/>
              </w:rPr>
              <w:t>No opinion, you didn't provide the text to be reviewed.</w:t>
            </w:r>
          </w:p>
        </w:tc>
        <w:tc>
          <w:tcPr>
            <w:tcW w:w="1608" w:type="dxa"/>
          </w:tcPr>
          <w:p w14:paraId="6E94FE85" w14:textId="0CE36C00"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Marc Schauber</w:t>
            </w:r>
          </w:p>
        </w:tc>
        <w:tc>
          <w:tcPr>
            <w:tcW w:w="2694" w:type="dxa"/>
          </w:tcPr>
          <w:p w14:paraId="64F51D84" w14:textId="77777777" w:rsidR="005F643A" w:rsidRPr="007C033C" w:rsidRDefault="005F643A" w:rsidP="00E81C5B">
            <w:pPr>
              <w:contextualSpacing/>
              <w:rPr>
                <w:rFonts w:ascii="Calibri" w:hAnsi="Calibri"/>
                <w:sz w:val="22"/>
              </w:rPr>
            </w:pPr>
          </w:p>
        </w:tc>
        <w:tc>
          <w:tcPr>
            <w:tcW w:w="2436" w:type="dxa"/>
          </w:tcPr>
          <w:p w14:paraId="2A7A2BB1" w14:textId="77777777" w:rsidR="005F643A" w:rsidRPr="007C033C" w:rsidRDefault="005F643A" w:rsidP="00E81C5B">
            <w:pPr>
              <w:contextualSpacing/>
              <w:rPr>
                <w:rFonts w:ascii="Calibri" w:hAnsi="Calibri"/>
                <w:b/>
                <w:sz w:val="22"/>
              </w:rPr>
            </w:pPr>
          </w:p>
        </w:tc>
      </w:tr>
      <w:tr w:rsidR="005F643A" w:rsidRPr="007C033C" w14:paraId="1ABE86DF" w14:textId="77777777" w:rsidTr="00E81C5B">
        <w:tc>
          <w:tcPr>
            <w:tcW w:w="835" w:type="dxa"/>
          </w:tcPr>
          <w:p w14:paraId="1E9A0561"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15CD0ADF" w14:textId="1A48D974" w:rsidR="005F643A" w:rsidRPr="000C1D27" w:rsidRDefault="005F643A" w:rsidP="0062714B">
            <w:pPr>
              <w:rPr>
                <w:rFonts w:ascii="Calibri" w:hAnsi="Calibri"/>
                <w:sz w:val="22"/>
                <w:szCs w:val="22"/>
              </w:rPr>
            </w:pPr>
            <w:r w:rsidRPr="00EC593E">
              <w:rPr>
                <w:rFonts w:ascii="Calibri" w:hAnsi="Calibri"/>
                <w:sz w:val="22"/>
                <w:szCs w:val="22"/>
              </w:rPr>
              <w:t>I think that this is a very tricky area to navigate. The safeguards that have been put in are reasonable. Copyright can be very difficult to ascertain legally from the copyright owner perspective but making it onerous for the copyright ow</w:t>
            </w:r>
            <w:r>
              <w:rPr>
                <w:rFonts w:ascii="Calibri" w:hAnsi="Calibri"/>
                <w:sz w:val="22"/>
                <w:szCs w:val="22"/>
              </w:rPr>
              <w:t>ner is justified in avoiding ab</w:t>
            </w:r>
            <w:r w:rsidRPr="00EC593E">
              <w:rPr>
                <w:rFonts w:ascii="Calibri" w:hAnsi="Calibri"/>
                <w:sz w:val="22"/>
                <w:szCs w:val="22"/>
              </w:rPr>
              <w:t>use of this system.</w:t>
            </w:r>
          </w:p>
        </w:tc>
        <w:tc>
          <w:tcPr>
            <w:tcW w:w="3060" w:type="dxa"/>
          </w:tcPr>
          <w:p w14:paraId="7626BC10"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4709B4B6" w14:textId="77CAF2B5"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Mike Fewings</w:t>
            </w:r>
          </w:p>
        </w:tc>
        <w:tc>
          <w:tcPr>
            <w:tcW w:w="2694" w:type="dxa"/>
          </w:tcPr>
          <w:p w14:paraId="5A66908B" w14:textId="77777777" w:rsidR="005F643A" w:rsidRPr="007C033C" w:rsidRDefault="005F643A" w:rsidP="00E81C5B">
            <w:pPr>
              <w:contextualSpacing/>
              <w:rPr>
                <w:rFonts w:ascii="Calibri" w:hAnsi="Calibri"/>
                <w:sz w:val="22"/>
              </w:rPr>
            </w:pPr>
          </w:p>
        </w:tc>
        <w:tc>
          <w:tcPr>
            <w:tcW w:w="2436" w:type="dxa"/>
          </w:tcPr>
          <w:p w14:paraId="2BC409F3" w14:textId="77777777" w:rsidR="005F643A" w:rsidRPr="007C033C" w:rsidRDefault="005F643A" w:rsidP="00E81C5B">
            <w:pPr>
              <w:contextualSpacing/>
              <w:rPr>
                <w:rFonts w:ascii="Calibri" w:hAnsi="Calibri"/>
                <w:b/>
                <w:sz w:val="22"/>
              </w:rPr>
            </w:pPr>
          </w:p>
        </w:tc>
      </w:tr>
      <w:tr w:rsidR="005F643A" w:rsidRPr="007C033C" w14:paraId="010F2EB7" w14:textId="77777777" w:rsidTr="00E81C5B">
        <w:tc>
          <w:tcPr>
            <w:tcW w:w="835" w:type="dxa"/>
          </w:tcPr>
          <w:p w14:paraId="2465A7F4"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6AE8F422" w14:textId="3E7FE3E5" w:rsidR="005F643A" w:rsidRPr="00EC593E" w:rsidRDefault="005F643A" w:rsidP="0062714B">
            <w:pPr>
              <w:rPr>
                <w:rFonts w:ascii="Calibri" w:hAnsi="Calibri"/>
                <w:sz w:val="22"/>
                <w:szCs w:val="22"/>
              </w:rPr>
            </w:pPr>
            <w:r>
              <w:rPr>
                <w:rFonts w:ascii="Calibri" w:hAnsi="Calibri"/>
                <w:sz w:val="22"/>
                <w:szCs w:val="22"/>
              </w:rPr>
              <w:t>No disclosure or publication.</w:t>
            </w:r>
          </w:p>
        </w:tc>
        <w:tc>
          <w:tcPr>
            <w:tcW w:w="3060" w:type="dxa"/>
          </w:tcPr>
          <w:p w14:paraId="05EABAE9"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1911282E" w14:textId="4B56919F"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Sam</w:t>
            </w:r>
          </w:p>
        </w:tc>
        <w:tc>
          <w:tcPr>
            <w:tcW w:w="2694" w:type="dxa"/>
          </w:tcPr>
          <w:p w14:paraId="423F34A4" w14:textId="77777777" w:rsidR="005F643A" w:rsidRPr="007C033C" w:rsidRDefault="005F643A" w:rsidP="00E81C5B">
            <w:pPr>
              <w:contextualSpacing/>
              <w:rPr>
                <w:rFonts w:ascii="Calibri" w:hAnsi="Calibri"/>
                <w:sz w:val="22"/>
              </w:rPr>
            </w:pPr>
          </w:p>
        </w:tc>
        <w:tc>
          <w:tcPr>
            <w:tcW w:w="2436" w:type="dxa"/>
          </w:tcPr>
          <w:p w14:paraId="0DD35FCF" w14:textId="77777777" w:rsidR="005F643A" w:rsidRPr="007C033C" w:rsidRDefault="005F643A" w:rsidP="00E81C5B">
            <w:pPr>
              <w:contextualSpacing/>
              <w:rPr>
                <w:rFonts w:ascii="Calibri" w:hAnsi="Calibri"/>
                <w:b/>
                <w:sz w:val="22"/>
              </w:rPr>
            </w:pPr>
          </w:p>
        </w:tc>
      </w:tr>
      <w:tr w:rsidR="005F643A" w:rsidRPr="007C033C" w14:paraId="7A4493AC" w14:textId="77777777" w:rsidTr="00E81C5B">
        <w:tc>
          <w:tcPr>
            <w:tcW w:w="835" w:type="dxa"/>
          </w:tcPr>
          <w:p w14:paraId="5750436D"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3D377F3E" w14:textId="33E21A82" w:rsidR="005F643A" w:rsidRDefault="005F643A" w:rsidP="0062714B">
            <w:pPr>
              <w:rPr>
                <w:rFonts w:ascii="Calibri" w:hAnsi="Calibri"/>
                <w:sz w:val="22"/>
                <w:szCs w:val="22"/>
              </w:rPr>
            </w:pPr>
            <w:r w:rsidRPr="000B301C">
              <w:rPr>
                <w:rFonts w:ascii="Calibri" w:hAnsi="Calibri"/>
                <w:sz w:val="22"/>
                <w:szCs w:val="22"/>
              </w:rPr>
              <w:t>Anything that compromises privacy should be avoided.</w:t>
            </w:r>
          </w:p>
        </w:tc>
        <w:tc>
          <w:tcPr>
            <w:tcW w:w="3060" w:type="dxa"/>
          </w:tcPr>
          <w:p w14:paraId="151954C7"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07D61550" w14:textId="041FABCC"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Dan M</w:t>
            </w:r>
          </w:p>
        </w:tc>
        <w:tc>
          <w:tcPr>
            <w:tcW w:w="2694" w:type="dxa"/>
          </w:tcPr>
          <w:p w14:paraId="3AFC4853" w14:textId="77777777" w:rsidR="005F643A" w:rsidRPr="007C033C" w:rsidRDefault="005F643A" w:rsidP="00E81C5B">
            <w:pPr>
              <w:contextualSpacing/>
              <w:rPr>
                <w:rFonts w:ascii="Calibri" w:hAnsi="Calibri"/>
                <w:sz w:val="22"/>
              </w:rPr>
            </w:pPr>
          </w:p>
        </w:tc>
        <w:tc>
          <w:tcPr>
            <w:tcW w:w="2436" w:type="dxa"/>
          </w:tcPr>
          <w:p w14:paraId="7B6F5CB5" w14:textId="77777777" w:rsidR="005F643A" w:rsidRPr="007C033C" w:rsidRDefault="005F643A" w:rsidP="00E81C5B">
            <w:pPr>
              <w:contextualSpacing/>
              <w:rPr>
                <w:rFonts w:ascii="Calibri" w:hAnsi="Calibri"/>
                <w:b/>
                <w:sz w:val="22"/>
              </w:rPr>
            </w:pPr>
          </w:p>
        </w:tc>
      </w:tr>
      <w:tr w:rsidR="005F643A" w:rsidRPr="007C033C" w14:paraId="152B4E32" w14:textId="77777777" w:rsidTr="00E81C5B">
        <w:tc>
          <w:tcPr>
            <w:tcW w:w="835" w:type="dxa"/>
          </w:tcPr>
          <w:p w14:paraId="74764AAE"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791BDFE8" w14:textId="39638AA3" w:rsidR="005F643A" w:rsidRPr="000B301C" w:rsidRDefault="005F643A" w:rsidP="0062714B">
            <w:pPr>
              <w:rPr>
                <w:rFonts w:ascii="Calibri" w:hAnsi="Calibri"/>
                <w:sz w:val="22"/>
                <w:szCs w:val="22"/>
              </w:rPr>
            </w:pPr>
            <w:r w:rsidRPr="00FA614C">
              <w:rPr>
                <w:rFonts w:ascii="Calibri" w:hAnsi="Calibri"/>
                <w:sz w:val="22"/>
                <w:szCs w:val="22"/>
              </w:rPr>
              <w:t>IP rights-holders should have no interaction with the domain system, including P/P. The only way that this interaction must happen is through the justice system, not directly.</w:t>
            </w:r>
          </w:p>
        </w:tc>
        <w:tc>
          <w:tcPr>
            <w:tcW w:w="3060" w:type="dxa"/>
          </w:tcPr>
          <w:p w14:paraId="3D69BA4C"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1C1CC88F" w14:textId="3ACA6B14"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Adrian Valeriu Ispas</w:t>
            </w:r>
          </w:p>
        </w:tc>
        <w:tc>
          <w:tcPr>
            <w:tcW w:w="2694" w:type="dxa"/>
          </w:tcPr>
          <w:p w14:paraId="1746CC5A" w14:textId="77777777" w:rsidR="005F643A" w:rsidRPr="007C033C" w:rsidRDefault="005F643A" w:rsidP="00E81C5B">
            <w:pPr>
              <w:contextualSpacing/>
              <w:rPr>
                <w:rFonts w:ascii="Calibri" w:hAnsi="Calibri"/>
                <w:sz w:val="22"/>
              </w:rPr>
            </w:pPr>
          </w:p>
        </w:tc>
        <w:tc>
          <w:tcPr>
            <w:tcW w:w="2436" w:type="dxa"/>
          </w:tcPr>
          <w:p w14:paraId="121A473B" w14:textId="77777777" w:rsidR="005F643A" w:rsidRPr="007C033C" w:rsidRDefault="005F643A" w:rsidP="00E81C5B">
            <w:pPr>
              <w:contextualSpacing/>
              <w:rPr>
                <w:rFonts w:ascii="Calibri" w:hAnsi="Calibri"/>
                <w:b/>
                <w:sz w:val="22"/>
              </w:rPr>
            </w:pPr>
          </w:p>
        </w:tc>
      </w:tr>
      <w:tr w:rsidR="005F643A" w:rsidRPr="007C033C" w14:paraId="4A1BA7AB" w14:textId="77777777" w:rsidTr="00E81C5B">
        <w:tc>
          <w:tcPr>
            <w:tcW w:w="835" w:type="dxa"/>
          </w:tcPr>
          <w:p w14:paraId="472188BA"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6C87290D" w14:textId="68C329E1" w:rsidR="005F643A" w:rsidRPr="00FA614C" w:rsidRDefault="005F643A" w:rsidP="0062714B">
            <w:pPr>
              <w:rPr>
                <w:rFonts w:ascii="Calibri" w:hAnsi="Calibri"/>
                <w:sz w:val="22"/>
                <w:szCs w:val="22"/>
              </w:rPr>
            </w:pPr>
            <w:r w:rsidRPr="00D56262">
              <w:rPr>
                <w:rFonts w:ascii="Calibri" w:hAnsi="Calibri"/>
                <w:sz w:val="22"/>
                <w:szCs w:val="22"/>
              </w:rPr>
              <w:t>A steaming pile of cow excrement.</w:t>
            </w:r>
          </w:p>
        </w:tc>
        <w:tc>
          <w:tcPr>
            <w:tcW w:w="3060" w:type="dxa"/>
          </w:tcPr>
          <w:p w14:paraId="183EBDA1"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39FD7E2A" w14:textId="222A880A"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Mason</w:t>
            </w:r>
          </w:p>
        </w:tc>
        <w:tc>
          <w:tcPr>
            <w:tcW w:w="2694" w:type="dxa"/>
          </w:tcPr>
          <w:p w14:paraId="4CDDDF55" w14:textId="77777777" w:rsidR="005F643A" w:rsidRPr="007C033C" w:rsidRDefault="005F643A" w:rsidP="00E81C5B">
            <w:pPr>
              <w:contextualSpacing/>
              <w:rPr>
                <w:rFonts w:ascii="Calibri" w:hAnsi="Calibri"/>
                <w:sz w:val="22"/>
              </w:rPr>
            </w:pPr>
          </w:p>
        </w:tc>
        <w:tc>
          <w:tcPr>
            <w:tcW w:w="2436" w:type="dxa"/>
          </w:tcPr>
          <w:p w14:paraId="76CDA40E" w14:textId="77777777" w:rsidR="005F643A" w:rsidRPr="007C033C" w:rsidRDefault="005F643A" w:rsidP="00E81C5B">
            <w:pPr>
              <w:contextualSpacing/>
              <w:rPr>
                <w:rFonts w:ascii="Calibri" w:hAnsi="Calibri"/>
                <w:b/>
                <w:sz w:val="22"/>
              </w:rPr>
            </w:pPr>
          </w:p>
        </w:tc>
      </w:tr>
      <w:tr w:rsidR="005F643A" w:rsidRPr="007C033C" w14:paraId="58E66C9D" w14:textId="77777777" w:rsidTr="00E81C5B">
        <w:tc>
          <w:tcPr>
            <w:tcW w:w="835" w:type="dxa"/>
          </w:tcPr>
          <w:p w14:paraId="7A17913D"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752BDD20" w14:textId="54B19F4E" w:rsidR="005F643A" w:rsidRPr="00FA614C" w:rsidRDefault="005F643A" w:rsidP="0062714B">
            <w:pPr>
              <w:rPr>
                <w:rFonts w:ascii="Calibri" w:hAnsi="Calibri"/>
                <w:sz w:val="22"/>
                <w:szCs w:val="22"/>
              </w:rPr>
            </w:pPr>
            <w:r>
              <w:rPr>
                <w:rFonts w:ascii="Calibri" w:hAnsi="Calibri"/>
                <w:sz w:val="22"/>
                <w:szCs w:val="22"/>
              </w:rPr>
              <w:t>Not sure</w:t>
            </w:r>
          </w:p>
        </w:tc>
        <w:tc>
          <w:tcPr>
            <w:tcW w:w="3060" w:type="dxa"/>
          </w:tcPr>
          <w:p w14:paraId="2ECEFA27"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555F88CD" w14:textId="3D394B9A"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Kevin Szprychel</w:t>
            </w:r>
          </w:p>
        </w:tc>
        <w:tc>
          <w:tcPr>
            <w:tcW w:w="2694" w:type="dxa"/>
          </w:tcPr>
          <w:p w14:paraId="4D100A1F" w14:textId="77777777" w:rsidR="005F643A" w:rsidRPr="007C033C" w:rsidRDefault="005F643A" w:rsidP="00E81C5B">
            <w:pPr>
              <w:contextualSpacing/>
              <w:rPr>
                <w:rFonts w:ascii="Calibri" w:hAnsi="Calibri"/>
                <w:sz w:val="22"/>
              </w:rPr>
            </w:pPr>
          </w:p>
        </w:tc>
        <w:tc>
          <w:tcPr>
            <w:tcW w:w="2436" w:type="dxa"/>
          </w:tcPr>
          <w:p w14:paraId="7B612571" w14:textId="77777777" w:rsidR="005F643A" w:rsidRPr="007C033C" w:rsidRDefault="005F643A" w:rsidP="00E81C5B">
            <w:pPr>
              <w:contextualSpacing/>
              <w:rPr>
                <w:rFonts w:ascii="Calibri" w:hAnsi="Calibri"/>
                <w:b/>
                <w:sz w:val="22"/>
              </w:rPr>
            </w:pPr>
          </w:p>
        </w:tc>
      </w:tr>
      <w:tr w:rsidR="005F643A" w:rsidRPr="007C033C" w14:paraId="1CD2FB07" w14:textId="77777777" w:rsidTr="00E81C5B">
        <w:tc>
          <w:tcPr>
            <w:tcW w:w="835" w:type="dxa"/>
          </w:tcPr>
          <w:p w14:paraId="272775FF"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2FE68BB5" w14:textId="5A162BBC" w:rsidR="005F643A" w:rsidRPr="00FA614C" w:rsidRDefault="005F643A" w:rsidP="0062714B">
            <w:pPr>
              <w:rPr>
                <w:rFonts w:ascii="Calibri" w:hAnsi="Calibri"/>
                <w:sz w:val="22"/>
                <w:szCs w:val="22"/>
              </w:rPr>
            </w:pPr>
            <w:r w:rsidRPr="006F1FD0">
              <w:rPr>
                <w:rFonts w:ascii="Calibri" w:hAnsi="Calibri"/>
                <w:sz w:val="22"/>
                <w:szCs w:val="22"/>
              </w:rPr>
              <w:t>As long as it costs some money to the one who wants to know the details.</w:t>
            </w:r>
          </w:p>
        </w:tc>
        <w:tc>
          <w:tcPr>
            <w:tcW w:w="3060" w:type="dxa"/>
          </w:tcPr>
          <w:p w14:paraId="3A8A70F3"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6C1BFE14" w14:textId="1F98AE81"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Name withheld</w:t>
            </w:r>
          </w:p>
        </w:tc>
        <w:tc>
          <w:tcPr>
            <w:tcW w:w="2694" w:type="dxa"/>
          </w:tcPr>
          <w:p w14:paraId="08EF4360" w14:textId="77777777" w:rsidR="005F643A" w:rsidRPr="007C033C" w:rsidRDefault="005F643A" w:rsidP="00E81C5B">
            <w:pPr>
              <w:contextualSpacing/>
              <w:rPr>
                <w:rFonts w:ascii="Calibri" w:hAnsi="Calibri"/>
                <w:sz w:val="22"/>
              </w:rPr>
            </w:pPr>
          </w:p>
        </w:tc>
        <w:tc>
          <w:tcPr>
            <w:tcW w:w="2436" w:type="dxa"/>
          </w:tcPr>
          <w:p w14:paraId="5DF861F6" w14:textId="77777777" w:rsidR="005F643A" w:rsidRPr="007C033C" w:rsidRDefault="005F643A" w:rsidP="00E81C5B">
            <w:pPr>
              <w:contextualSpacing/>
              <w:rPr>
                <w:rFonts w:ascii="Calibri" w:hAnsi="Calibri"/>
                <w:b/>
                <w:sz w:val="22"/>
              </w:rPr>
            </w:pPr>
          </w:p>
        </w:tc>
      </w:tr>
      <w:tr w:rsidR="005F643A" w:rsidRPr="007C033C" w14:paraId="428BBBED" w14:textId="77777777" w:rsidTr="00E81C5B">
        <w:tc>
          <w:tcPr>
            <w:tcW w:w="835" w:type="dxa"/>
          </w:tcPr>
          <w:p w14:paraId="5F92F5AA"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23E75C2B" w14:textId="05B554F5" w:rsidR="005F643A" w:rsidRPr="006F1FD0" w:rsidRDefault="005F643A" w:rsidP="0062714B">
            <w:pPr>
              <w:rPr>
                <w:rFonts w:ascii="Calibri" w:hAnsi="Calibri"/>
                <w:sz w:val="22"/>
                <w:szCs w:val="22"/>
              </w:rPr>
            </w:pPr>
            <w:r>
              <w:rPr>
                <w:rFonts w:ascii="Calibri" w:hAnsi="Calibri"/>
                <w:sz w:val="22"/>
                <w:szCs w:val="22"/>
              </w:rPr>
              <w:t>Can</w:t>
            </w:r>
            <w:r w:rsidRPr="00F030B4">
              <w:rPr>
                <w:rFonts w:ascii="Calibri" w:hAnsi="Calibri"/>
                <w:sz w:val="22"/>
                <w:szCs w:val="22"/>
              </w:rPr>
              <w:t>not agree if the terms have yet to be defined</w:t>
            </w:r>
            <w:r>
              <w:rPr>
                <w:rFonts w:ascii="Calibri" w:hAnsi="Calibri"/>
                <w:sz w:val="22"/>
                <w:szCs w:val="22"/>
              </w:rPr>
              <w:t>.</w:t>
            </w:r>
          </w:p>
        </w:tc>
        <w:tc>
          <w:tcPr>
            <w:tcW w:w="3060" w:type="dxa"/>
          </w:tcPr>
          <w:p w14:paraId="7DC79630"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6CD9B4F5" w14:textId="1888F706"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Christopher</w:t>
            </w:r>
          </w:p>
        </w:tc>
        <w:tc>
          <w:tcPr>
            <w:tcW w:w="2694" w:type="dxa"/>
          </w:tcPr>
          <w:p w14:paraId="77000F37" w14:textId="77777777" w:rsidR="005F643A" w:rsidRPr="007C033C" w:rsidRDefault="005F643A" w:rsidP="00E81C5B">
            <w:pPr>
              <w:contextualSpacing/>
              <w:rPr>
                <w:rFonts w:ascii="Calibri" w:hAnsi="Calibri"/>
                <w:sz w:val="22"/>
              </w:rPr>
            </w:pPr>
          </w:p>
        </w:tc>
        <w:tc>
          <w:tcPr>
            <w:tcW w:w="2436" w:type="dxa"/>
          </w:tcPr>
          <w:p w14:paraId="5854A6B1" w14:textId="77777777" w:rsidR="005F643A" w:rsidRPr="007C033C" w:rsidRDefault="005F643A" w:rsidP="00E81C5B">
            <w:pPr>
              <w:contextualSpacing/>
              <w:rPr>
                <w:rFonts w:ascii="Calibri" w:hAnsi="Calibri"/>
                <w:b/>
                <w:sz w:val="22"/>
              </w:rPr>
            </w:pPr>
          </w:p>
        </w:tc>
      </w:tr>
      <w:tr w:rsidR="005F643A" w:rsidRPr="007C033C" w14:paraId="18C5D438" w14:textId="77777777" w:rsidTr="00E81C5B">
        <w:tc>
          <w:tcPr>
            <w:tcW w:w="835" w:type="dxa"/>
          </w:tcPr>
          <w:p w14:paraId="7C3EB3BA"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0C81DCBC" w14:textId="786B1FDD" w:rsidR="005F643A" w:rsidRDefault="005F643A" w:rsidP="0062714B">
            <w:pPr>
              <w:rPr>
                <w:rFonts w:ascii="Calibri" w:hAnsi="Calibri"/>
                <w:sz w:val="22"/>
                <w:szCs w:val="22"/>
              </w:rPr>
            </w:pPr>
            <w:r>
              <w:rPr>
                <w:rFonts w:ascii="Calibri" w:hAnsi="Calibri"/>
                <w:sz w:val="22"/>
                <w:szCs w:val="22"/>
              </w:rPr>
              <w:t>Disagree</w:t>
            </w:r>
          </w:p>
        </w:tc>
        <w:tc>
          <w:tcPr>
            <w:tcW w:w="3060" w:type="dxa"/>
          </w:tcPr>
          <w:p w14:paraId="6CFDDD01"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62145EDB" w14:textId="40B251FA"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James Ford</w:t>
            </w:r>
          </w:p>
        </w:tc>
        <w:tc>
          <w:tcPr>
            <w:tcW w:w="2694" w:type="dxa"/>
          </w:tcPr>
          <w:p w14:paraId="4287DC30" w14:textId="77777777" w:rsidR="005F643A" w:rsidRPr="007C033C" w:rsidRDefault="005F643A" w:rsidP="00E81C5B">
            <w:pPr>
              <w:contextualSpacing/>
              <w:rPr>
                <w:rFonts w:ascii="Calibri" w:hAnsi="Calibri"/>
                <w:sz w:val="22"/>
              </w:rPr>
            </w:pPr>
          </w:p>
        </w:tc>
        <w:tc>
          <w:tcPr>
            <w:tcW w:w="2436" w:type="dxa"/>
          </w:tcPr>
          <w:p w14:paraId="7116F51A" w14:textId="77777777" w:rsidR="005F643A" w:rsidRPr="007C033C" w:rsidRDefault="005F643A" w:rsidP="00E81C5B">
            <w:pPr>
              <w:contextualSpacing/>
              <w:rPr>
                <w:rFonts w:ascii="Calibri" w:hAnsi="Calibri"/>
                <w:b/>
                <w:sz w:val="22"/>
              </w:rPr>
            </w:pPr>
          </w:p>
        </w:tc>
      </w:tr>
      <w:tr w:rsidR="005F643A" w:rsidRPr="007C033C" w14:paraId="5EE4147E" w14:textId="77777777" w:rsidTr="00E81C5B">
        <w:tc>
          <w:tcPr>
            <w:tcW w:w="835" w:type="dxa"/>
          </w:tcPr>
          <w:p w14:paraId="483411C3"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109A31BF" w14:textId="6EF30382" w:rsidR="005F643A" w:rsidRDefault="005F643A" w:rsidP="0062714B">
            <w:pPr>
              <w:rPr>
                <w:rFonts w:ascii="Calibri" w:hAnsi="Calibri"/>
                <w:sz w:val="22"/>
                <w:szCs w:val="22"/>
              </w:rPr>
            </w:pPr>
            <w:r w:rsidRPr="00740511">
              <w:rPr>
                <w:rFonts w:ascii="Calibri" w:hAnsi="Calibri"/>
                <w:sz w:val="22"/>
                <w:szCs w:val="22"/>
              </w:rPr>
              <w:t>It's impossible for a domain name itself to infringe IP rights since even copyrighted or trademarked words and phrases may legitimately be used for criticism, complaint, parody, and other legitimate purposes. If someone hates Ford cars, they should be able to use fordcarsblow.com. If someone things Star Wars is dumb, they should be able to use theforceisafarce.com. If someone hates GW Bush, they should be able to use gwbush.com if it was unregistered when they registered it. Therefore there should not be any process to disclose registrants or suspend domains at the behest of IP rights holders - any IP issue would be an issue of CONTENT, not the domain name itself, and should be taken up with site's host or owner, not with ICANN or the person or entity who registered the domain name. ICANN should not be concerned with content and not participate in issues having to do with content rather than domain names themselves.</w:t>
            </w:r>
          </w:p>
        </w:tc>
        <w:tc>
          <w:tcPr>
            <w:tcW w:w="3060" w:type="dxa"/>
          </w:tcPr>
          <w:p w14:paraId="06731FF1"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099D12D5" w14:textId="7BDA74FB"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Not your business</w:t>
            </w:r>
          </w:p>
        </w:tc>
        <w:tc>
          <w:tcPr>
            <w:tcW w:w="2694" w:type="dxa"/>
          </w:tcPr>
          <w:p w14:paraId="69E82448" w14:textId="77777777" w:rsidR="005F643A" w:rsidRPr="007C033C" w:rsidRDefault="005F643A" w:rsidP="00E81C5B">
            <w:pPr>
              <w:contextualSpacing/>
              <w:rPr>
                <w:rFonts w:ascii="Calibri" w:hAnsi="Calibri"/>
                <w:sz w:val="22"/>
              </w:rPr>
            </w:pPr>
          </w:p>
        </w:tc>
        <w:tc>
          <w:tcPr>
            <w:tcW w:w="2436" w:type="dxa"/>
          </w:tcPr>
          <w:p w14:paraId="09C4D31F" w14:textId="77777777" w:rsidR="005F643A" w:rsidRPr="007C033C" w:rsidRDefault="005F643A" w:rsidP="00E81C5B">
            <w:pPr>
              <w:contextualSpacing/>
              <w:rPr>
                <w:rFonts w:ascii="Calibri" w:hAnsi="Calibri"/>
                <w:b/>
                <w:sz w:val="22"/>
              </w:rPr>
            </w:pPr>
          </w:p>
        </w:tc>
      </w:tr>
      <w:tr w:rsidR="005F643A" w:rsidRPr="007C033C" w14:paraId="229F6387" w14:textId="77777777" w:rsidTr="00E81C5B">
        <w:tc>
          <w:tcPr>
            <w:tcW w:w="835" w:type="dxa"/>
          </w:tcPr>
          <w:p w14:paraId="4E8D6EDD"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22E2FF0F" w14:textId="5A9FFA3A" w:rsidR="005F643A" w:rsidRPr="00740511" w:rsidRDefault="005F643A" w:rsidP="0062714B">
            <w:pPr>
              <w:rPr>
                <w:rFonts w:ascii="Calibri" w:hAnsi="Calibri"/>
                <w:sz w:val="22"/>
                <w:szCs w:val="22"/>
              </w:rPr>
            </w:pPr>
            <w:r w:rsidRPr="00670DB8">
              <w:rPr>
                <w:rFonts w:ascii="Calibri" w:hAnsi="Calibri"/>
                <w:sz w:val="22"/>
                <w:szCs w:val="22"/>
              </w:rPr>
              <w:t>"Rights holders" should be required to use legal processes (i.e. file a lawsuit, seek a court order) if they believe their rights are being violated. There should not be any additional rules beyond what the law already provides.</w:t>
            </w:r>
          </w:p>
        </w:tc>
        <w:tc>
          <w:tcPr>
            <w:tcW w:w="3060" w:type="dxa"/>
          </w:tcPr>
          <w:p w14:paraId="795FB611"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67D89F49" w14:textId="464F61C8"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Simon Kissane</w:t>
            </w:r>
          </w:p>
        </w:tc>
        <w:tc>
          <w:tcPr>
            <w:tcW w:w="2694" w:type="dxa"/>
          </w:tcPr>
          <w:p w14:paraId="7C63B01F" w14:textId="77777777" w:rsidR="005F643A" w:rsidRPr="007C033C" w:rsidRDefault="005F643A" w:rsidP="00E81C5B">
            <w:pPr>
              <w:contextualSpacing/>
              <w:rPr>
                <w:rFonts w:ascii="Calibri" w:hAnsi="Calibri"/>
                <w:sz w:val="22"/>
              </w:rPr>
            </w:pPr>
          </w:p>
        </w:tc>
        <w:tc>
          <w:tcPr>
            <w:tcW w:w="2436" w:type="dxa"/>
          </w:tcPr>
          <w:p w14:paraId="17689817" w14:textId="77777777" w:rsidR="005F643A" w:rsidRPr="007C033C" w:rsidRDefault="005F643A" w:rsidP="00E81C5B">
            <w:pPr>
              <w:contextualSpacing/>
              <w:rPr>
                <w:rFonts w:ascii="Calibri" w:hAnsi="Calibri"/>
                <w:b/>
                <w:sz w:val="22"/>
              </w:rPr>
            </w:pPr>
          </w:p>
        </w:tc>
      </w:tr>
      <w:tr w:rsidR="005F643A" w:rsidRPr="007C033C" w14:paraId="17C32509" w14:textId="77777777" w:rsidTr="00E81C5B">
        <w:tc>
          <w:tcPr>
            <w:tcW w:w="835" w:type="dxa"/>
          </w:tcPr>
          <w:p w14:paraId="2F1EF109"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5111B804" w14:textId="6E66FFE8" w:rsidR="005F643A" w:rsidRPr="00740511" w:rsidRDefault="005F643A" w:rsidP="0062714B">
            <w:pPr>
              <w:rPr>
                <w:rFonts w:ascii="Calibri" w:hAnsi="Calibri"/>
                <w:sz w:val="22"/>
                <w:szCs w:val="22"/>
              </w:rPr>
            </w:pPr>
            <w:r w:rsidRPr="00F1694F">
              <w:rPr>
                <w:rFonts w:ascii="Calibri" w:hAnsi="Calibri"/>
                <w:sz w:val="22"/>
              </w:rPr>
              <w:t>Due process per the law of the domain owner's country should be required before revealing information</w:t>
            </w:r>
          </w:p>
        </w:tc>
        <w:tc>
          <w:tcPr>
            <w:tcW w:w="3060" w:type="dxa"/>
          </w:tcPr>
          <w:p w14:paraId="2FCD51D0"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72C862AA" w14:textId="007467B6"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TS</w:t>
            </w:r>
          </w:p>
        </w:tc>
        <w:tc>
          <w:tcPr>
            <w:tcW w:w="2694" w:type="dxa"/>
          </w:tcPr>
          <w:p w14:paraId="0C7E0640" w14:textId="77777777" w:rsidR="005F643A" w:rsidRPr="007C033C" w:rsidRDefault="005F643A" w:rsidP="00E81C5B">
            <w:pPr>
              <w:contextualSpacing/>
              <w:rPr>
                <w:rFonts w:ascii="Calibri" w:hAnsi="Calibri"/>
                <w:sz w:val="22"/>
              </w:rPr>
            </w:pPr>
          </w:p>
        </w:tc>
        <w:tc>
          <w:tcPr>
            <w:tcW w:w="2436" w:type="dxa"/>
          </w:tcPr>
          <w:p w14:paraId="59C28DB4" w14:textId="77777777" w:rsidR="005F643A" w:rsidRPr="007C033C" w:rsidRDefault="005F643A" w:rsidP="00E81C5B">
            <w:pPr>
              <w:contextualSpacing/>
              <w:rPr>
                <w:rFonts w:ascii="Calibri" w:hAnsi="Calibri"/>
                <w:b/>
                <w:sz w:val="22"/>
              </w:rPr>
            </w:pPr>
          </w:p>
        </w:tc>
      </w:tr>
      <w:tr w:rsidR="005F643A" w:rsidRPr="007C033C" w14:paraId="46B4DD96" w14:textId="77777777" w:rsidTr="00E81C5B">
        <w:tc>
          <w:tcPr>
            <w:tcW w:w="835" w:type="dxa"/>
          </w:tcPr>
          <w:p w14:paraId="1B7AF8CC"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57A76839" w14:textId="0CBB717C" w:rsidR="005F643A" w:rsidRPr="00740511" w:rsidRDefault="005F643A" w:rsidP="0062714B">
            <w:pPr>
              <w:rPr>
                <w:rFonts w:ascii="Calibri" w:hAnsi="Calibri"/>
                <w:sz w:val="22"/>
                <w:szCs w:val="22"/>
              </w:rPr>
            </w:pPr>
            <w:r>
              <w:rPr>
                <w:rFonts w:ascii="Calibri" w:hAnsi="Calibri"/>
                <w:sz w:val="22"/>
                <w:szCs w:val="22"/>
              </w:rPr>
              <w:t>Bullshit</w:t>
            </w:r>
          </w:p>
        </w:tc>
        <w:tc>
          <w:tcPr>
            <w:tcW w:w="3060" w:type="dxa"/>
          </w:tcPr>
          <w:p w14:paraId="4C5642CD"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244D8220" w14:textId="0DFD56A7"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Shantanu Gupta</w:t>
            </w:r>
          </w:p>
        </w:tc>
        <w:tc>
          <w:tcPr>
            <w:tcW w:w="2694" w:type="dxa"/>
          </w:tcPr>
          <w:p w14:paraId="4C85BC52" w14:textId="77777777" w:rsidR="005F643A" w:rsidRPr="007C033C" w:rsidRDefault="005F643A" w:rsidP="00E81C5B">
            <w:pPr>
              <w:contextualSpacing/>
              <w:rPr>
                <w:rFonts w:ascii="Calibri" w:hAnsi="Calibri"/>
                <w:sz w:val="22"/>
              </w:rPr>
            </w:pPr>
          </w:p>
        </w:tc>
        <w:tc>
          <w:tcPr>
            <w:tcW w:w="2436" w:type="dxa"/>
          </w:tcPr>
          <w:p w14:paraId="4196868E" w14:textId="77777777" w:rsidR="005F643A" w:rsidRPr="007C033C" w:rsidRDefault="005F643A" w:rsidP="00E81C5B">
            <w:pPr>
              <w:contextualSpacing/>
              <w:rPr>
                <w:rFonts w:ascii="Calibri" w:hAnsi="Calibri"/>
                <w:b/>
                <w:sz w:val="22"/>
              </w:rPr>
            </w:pPr>
          </w:p>
        </w:tc>
      </w:tr>
      <w:tr w:rsidR="005F643A" w:rsidRPr="007C033C" w14:paraId="4DDED7DC" w14:textId="77777777" w:rsidTr="00E81C5B">
        <w:tc>
          <w:tcPr>
            <w:tcW w:w="835" w:type="dxa"/>
          </w:tcPr>
          <w:p w14:paraId="15A87946"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7B4139FC" w14:textId="790BE7D0" w:rsidR="005F643A" w:rsidRDefault="005F643A" w:rsidP="0062714B">
            <w:pPr>
              <w:rPr>
                <w:rFonts w:ascii="Calibri" w:hAnsi="Calibri"/>
                <w:sz w:val="22"/>
                <w:szCs w:val="22"/>
              </w:rPr>
            </w:pPr>
            <w:r w:rsidRPr="00757289">
              <w:rPr>
                <w:rFonts w:ascii="Calibri" w:hAnsi="Calibri"/>
                <w:sz w:val="22"/>
                <w:szCs w:val="22"/>
              </w:rPr>
              <w:t>They are too invasive and make you look like you are beholden to the police state</w:t>
            </w:r>
            <w:r>
              <w:rPr>
                <w:rFonts w:ascii="Calibri" w:hAnsi="Calibri"/>
                <w:sz w:val="22"/>
                <w:szCs w:val="22"/>
              </w:rPr>
              <w:t>.</w:t>
            </w:r>
          </w:p>
        </w:tc>
        <w:tc>
          <w:tcPr>
            <w:tcW w:w="3060" w:type="dxa"/>
          </w:tcPr>
          <w:p w14:paraId="105A644C"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76C672E0" w14:textId="58C90F0C"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Christopher Smith</w:t>
            </w:r>
          </w:p>
        </w:tc>
        <w:tc>
          <w:tcPr>
            <w:tcW w:w="2694" w:type="dxa"/>
          </w:tcPr>
          <w:p w14:paraId="3631EF37" w14:textId="77777777" w:rsidR="005F643A" w:rsidRPr="007C033C" w:rsidRDefault="005F643A" w:rsidP="00E81C5B">
            <w:pPr>
              <w:contextualSpacing/>
              <w:rPr>
                <w:rFonts w:ascii="Calibri" w:hAnsi="Calibri"/>
                <w:sz w:val="22"/>
              </w:rPr>
            </w:pPr>
          </w:p>
        </w:tc>
        <w:tc>
          <w:tcPr>
            <w:tcW w:w="2436" w:type="dxa"/>
          </w:tcPr>
          <w:p w14:paraId="34B2E3ED" w14:textId="77777777" w:rsidR="005F643A" w:rsidRPr="007C033C" w:rsidRDefault="005F643A" w:rsidP="00E81C5B">
            <w:pPr>
              <w:contextualSpacing/>
              <w:rPr>
                <w:rFonts w:ascii="Calibri" w:hAnsi="Calibri"/>
                <w:b/>
                <w:sz w:val="22"/>
              </w:rPr>
            </w:pPr>
          </w:p>
        </w:tc>
      </w:tr>
      <w:tr w:rsidR="005F643A" w:rsidRPr="007C033C" w14:paraId="0310544D" w14:textId="77777777" w:rsidTr="00E81C5B">
        <w:tc>
          <w:tcPr>
            <w:tcW w:w="835" w:type="dxa"/>
          </w:tcPr>
          <w:p w14:paraId="4673449B"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4F1BD7E2" w14:textId="247ECEA3" w:rsidR="005F643A" w:rsidRPr="00757289" w:rsidRDefault="005F643A" w:rsidP="0062714B">
            <w:pPr>
              <w:rPr>
                <w:rFonts w:ascii="Calibri" w:hAnsi="Calibri"/>
                <w:sz w:val="22"/>
                <w:szCs w:val="22"/>
              </w:rPr>
            </w:pPr>
            <w:r w:rsidRPr="00806BB9">
              <w:rPr>
                <w:rFonts w:ascii="Calibri" w:hAnsi="Calibri"/>
                <w:sz w:val="22"/>
                <w:szCs w:val="22"/>
              </w:rPr>
              <w:t>The recommendation imposes too much burden on the service provider to determine if the request is with or without merits. Such determination should not be the role of the service provider, and should be left to the judicial process.</w:t>
            </w:r>
          </w:p>
        </w:tc>
        <w:tc>
          <w:tcPr>
            <w:tcW w:w="3060" w:type="dxa"/>
          </w:tcPr>
          <w:p w14:paraId="7A35D051"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7D859DBF" w14:textId="2FCA13B1"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Cort Wee</w:t>
            </w:r>
          </w:p>
        </w:tc>
        <w:tc>
          <w:tcPr>
            <w:tcW w:w="2694" w:type="dxa"/>
          </w:tcPr>
          <w:p w14:paraId="0A019F00" w14:textId="77777777" w:rsidR="005F643A" w:rsidRPr="007C033C" w:rsidRDefault="005F643A" w:rsidP="00E81C5B">
            <w:pPr>
              <w:contextualSpacing/>
              <w:rPr>
                <w:rFonts w:ascii="Calibri" w:hAnsi="Calibri"/>
                <w:sz w:val="22"/>
              </w:rPr>
            </w:pPr>
          </w:p>
        </w:tc>
        <w:tc>
          <w:tcPr>
            <w:tcW w:w="2436" w:type="dxa"/>
          </w:tcPr>
          <w:p w14:paraId="7B3D8B27" w14:textId="77777777" w:rsidR="005F643A" w:rsidRPr="007C033C" w:rsidRDefault="005F643A" w:rsidP="00E81C5B">
            <w:pPr>
              <w:contextualSpacing/>
              <w:rPr>
                <w:rFonts w:ascii="Calibri" w:hAnsi="Calibri"/>
                <w:b/>
                <w:sz w:val="22"/>
              </w:rPr>
            </w:pPr>
          </w:p>
        </w:tc>
      </w:tr>
      <w:tr w:rsidR="005F643A" w:rsidRPr="007C033C" w14:paraId="1455633C" w14:textId="77777777" w:rsidTr="00E81C5B">
        <w:tc>
          <w:tcPr>
            <w:tcW w:w="835" w:type="dxa"/>
          </w:tcPr>
          <w:p w14:paraId="6357B8F4"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375F47CD" w14:textId="2ACCC13A" w:rsidR="005F643A" w:rsidRPr="00806BB9" w:rsidRDefault="005F643A" w:rsidP="0062714B">
            <w:pPr>
              <w:rPr>
                <w:rFonts w:ascii="Calibri" w:hAnsi="Calibri"/>
                <w:sz w:val="22"/>
                <w:szCs w:val="22"/>
              </w:rPr>
            </w:pPr>
            <w:r>
              <w:rPr>
                <w:rFonts w:ascii="Calibri" w:hAnsi="Calibri"/>
                <w:sz w:val="22"/>
                <w:szCs w:val="22"/>
              </w:rPr>
              <w:t>A valid court order should be required for disclosure.</w:t>
            </w:r>
          </w:p>
        </w:tc>
        <w:tc>
          <w:tcPr>
            <w:tcW w:w="3060" w:type="dxa"/>
          </w:tcPr>
          <w:p w14:paraId="5D52512C"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3A00ECB0" w14:textId="0C1D8C0A"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Alex Xu</w:t>
            </w:r>
          </w:p>
        </w:tc>
        <w:tc>
          <w:tcPr>
            <w:tcW w:w="2694" w:type="dxa"/>
          </w:tcPr>
          <w:p w14:paraId="5084DE66" w14:textId="77777777" w:rsidR="005F643A" w:rsidRPr="007C033C" w:rsidRDefault="005F643A" w:rsidP="00E81C5B">
            <w:pPr>
              <w:contextualSpacing/>
              <w:rPr>
                <w:rFonts w:ascii="Calibri" w:hAnsi="Calibri"/>
                <w:sz w:val="22"/>
              </w:rPr>
            </w:pPr>
          </w:p>
        </w:tc>
        <w:tc>
          <w:tcPr>
            <w:tcW w:w="2436" w:type="dxa"/>
          </w:tcPr>
          <w:p w14:paraId="1454CD51" w14:textId="77777777" w:rsidR="005F643A" w:rsidRPr="007C033C" w:rsidRDefault="005F643A" w:rsidP="00E81C5B">
            <w:pPr>
              <w:contextualSpacing/>
              <w:rPr>
                <w:rFonts w:ascii="Calibri" w:hAnsi="Calibri"/>
                <w:b/>
                <w:sz w:val="22"/>
              </w:rPr>
            </w:pPr>
          </w:p>
        </w:tc>
      </w:tr>
      <w:tr w:rsidR="005F643A" w:rsidRPr="007C033C" w14:paraId="0AD66EB1" w14:textId="77777777" w:rsidTr="00E81C5B">
        <w:tc>
          <w:tcPr>
            <w:tcW w:w="835" w:type="dxa"/>
          </w:tcPr>
          <w:p w14:paraId="31E89333"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4263E90A" w14:textId="5F611FD1" w:rsidR="005F643A" w:rsidRDefault="005F643A" w:rsidP="0062714B">
            <w:pPr>
              <w:rPr>
                <w:rFonts w:ascii="Calibri" w:hAnsi="Calibri"/>
                <w:sz w:val="22"/>
                <w:szCs w:val="22"/>
              </w:rPr>
            </w:pPr>
            <w:r w:rsidRPr="009B617D">
              <w:rPr>
                <w:rFonts w:ascii="Calibri" w:hAnsi="Calibri"/>
                <w:sz w:val="22"/>
                <w:szCs w:val="22"/>
              </w:rPr>
              <w:t>I think all of the ideas are terrible given access via court order is already in existence and there is no need to make it easier.</w:t>
            </w:r>
          </w:p>
        </w:tc>
        <w:tc>
          <w:tcPr>
            <w:tcW w:w="3060" w:type="dxa"/>
          </w:tcPr>
          <w:p w14:paraId="0DEFFDFD"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4AEF8A82" w14:textId="2C0E7283"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Kenneth Godwin</w:t>
            </w:r>
          </w:p>
        </w:tc>
        <w:tc>
          <w:tcPr>
            <w:tcW w:w="2694" w:type="dxa"/>
          </w:tcPr>
          <w:p w14:paraId="62A16E86" w14:textId="77777777" w:rsidR="005F643A" w:rsidRPr="007C033C" w:rsidRDefault="005F643A" w:rsidP="00E81C5B">
            <w:pPr>
              <w:contextualSpacing/>
              <w:rPr>
                <w:rFonts w:ascii="Calibri" w:hAnsi="Calibri"/>
                <w:sz w:val="22"/>
              </w:rPr>
            </w:pPr>
          </w:p>
        </w:tc>
        <w:tc>
          <w:tcPr>
            <w:tcW w:w="2436" w:type="dxa"/>
          </w:tcPr>
          <w:p w14:paraId="6619E797" w14:textId="77777777" w:rsidR="005F643A" w:rsidRPr="007C033C" w:rsidRDefault="005F643A" w:rsidP="00E81C5B">
            <w:pPr>
              <w:contextualSpacing/>
              <w:rPr>
                <w:rFonts w:ascii="Calibri" w:hAnsi="Calibri"/>
                <w:b/>
                <w:sz w:val="22"/>
              </w:rPr>
            </w:pPr>
          </w:p>
        </w:tc>
      </w:tr>
      <w:tr w:rsidR="005F643A" w:rsidRPr="007C033C" w14:paraId="31AC15A6" w14:textId="77777777" w:rsidTr="00E81C5B">
        <w:tc>
          <w:tcPr>
            <w:tcW w:w="835" w:type="dxa"/>
          </w:tcPr>
          <w:p w14:paraId="5A5D85B6"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50DF8F87" w14:textId="31C75F31" w:rsidR="005F643A" w:rsidRPr="009B617D" w:rsidRDefault="005F643A" w:rsidP="0062714B">
            <w:pPr>
              <w:rPr>
                <w:rFonts w:ascii="Calibri" w:hAnsi="Calibri"/>
                <w:sz w:val="22"/>
                <w:szCs w:val="22"/>
              </w:rPr>
            </w:pPr>
            <w:r w:rsidRPr="00387931">
              <w:rPr>
                <w:rFonts w:ascii="Calibri" w:hAnsi="Calibri"/>
                <w:sz w:val="22"/>
                <w:szCs w:val="22"/>
              </w:rPr>
              <w:t>This attempts to set up large companies as the owners of the internet with a kangaroo court for destroying any internet services and individuals they do not care for.</w:t>
            </w:r>
          </w:p>
        </w:tc>
        <w:tc>
          <w:tcPr>
            <w:tcW w:w="3060" w:type="dxa"/>
          </w:tcPr>
          <w:p w14:paraId="2B9203EA"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1BACE1A1" w14:textId="489BA521"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Private</w:t>
            </w:r>
          </w:p>
        </w:tc>
        <w:tc>
          <w:tcPr>
            <w:tcW w:w="2694" w:type="dxa"/>
          </w:tcPr>
          <w:p w14:paraId="5258AB1D" w14:textId="77777777" w:rsidR="005F643A" w:rsidRPr="007C033C" w:rsidRDefault="005F643A" w:rsidP="00E81C5B">
            <w:pPr>
              <w:contextualSpacing/>
              <w:rPr>
                <w:rFonts w:ascii="Calibri" w:hAnsi="Calibri"/>
                <w:sz w:val="22"/>
              </w:rPr>
            </w:pPr>
          </w:p>
        </w:tc>
        <w:tc>
          <w:tcPr>
            <w:tcW w:w="2436" w:type="dxa"/>
          </w:tcPr>
          <w:p w14:paraId="2EA95845" w14:textId="77777777" w:rsidR="005F643A" w:rsidRPr="007C033C" w:rsidRDefault="005F643A" w:rsidP="00E81C5B">
            <w:pPr>
              <w:contextualSpacing/>
              <w:rPr>
                <w:rFonts w:ascii="Calibri" w:hAnsi="Calibri"/>
                <w:b/>
                <w:sz w:val="22"/>
              </w:rPr>
            </w:pPr>
          </w:p>
        </w:tc>
      </w:tr>
      <w:tr w:rsidR="00325FD4" w:rsidRPr="007C033C" w14:paraId="27DCCDA3" w14:textId="77777777" w:rsidTr="00E81C5B">
        <w:tc>
          <w:tcPr>
            <w:tcW w:w="835" w:type="dxa"/>
          </w:tcPr>
          <w:p w14:paraId="1B0AAFAC" w14:textId="77777777" w:rsidR="00325FD4" w:rsidRPr="002C71AD" w:rsidRDefault="00325FD4" w:rsidP="00E81C5B">
            <w:pPr>
              <w:pStyle w:val="ListParagraph"/>
              <w:numPr>
                <w:ilvl w:val="0"/>
                <w:numId w:val="27"/>
              </w:numPr>
              <w:rPr>
                <w:rFonts w:ascii="Calibri" w:hAnsi="Calibri"/>
                <w:b/>
                <w:sz w:val="22"/>
              </w:rPr>
            </w:pPr>
          </w:p>
        </w:tc>
        <w:tc>
          <w:tcPr>
            <w:tcW w:w="3960" w:type="dxa"/>
          </w:tcPr>
          <w:p w14:paraId="04021D13" w14:textId="032827D7" w:rsidR="00325FD4" w:rsidRPr="00387931" w:rsidRDefault="00325FD4" w:rsidP="00325FD4">
            <w:pPr>
              <w:rPr>
                <w:rFonts w:ascii="Calibri" w:hAnsi="Calibri"/>
                <w:sz w:val="22"/>
                <w:szCs w:val="22"/>
              </w:rPr>
            </w:pPr>
            <w:r w:rsidRPr="00325FD4">
              <w:rPr>
                <w:rFonts w:ascii="Calibri" w:hAnsi="Calibri"/>
                <w:sz w:val="22"/>
                <w:szCs w:val="22"/>
              </w:rPr>
              <w:t xml:space="preserve">'cost recovery' from complainants? really??? Another way </w:t>
            </w:r>
            <w:r>
              <w:rPr>
                <w:rFonts w:ascii="Calibri" w:hAnsi="Calibri"/>
                <w:sz w:val="22"/>
                <w:szCs w:val="22"/>
              </w:rPr>
              <w:t>[for]</w:t>
            </w:r>
            <w:r w:rsidRPr="00325FD4">
              <w:rPr>
                <w:rFonts w:ascii="Calibri" w:hAnsi="Calibri"/>
                <w:sz w:val="22"/>
                <w:szCs w:val="22"/>
              </w:rPr>
              <w:t xml:space="preserve"> a bad P/P to delay, deny, and profit.</w:t>
            </w:r>
          </w:p>
        </w:tc>
        <w:tc>
          <w:tcPr>
            <w:tcW w:w="3060" w:type="dxa"/>
          </w:tcPr>
          <w:p w14:paraId="60220F3B" w14:textId="77777777" w:rsidR="00325FD4" w:rsidRPr="00402793" w:rsidRDefault="00325FD4" w:rsidP="00E81C5B">
            <w:pPr>
              <w:rPr>
                <w:rFonts w:ascii="Calibri" w:eastAsia="Times New Roman" w:hAnsi="Calibri" w:cs="Arial"/>
                <w:sz w:val="22"/>
                <w:szCs w:val="22"/>
                <w:shd w:val="clear" w:color="auto" w:fill="FFFFFF"/>
              </w:rPr>
            </w:pPr>
          </w:p>
        </w:tc>
        <w:tc>
          <w:tcPr>
            <w:tcW w:w="1608" w:type="dxa"/>
          </w:tcPr>
          <w:p w14:paraId="15AF4685" w14:textId="368D0220" w:rsidR="00325FD4" w:rsidRDefault="00325FD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Gary Miller</w:t>
            </w:r>
          </w:p>
        </w:tc>
        <w:tc>
          <w:tcPr>
            <w:tcW w:w="2694" w:type="dxa"/>
          </w:tcPr>
          <w:p w14:paraId="00310801" w14:textId="77777777" w:rsidR="00325FD4" w:rsidRPr="007C033C" w:rsidRDefault="00325FD4" w:rsidP="00E81C5B">
            <w:pPr>
              <w:contextualSpacing/>
              <w:rPr>
                <w:rFonts w:ascii="Calibri" w:hAnsi="Calibri"/>
                <w:sz w:val="22"/>
              </w:rPr>
            </w:pPr>
          </w:p>
        </w:tc>
        <w:tc>
          <w:tcPr>
            <w:tcW w:w="2436" w:type="dxa"/>
          </w:tcPr>
          <w:p w14:paraId="740CBDDD" w14:textId="77777777" w:rsidR="00325FD4" w:rsidRPr="007C033C" w:rsidRDefault="00325FD4" w:rsidP="00E81C5B">
            <w:pPr>
              <w:contextualSpacing/>
              <w:rPr>
                <w:rFonts w:ascii="Calibri" w:hAnsi="Calibri"/>
                <w:b/>
                <w:sz w:val="22"/>
              </w:rPr>
            </w:pPr>
          </w:p>
        </w:tc>
      </w:tr>
      <w:tr w:rsidR="00325FD4" w:rsidRPr="007C033C" w14:paraId="399E6853" w14:textId="77777777" w:rsidTr="00E81C5B">
        <w:tc>
          <w:tcPr>
            <w:tcW w:w="835" w:type="dxa"/>
          </w:tcPr>
          <w:p w14:paraId="59C6763E" w14:textId="77777777" w:rsidR="00325FD4" w:rsidRPr="002C71AD" w:rsidRDefault="00325FD4" w:rsidP="00E81C5B">
            <w:pPr>
              <w:pStyle w:val="ListParagraph"/>
              <w:numPr>
                <w:ilvl w:val="0"/>
                <w:numId w:val="27"/>
              </w:numPr>
              <w:rPr>
                <w:rFonts w:ascii="Calibri" w:hAnsi="Calibri"/>
                <w:b/>
                <w:sz w:val="22"/>
              </w:rPr>
            </w:pPr>
          </w:p>
        </w:tc>
        <w:tc>
          <w:tcPr>
            <w:tcW w:w="3960" w:type="dxa"/>
          </w:tcPr>
          <w:p w14:paraId="2DB303CA" w14:textId="5A97671C" w:rsidR="00325FD4" w:rsidRPr="00387931" w:rsidRDefault="00325FD4" w:rsidP="0062714B">
            <w:pPr>
              <w:rPr>
                <w:rFonts w:ascii="Calibri" w:hAnsi="Calibri"/>
                <w:sz w:val="22"/>
                <w:szCs w:val="22"/>
              </w:rPr>
            </w:pPr>
            <w:r>
              <w:rPr>
                <w:rFonts w:ascii="Calibri" w:hAnsi="Calibri"/>
                <w:sz w:val="22"/>
                <w:szCs w:val="22"/>
              </w:rPr>
              <w:t>Any are fine.</w:t>
            </w:r>
          </w:p>
        </w:tc>
        <w:tc>
          <w:tcPr>
            <w:tcW w:w="3060" w:type="dxa"/>
          </w:tcPr>
          <w:p w14:paraId="47A51900" w14:textId="77777777" w:rsidR="00325FD4" w:rsidRPr="00402793" w:rsidRDefault="00325FD4" w:rsidP="00E81C5B">
            <w:pPr>
              <w:rPr>
                <w:rFonts w:ascii="Calibri" w:eastAsia="Times New Roman" w:hAnsi="Calibri" w:cs="Arial"/>
                <w:sz w:val="22"/>
                <w:szCs w:val="22"/>
                <w:shd w:val="clear" w:color="auto" w:fill="FFFFFF"/>
              </w:rPr>
            </w:pPr>
          </w:p>
        </w:tc>
        <w:tc>
          <w:tcPr>
            <w:tcW w:w="1608" w:type="dxa"/>
          </w:tcPr>
          <w:p w14:paraId="23BCECD1" w14:textId="60EBB4C5" w:rsidR="00325FD4" w:rsidRDefault="00325FD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Robert Lukitsh</w:t>
            </w:r>
          </w:p>
        </w:tc>
        <w:tc>
          <w:tcPr>
            <w:tcW w:w="2694" w:type="dxa"/>
          </w:tcPr>
          <w:p w14:paraId="21D5E345" w14:textId="77777777" w:rsidR="00325FD4" w:rsidRPr="007C033C" w:rsidRDefault="00325FD4" w:rsidP="00E81C5B">
            <w:pPr>
              <w:contextualSpacing/>
              <w:rPr>
                <w:rFonts w:ascii="Calibri" w:hAnsi="Calibri"/>
                <w:sz w:val="22"/>
              </w:rPr>
            </w:pPr>
          </w:p>
        </w:tc>
        <w:tc>
          <w:tcPr>
            <w:tcW w:w="2436" w:type="dxa"/>
          </w:tcPr>
          <w:p w14:paraId="257CA3A3" w14:textId="77777777" w:rsidR="00325FD4" w:rsidRPr="007C033C" w:rsidRDefault="00325FD4" w:rsidP="00E81C5B">
            <w:pPr>
              <w:contextualSpacing/>
              <w:rPr>
                <w:rFonts w:ascii="Calibri" w:hAnsi="Calibri"/>
                <w:b/>
                <w:sz w:val="22"/>
              </w:rPr>
            </w:pPr>
          </w:p>
        </w:tc>
      </w:tr>
      <w:tr w:rsidR="00325FD4" w:rsidRPr="007C033C" w14:paraId="08FBEFB0" w14:textId="77777777" w:rsidTr="00E81C5B">
        <w:tc>
          <w:tcPr>
            <w:tcW w:w="835" w:type="dxa"/>
          </w:tcPr>
          <w:p w14:paraId="40AD9343" w14:textId="77777777" w:rsidR="00325FD4" w:rsidRPr="002C71AD" w:rsidRDefault="00325FD4" w:rsidP="00E81C5B">
            <w:pPr>
              <w:pStyle w:val="ListParagraph"/>
              <w:numPr>
                <w:ilvl w:val="0"/>
                <w:numId w:val="27"/>
              </w:numPr>
              <w:rPr>
                <w:rFonts w:ascii="Calibri" w:hAnsi="Calibri"/>
                <w:b/>
                <w:sz w:val="22"/>
              </w:rPr>
            </w:pPr>
          </w:p>
        </w:tc>
        <w:tc>
          <w:tcPr>
            <w:tcW w:w="3960" w:type="dxa"/>
          </w:tcPr>
          <w:p w14:paraId="5DF73898" w14:textId="20045F1D" w:rsidR="00325FD4" w:rsidRPr="00387931" w:rsidRDefault="00325FD4" w:rsidP="0062714B">
            <w:pPr>
              <w:rPr>
                <w:rFonts w:ascii="Calibri" w:hAnsi="Calibri"/>
                <w:sz w:val="22"/>
                <w:szCs w:val="22"/>
              </w:rPr>
            </w:pPr>
            <w:r w:rsidRPr="00325FD4">
              <w:rPr>
                <w:rFonts w:ascii="Calibri" w:hAnsi="Calibri"/>
                <w:sz w:val="22"/>
                <w:szCs w:val="22"/>
              </w:rPr>
              <w:t>Disclosure to be made only upon a court order.</w:t>
            </w:r>
          </w:p>
        </w:tc>
        <w:tc>
          <w:tcPr>
            <w:tcW w:w="3060" w:type="dxa"/>
          </w:tcPr>
          <w:p w14:paraId="70431574" w14:textId="77777777" w:rsidR="00325FD4" w:rsidRPr="00402793" w:rsidRDefault="00325FD4" w:rsidP="00E81C5B">
            <w:pPr>
              <w:rPr>
                <w:rFonts w:ascii="Calibri" w:eastAsia="Times New Roman" w:hAnsi="Calibri" w:cs="Arial"/>
                <w:sz w:val="22"/>
                <w:szCs w:val="22"/>
                <w:shd w:val="clear" w:color="auto" w:fill="FFFFFF"/>
              </w:rPr>
            </w:pPr>
          </w:p>
        </w:tc>
        <w:tc>
          <w:tcPr>
            <w:tcW w:w="1608" w:type="dxa"/>
          </w:tcPr>
          <w:p w14:paraId="589AF51B" w14:textId="62C1ACFB" w:rsidR="00325FD4" w:rsidRDefault="00325FD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Shahed Ahmmed</w:t>
            </w:r>
          </w:p>
        </w:tc>
        <w:tc>
          <w:tcPr>
            <w:tcW w:w="2694" w:type="dxa"/>
          </w:tcPr>
          <w:p w14:paraId="4BB9F149" w14:textId="77777777" w:rsidR="00325FD4" w:rsidRPr="007C033C" w:rsidRDefault="00325FD4" w:rsidP="00E81C5B">
            <w:pPr>
              <w:contextualSpacing/>
              <w:rPr>
                <w:rFonts w:ascii="Calibri" w:hAnsi="Calibri"/>
                <w:sz w:val="22"/>
              </w:rPr>
            </w:pPr>
          </w:p>
        </w:tc>
        <w:tc>
          <w:tcPr>
            <w:tcW w:w="2436" w:type="dxa"/>
          </w:tcPr>
          <w:p w14:paraId="376A6D9D" w14:textId="77777777" w:rsidR="00325FD4" w:rsidRPr="007C033C" w:rsidRDefault="00325FD4" w:rsidP="00E81C5B">
            <w:pPr>
              <w:contextualSpacing/>
              <w:rPr>
                <w:rFonts w:ascii="Calibri" w:hAnsi="Calibri"/>
                <w:b/>
                <w:sz w:val="22"/>
              </w:rPr>
            </w:pPr>
          </w:p>
        </w:tc>
      </w:tr>
      <w:tr w:rsidR="00325FD4" w:rsidRPr="007C033C" w14:paraId="54FA25F6" w14:textId="77777777" w:rsidTr="00E81C5B">
        <w:tc>
          <w:tcPr>
            <w:tcW w:w="835" w:type="dxa"/>
          </w:tcPr>
          <w:p w14:paraId="4869AF0E" w14:textId="77777777" w:rsidR="00325FD4" w:rsidRPr="002C71AD" w:rsidRDefault="00325FD4" w:rsidP="00E81C5B">
            <w:pPr>
              <w:pStyle w:val="ListParagraph"/>
              <w:numPr>
                <w:ilvl w:val="0"/>
                <w:numId w:val="27"/>
              </w:numPr>
              <w:rPr>
                <w:rFonts w:ascii="Calibri" w:hAnsi="Calibri"/>
                <w:b/>
                <w:sz w:val="22"/>
              </w:rPr>
            </w:pPr>
          </w:p>
        </w:tc>
        <w:tc>
          <w:tcPr>
            <w:tcW w:w="3960" w:type="dxa"/>
          </w:tcPr>
          <w:p w14:paraId="196D8973" w14:textId="783C8A5D" w:rsidR="00325FD4" w:rsidRPr="00387931" w:rsidRDefault="00B0072A" w:rsidP="0062714B">
            <w:pPr>
              <w:rPr>
                <w:rFonts w:ascii="Calibri" w:hAnsi="Calibri"/>
                <w:sz w:val="22"/>
                <w:szCs w:val="22"/>
              </w:rPr>
            </w:pPr>
            <w:r w:rsidRPr="00B0072A">
              <w:rPr>
                <w:rFonts w:ascii="Calibri" w:hAnsi="Calibri"/>
                <w:sz w:val="22"/>
                <w:szCs w:val="22"/>
              </w:rPr>
              <w:t>Unacceptable in any form. IP rights are no justification for any changes to the whois system and rules that would affect privacy and freedom of domain holders.</w:t>
            </w:r>
          </w:p>
        </w:tc>
        <w:tc>
          <w:tcPr>
            <w:tcW w:w="3060" w:type="dxa"/>
          </w:tcPr>
          <w:p w14:paraId="1A3EC0B2" w14:textId="77777777" w:rsidR="00325FD4" w:rsidRPr="00402793" w:rsidRDefault="00325FD4" w:rsidP="00E81C5B">
            <w:pPr>
              <w:rPr>
                <w:rFonts w:ascii="Calibri" w:eastAsia="Times New Roman" w:hAnsi="Calibri" w:cs="Arial"/>
                <w:sz w:val="22"/>
                <w:szCs w:val="22"/>
                <w:shd w:val="clear" w:color="auto" w:fill="FFFFFF"/>
              </w:rPr>
            </w:pPr>
          </w:p>
        </w:tc>
        <w:tc>
          <w:tcPr>
            <w:tcW w:w="1608" w:type="dxa"/>
          </w:tcPr>
          <w:p w14:paraId="74731DD0" w14:textId="41697ED8" w:rsidR="00325FD4" w:rsidRDefault="00B0072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Adam Miller</w:t>
            </w:r>
          </w:p>
        </w:tc>
        <w:tc>
          <w:tcPr>
            <w:tcW w:w="2694" w:type="dxa"/>
          </w:tcPr>
          <w:p w14:paraId="7F4BBAC1" w14:textId="77777777" w:rsidR="00325FD4" w:rsidRPr="007C033C" w:rsidRDefault="00325FD4" w:rsidP="00E81C5B">
            <w:pPr>
              <w:contextualSpacing/>
              <w:rPr>
                <w:rFonts w:ascii="Calibri" w:hAnsi="Calibri"/>
                <w:sz w:val="22"/>
              </w:rPr>
            </w:pPr>
          </w:p>
        </w:tc>
        <w:tc>
          <w:tcPr>
            <w:tcW w:w="2436" w:type="dxa"/>
          </w:tcPr>
          <w:p w14:paraId="17488A9B" w14:textId="77777777" w:rsidR="00325FD4" w:rsidRPr="007C033C" w:rsidRDefault="00325FD4" w:rsidP="00E81C5B">
            <w:pPr>
              <w:contextualSpacing/>
              <w:rPr>
                <w:rFonts w:ascii="Calibri" w:hAnsi="Calibri"/>
                <w:b/>
                <w:sz w:val="22"/>
              </w:rPr>
            </w:pPr>
          </w:p>
        </w:tc>
      </w:tr>
      <w:tr w:rsidR="00B0072A" w:rsidRPr="007C033C" w14:paraId="12BF5504" w14:textId="77777777" w:rsidTr="00E81C5B">
        <w:tc>
          <w:tcPr>
            <w:tcW w:w="835" w:type="dxa"/>
          </w:tcPr>
          <w:p w14:paraId="5365F0AE" w14:textId="77777777" w:rsidR="00B0072A" w:rsidRPr="002C71AD" w:rsidRDefault="00B0072A" w:rsidP="00E81C5B">
            <w:pPr>
              <w:pStyle w:val="ListParagraph"/>
              <w:numPr>
                <w:ilvl w:val="0"/>
                <w:numId w:val="27"/>
              </w:numPr>
              <w:rPr>
                <w:rFonts w:ascii="Calibri" w:hAnsi="Calibri"/>
                <w:b/>
                <w:sz w:val="22"/>
              </w:rPr>
            </w:pPr>
          </w:p>
        </w:tc>
        <w:tc>
          <w:tcPr>
            <w:tcW w:w="3960" w:type="dxa"/>
          </w:tcPr>
          <w:p w14:paraId="08CF1E1B" w14:textId="4C10F3E5" w:rsidR="00B0072A" w:rsidRPr="00B0072A" w:rsidRDefault="00B0072A" w:rsidP="0062714B">
            <w:pPr>
              <w:rPr>
                <w:rFonts w:ascii="Calibri" w:hAnsi="Calibri"/>
                <w:sz w:val="22"/>
                <w:szCs w:val="22"/>
              </w:rPr>
            </w:pPr>
            <w:r w:rsidRPr="00B0072A">
              <w:rPr>
                <w:rFonts w:ascii="Calibri" w:hAnsi="Calibri"/>
                <w:sz w:val="22"/>
                <w:szCs w:val="22"/>
              </w:rPr>
              <w:t>The report did not make a compelling case that IP holders should have their claims handled in higher-priority manner than other claimants (libel litigants, journalists, etc.). IP holders should use the same, standard mechanism for private domain registrant contacts.</w:t>
            </w:r>
          </w:p>
        </w:tc>
        <w:tc>
          <w:tcPr>
            <w:tcW w:w="3060" w:type="dxa"/>
          </w:tcPr>
          <w:p w14:paraId="0CC2A297" w14:textId="77777777" w:rsidR="00B0072A" w:rsidRPr="00402793" w:rsidRDefault="00B0072A" w:rsidP="00E81C5B">
            <w:pPr>
              <w:rPr>
                <w:rFonts w:ascii="Calibri" w:eastAsia="Times New Roman" w:hAnsi="Calibri" w:cs="Arial"/>
                <w:sz w:val="22"/>
                <w:szCs w:val="22"/>
                <w:shd w:val="clear" w:color="auto" w:fill="FFFFFF"/>
              </w:rPr>
            </w:pPr>
          </w:p>
        </w:tc>
        <w:tc>
          <w:tcPr>
            <w:tcW w:w="1608" w:type="dxa"/>
          </w:tcPr>
          <w:p w14:paraId="21E437D9" w14:textId="0733F878" w:rsidR="00B0072A" w:rsidRDefault="00B0072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Byunghoon Choi</w:t>
            </w:r>
          </w:p>
        </w:tc>
        <w:tc>
          <w:tcPr>
            <w:tcW w:w="2694" w:type="dxa"/>
          </w:tcPr>
          <w:p w14:paraId="4B3F5420" w14:textId="77777777" w:rsidR="00B0072A" w:rsidRPr="007C033C" w:rsidRDefault="00B0072A" w:rsidP="00E81C5B">
            <w:pPr>
              <w:contextualSpacing/>
              <w:rPr>
                <w:rFonts w:ascii="Calibri" w:hAnsi="Calibri"/>
                <w:sz w:val="22"/>
              </w:rPr>
            </w:pPr>
          </w:p>
        </w:tc>
        <w:tc>
          <w:tcPr>
            <w:tcW w:w="2436" w:type="dxa"/>
          </w:tcPr>
          <w:p w14:paraId="578B36BA" w14:textId="77777777" w:rsidR="00B0072A" w:rsidRPr="007C033C" w:rsidRDefault="00B0072A" w:rsidP="00E81C5B">
            <w:pPr>
              <w:contextualSpacing/>
              <w:rPr>
                <w:rFonts w:ascii="Calibri" w:hAnsi="Calibri"/>
                <w:b/>
                <w:sz w:val="22"/>
              </w:rPr>
            </w:pPr>
          </w:p>
        </w:tc>
      </w:tr>
      <w:tr w:rsidR="00B0072A" w:rsidRPr="007C033C" w14:paraId="64DAD35E" w14:textId="77777777" w:rsidTr="00E81C5B">
        <w:tc>
          <w:tcPr>
            <w:tcW w:w="835" w:type="dxa"/>
          </w:tcPr>
          <w:p w14:paraId="1326227C" w14:textId="77777777" w:rsidR="00B0072A" w:rsidRPr="002C71AD" w:rsidRDefault="00B0072A" w:rsidP="00E81C5B">
            <w:pPr>
              <w:pStyle w:val="ListParagraph"/>
              <w:numPr>
                <w:ilvl w:val="0"/>
                <w:numId w:val="27"/>
              </w:numPr>
              <w:rPr>
                <w:rFonts w:ascii="Calibri" w:hAnsi="Calibri"/>
                <w:b/>
                <w:sz w:val="22"/>
              </w:rPr>
            </w:pPr>
          </w:p>
        </w:tc>
        <w:tc>
          <w:tcPr>
            <w:tcW w:w="3960" w:type="dxa"/>
          </w:tcPr>
          <w:p w14:paraId="39059BEE" w14:textId="6FCFB875" w:rsidR="00B0072A" w:rsidRPr="00B0072A" w:rsidRDefault="00B0072A" w:rsidP="0062714B">
            <w:pPr>
              <w:rPr>
                <w:rFonts w:ascii="Calibri" w:hAnsi="Calibri"/>
                <w:sz w:val="22"/>
                <w:szCs w:val="22"/>
              </w:rPr>
            </w:pPr>
            <w:r>
              <w:rPr>
                <w:rFonts w:ascii="Calibri" w:hAnsi="Calibri"/>
                <w:sz w:val="22"/>
                <w:szCs w:val="22"/>
              </w:rPr>
              <w:t>I agree</w:t>
            </w:r>
          </w:p>
        </w:tc>
        <w:tc>
          <w:tcPr>
            <w:tcW w:w="3060" w:type="dxa"/>
          </w:tcPr>
          <w:p w14:paraId="273BCBBC" w14:textId="77777777" w:rsidR="00B0072A" w:rsidRPr="00402793" w:rsidRDefault="00B0072A" w:rsidP="00E81C5B">
            <w:pPr>
              <w:rPr>
                <w:rFonts w:ascii="Calibri" w:eastAsia="Times New Roman" w:hAnsi="Calibri" w:cs="Arial"/>
                <w:sz w:val="22"/>
                <w:szCs w:val="22"/>
                <w:shd w:val="clear" w:color="auto" w:fill="FFFFFF"/>
              </w:rPr>
            </w:pPr>
          </w:p>
        </w:tc>
        <w:tc>
          <w:tcPr>
            <w:tcW w:w="1608" w:type="dxa"/>
          </w:tcPr>
          <w:p w14:paraId="3C03AFB5" w14:textId="72A2F9EA" w:rsidR="00B0072A" w:rsidRDefault="00B0072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Charles</w:t>
            </w:r>
          </w:p>
        </w:tc>
        <w:tc>
          <w:tcPr>
            <w:tcW w:w="2694" w:type="dxa"/>
          </w:tcPr>
          <w:p w14:paraId="7478865F" w14:textId="77777777" w:rsidR="00B0072A" w:rsidRPr="007C033C" w:rsidRDefault="00B0072A" w:rsidP="00E81C5B">
            <w:pPr>
              <w:contextualSpacing/>
              <w:rPr>
                <w:rFonts w:ascii="Calibri" w:hAnsi="Calibri"/>
                <w:sz w:val="22"/>
              </w:rPr>
            </w:pPr>
          </w:p>
        </w:tc>
        <w:tc>
          <w:tcPr>
            <w:tcW w:w="2436" w:type="dxa"/>
          </w:tcPr>
          <w:p w14:paraId="4EC7DFA0" w14:textId="77777777" w:rsidR="00B0072A" w:rsidRPr="007C033C" w:rsidRDefault="00B0072A" w:rsidP="00E81C5B">
            <w:pPr>
              <w:contextualSpacing/>
              <w:rPr>
                <w:rFonts w:ascii="Calibri" w:hAnsi="Calibri"/>
                <w:b/>
                <w:sz w:val="22"/>
              </w:rPr>
            </w:pPr>
          </w:p>
        </w:tc>
      </w:tr>
      <w:tr w:rsidR="00B0072A" w:rsidRPr="007C033C" w14:paraId="0B595BC4" w14:textId="77777777" w:rsidTr="00E81C5B">
        <w:tc>
          <w:tcPr>
            <w:tcW w:w="835" w:type="dxa"/>
          </w:tcPr>
          <w:p w14:paraId="1FC99C5C" w14:textId="77777777" w:rsidR="00B0072A" w:rsidRPr="002C71AD" w:rsidRDefault="00B0072A" w:rsidP="00E81C5B">
            <w:pPr>
              <w:pStyle w:val="ListParagraph"/>
              <w:numPr>
                <w:ilvl w:val="0"/>
                <w:numId w:val="27"/>
              </w:numPr>
              <w:rPr>
                <w:rFonts w:ascii="Calibri" w:hAnsi="Calibri"/>
                <w:b/>
                <w:sz w:val="22"/>
              </w:rPr>
            </w:pPr>
          </w:p>
        </w:tc>
        <w:tc>
          <w:tcPr>
            <w:tcW w:w="3960" w:type="dxa"/>
          </w:tcPr>
          <w:p w14:paraId="14804779" w14:textId="1D0E595C" w:rsidR="00B0072A" w:rsidRPr="00B0072A" w:rsidRDefault="00B0072A" w:rsidP="0062714B">
            <w:pPr>
              <w:rPr>
                <w:rFonts w:ascii="Calibri" w:hAnsi="Calibri"/>
                <w:sz w:val="22"/>
                <w:szCs w:val="22"/>
              </w:rPr>
            </w:pPr>
            <w:r w:rsidRPr="00B0072A">
              <w:rPr>
                <w:rFonts w:ascii="Calibri" w:hAnsi="Calibri"/>
                <w:sz w:val="22"/>
                <w:szCs w:val="22"/>
              </w:rPr>
              <w:t>IP rights-holders are not LEA, and therefore should not be able to request publication or disclosure. Intellectual property is very complex and it is not the provider's role to judge such cases.</w:t>
            </w:r>
          </w:p>
        </w:tc>
        <w:tc>
          <w:tcPr>
            <w:tcW w:w="3060" w:type="dxa"/>
          </w:tcPr>
          <w:p w14:paraId="18429C77" w14:textId="77777777" w:rsidR="00B0072A" w:rsidRPr="00402793" w:rsidRDefault="00B0072A" w:rsidP="00E81C5B">
            <w:pPr>
              <w:rPr>
                <w:rFonts w:ascii="Calibri" w:eastAsia="Times New Roman" w:hAnsi="Calibri" w:cs="Arial"/>
                <w:sz w:val="22"/>
                <w:szCs w:val="22"/>
                <w:shd w:val="clear" w:color="auto" w:fill="FFFFFF"/>
              </w:rPr>
            </w:pPr>
          </w:p>
        </w:tc>
        <w:tc>
          <w:tcPr>
            <w:tcW w:w="1608" w:type="dxa"/>
          </w:tcPr>
          <w:p w14:paraId="4E793ADA" w14:textId="715A77E5" w:rsidR="00B0072A" w:rsidRDefault="00B0072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Sebastian Broussier</w:t>
            </w:r>
          </w:p>
        </w:tc>
        <w:tc>
          <w:tcPr>
            <w:tcW w:w="2694" w:type="dxa"/>
          </w:tcPr>
          <w:p w14:paraId="1BD38AD3" w14:textId="77777777" w:rsidR="00B0072A" w:rsidRPr="007C033C" w:rsidRDefault="00B0072A" w:rsidP="00E81C5B">
            <w:pPr>
              <w:contextualSpacing/>
              <w:rPr>
                <w:rFonts w:ascii="Calibri" w:hAnsi="Calibri"/>
                <w:sz w:val="22"/>
              </w:rPr>
            </w:pPr>
          </w:p>
        </w:tc>
        <w:tc>
          <w:tcPr>
            <w:tcW w:w="2436" w:type="dxa"/>
          </w:tcPr>
          <w:p w14:paraId="1D817B06" w14:textId="77777777" w:rsidR="00B0072A" w:rsidRPr="007C033C" w:rsidRDefault="00B0072A" w:rsidP="00E81C5B">
            <w:pPr>
              <w:contextualSpacing/>
              <w:rPr>
                <w:rFonts w:ascii="Calibri" w:hAnsi="Calibri"/>
                <w:b/>
                <w:sz w:val="22"/>
              </w:rPr>
            </w:pPr>
          </w:p>
        </w:tc>
      </w:tr>
      <w:tr w:rsidR="00B0072A" w:rsidRPr="007C033C" w14:paraId="14F82E89" w14:textId="77777777" w:rsidTr="00E81C5B">
        <w:tc>
          <w:tcPr>
            <w:tcW w:w="835" w:type="dxa"/>
          </w:tcPr>
          <w:p w14:paraId="2ADF9AC9" w14:textId="77777777" w:rsidR="00B0072A" w:rsidRPr="002C71AD" w:rsidRDefault="00B0072A" w:rsidP="00E81C5B">
            <w:pPr>
              <w:pStyle w:val="ListParagraph"/>
              <w:numPr>
                <w:ilvl w:val="0"/>
                <w:numId w:val="27"/>
              </w:numPr>
              <w:rPr>
                <w:rFonts w:ascii="Calibri" w:hAnsi="Calibri"/>
                <w:b/>
                <w:sz w:val="22"/>
              </w:rPr>
            </w:pPr>
          </w:p>
        </w:tc>
        <w:tc>
          <w:tcPr>
            <w:tcW w:w="3960" w:type="dxa"/>
          </w:tcPr>
          <w:p w14:paraId="5F41DC79" w14:textId="453FE3F7" w:rsidR="00B0072A" w:rsidRPr="00B0072A" w:rsidRDefault="00C95DF6" w:rsidP="0062714B">
            <w:pPr>
              <w:rPr>
                <w:rFonts w:ascii="Calibri" w:hAnsi="Calibri"/>
                <w:sz w:val="22"/>
                <w:szCs w:val="22"/>
              </w:rPr>
            </w:pPr>
            <w:r w:rsidRPr="00C95DF6">
              <w:rPr>
                <w:rFonts w:ascii="Calibri" w:hAnsi="Calibri"/>
                <w:sz w:val="22"/>
                <w:szCs w:val="22"/>
              </w:rPr>
              <w:t>I do not believe that any disclosure conditions, beyond those involving traditional venues (courts of law, courts of tort) should be included for intellectual property concerns.</w:t>
            </w:r>
          </w:p>
        </w:tc>
        <w:tc>
          <w:tcPr>
            <w:tcW w:w="3060" w:type="dxa"/>
          </w:tcPr>
          <w:p w14:paraId="7CB3E46C" w14:textId="77777777" w:rsidR="00B0072A" w:rsidRPr="00402793" w:rsidRDefault="00B0072A" w:rsidP="00E81C5B">
            <w:pPr>
              <w:rPr>
                <w:rFonts w:ascii="Calibri" w:eastAsia="Times New Roman" w:hAnsi="Calibri" w:cs="Arial"/>
                <w:sz w:val="22"/>
                <w:szCs w:val="22"/>
                <w:shd w:val="clear" w:color="auto" w:fill="FFFFFF"/>
              </w:rPr>
            </w:pPr>
          </w:p>
        </w:tc>
        <w:tc>
          <w:tcPr>
            <w:tcW w:w="1608" w:type="dxa"/>
          </w:tcPr>
          <w:p w14:paraId="1C4EF49A" w14:textId="6B7C2009" w:rsidR="00B0072A"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Andrew Merenbach</w:t>
            </w:r>
          </w:p>
        </w:tc>
        <w:tc>
          <w:tcPr>
            <w:tcW w:w="2694" w:type="dxa"/>
          </w:tcPr>
          <w:p w14:paraId="1C0A8B0B" w14:textId="77777777" w:rsidR="00B0072A" w:rsidRPr="007C033C" w:rsidRDefault="00B0072A" w:rsidP="00E81C5B">
            <w:pPr>
              <w:contextualSpacing/>
              <w:rPr>
                <w:rFonts w:ascii="Calibri" w:hAnsi="Calibri"/>
                <w:sz w:val="22"/>
              </w:rPr>
            </w:pPr>
          </w:p>
        </w:tc>
        <w:tc>
          <w:tcPr>
            <w:tcW w:w="2436" w:type="dxa"/>
          </w:tcPr>
          <w:p w14:paraId="5B84E954" w14:textId="77777777" w:rsidR="00B0072A" w:rsidRPr="007C033C" w:rsidRDefault="00B0072A" w:rsidP="00E81C5B">
            <w:pPr>
              <w:contextualSpacing/>
              <w:rPr>
                <w:rFonts w:ascii="Calibri" w:hAnsi="Calibri"/>
                <w:b/>
                <w:sz w:val="22"/>
              </w:rPr>
            </w:pPr>
          </w:p>
        </w:tc>
      </w:tr>
      <w:tr w:rsidR="00B0072A" w:rsidRPr="007C033C" w14:paraId="0DCEEE87" w14:textId="77777777" w:rsidTr="00E81C5B">
        <w:tc>
          <w:tcPr>
            <w:tcW w:w="835" w:type="dxa"/>
          </w:tcPr>
          <w:p w14:paraId="65F3F908" w14:textId="77777777" w:rsidR="00B0072A" w:rsidRPr="002C71AD" w:rsidRDefault="00B0072A" w:rsidP="00E81C5B">
            <w:pPr>
              <w:pStyle w:val="ListParagraph"/>
              <w:numPr>
                <w:ilvl w:val="0"/>
                <w:numId w:val="27"/>
              </w:numPr>
              <w:rPr>
                <w:rFonts w:ascii="Calibri" w:hAnsi="Calibri"/>
                <w:b/>
                <w:sz w:val="22"/>
              </w:rPr>
            </w:pPr>
          </w:p>
        </w:tc>
        <w:tc>
          <w:tcPr>
            <w:tcW w:w="3960" w:type="dxa"/>
          </w:tcPr>
          <w:p w14:paraId="5BA596B9" w14:textId="56E2C997" w:rsidR="00B0072A" w:rsidRPr="00B0072A" w:rsidRDefault="00C95DF6" w:rsidP="0062714B">
            <w:pPr>
              <w:rPr>
                <w:rFonts w:ascii="Calibri" w:hAnsi="Calibri"/>
                <w:sz w:val="22"/>
                <w:szCs w:val="22"/>
              </w:rPr>
            </w:pPr>
            <w:r w:rsidRPr="00C95DF6">
              <w:rPr>
                <w:rFonts w:ascii="Calibri" w:hAnsi="Calibri"/>
                <w:sz w:val="22"/>
                <w:szCs w:val="22"/>
              </w:rPr>
              <w:t>ARGH! It is NOT your job to chase down supposed IP infringement! So frustrating! ICANN is not a law-enforcing body, and the recommendations you're making do NOTHING for individuals like myself.</w:t>
            </w:r>
          </w:p>
        </w:tc>
        <w:tc>
          <w:tcPr>
            <w:tcW w:w="3060" w:type="dxa"/>
          </w:tcPr>
          <w:p w14:paraId="7A9429D8" w14:textId="77777777" w:rsidR="00B0072A" w:rsidRPr="00402793" w:rsidRDefault="00B0072A" w:rsidP="00E81C5B">
            <w:pPr>
              <w:rPr>
                <w:rFonts w:ascii="Calibri" w:eastAsia="Times New Roman" w:hAnsi="Calibri" w:cs="Arial"/>
                <w:sz w:val="22"/>
                <w:szCs w:val="22"/>
                <w:shd w:val="clear" w:color="auto" w:fill="FFFFFF"/>
              </w:rPr>
            </w:pPr>
          </w:p>
        </w:tc>
        <w:tc>
          <w:tcPr>
            <w:tcW w:w="1608" w:type="dxa"/>
          </w:tcPr>
          <w:p w14:paraId="2116403A" w14:textId="13E5E59E" w:rsidR="00B0072A"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Dalton</w:t>
            </w:r>
          </w:p>
        </w:tc>
        <w:tc>
          <w:tcPr>
            <w:tcW w:w="2694" w:type="dxa"/>
          </w:tcPr>
          <w:p w14:paraId="6DAAB52D" w14:textId="77777777" w:rsidR="00B0072A" w:rsidRPr="007C033C" w:rsidRDefault="00B0072A" w:rsidP="00E81C5B">
            <w:pPr>
              <w:contextualSpacing/>
              <w:rPr>
                <w:rFonts w:ascii="Calibri" w:hAnsi="Calibri"/>
                <w:sz w:val="22"/>
              </w:rPr>
            </w:pPr>
          </w:p>
        </w:tc>
        <w:tc>
          <w:tcPr>
            <w:tcW w:w="2436" w:type="dxa"/>
          </w:tcPr>
          <w:p w14:paraId="48F583D2" w14:textId="77777777" w:rsidR="00B0072A" w:rsidRPr="007C033C" w:rsidRDefault="00B0072A" w:rsidP="00E81C5B">
            <w:pPr>
              <w:contextualSpacing/>
              <w:rPr>
                <w:rFonts w:ascii="Calibri" w:hAnsi="Calibri"/>
                <w:b/>
                <w:sz w:val="22"/>
              </w:rPr>
            </w:pPr>
          </w:p>
        </w:tc>
      </w:tr>
      <w:tr w:rsidR="00B0072A" w:rsidRPr="007C033C" w14:paraId="614907F4" w14:textId="77777777" w:rsidTr="00E81C5B">
        <w:tc>
          <w:tcPr>
            <w:tcW w:w="835" w:type="dxa"/>
          </w:tcPr>
          <w:p w14:paraId="4BC31E93" w14:textId="77777777" w:rsidR="00B0072A" w:rsidRPr="002C71AD" w:rsidRDefault="00B0072A" w:rsidP="00E81C5B">
            <w:pPr>
              <w:pStyle w:val="ListParagraph"/>
              <w:numPr>
                <w:ilvl w:val="0"/>
                <w:numId w:val="27"/>
              </w:numPr>
              <w:rPr>
                <w:rFonts w:ascii="Calibri" w:hAnsi="Calibri"/>
                <w:b/>
                <w:sz w:val="22"/>
              </w:rPr>
            </w:pPr>
          </w:p>
        </w:tc>
        <w:tc>
          <w:tcPr>
            <w:tcW w:w="3960" w:type="dxa"/>
          </w:tcPr>
          <w:p w14:paraId="1778DBA0" w14:textId="4CFDC0C2" w:rsidR="00B0072A" w:rsidRPr="00B0072A" w:rsidRDefault="005B585B" w:rsidP="0062714B">
            <w:pPr>
              <w:rPr>
                <w:rFonts w:ascii="Calibri" w:hAnsi="Calibri"/>
                <w:sz w:val="22"/>
                <w:szCs w:val="22"/>
              </w:rPr>
            </w:pPr>
            <w:r w:rsidRPr="005B585B">
              <w:rPr>
                <w:rFonts w:ascii="Calibri" w:hAnsi="Calibri"/>
                <w:sz w:val="22"/>
                <w:szCs w:val="22"/>
              </w:rPr>
              <w:t>Honestly, you need to drop this completely.</w:t>
            </w:r>
          </w:p>
        </w:tc>
        <w:tc>
          <w:tcPr>
            <w:tcW w:w="3060" w:type="dxa"/>
          </w:tcPr>
          <w:p w14:paraId="128E4406" w14:textId="77777777" w:rsidR="00B0072A" w:rsidRPr="00402793" w:rsidRDefault="00B0072A" w:rsidP="00E81C5B">
            <w:pPr>
              <w:rPr>
                <w:rFonts w:ascii="Calibri" w:eastAsia="Times New Roman" w:hAnsi="Calibri" w:cs="Arial"/>
                <w:sz w:val="22"/>
                <w:szCs w:val="22"/>
                <w:shd w:val="clear" w:color="auto" w:fill="FFFFFF"/>
              </w:rPr>
            </w:pPr>
          </w:p>
        </w:tc>
        <w:tc>
          <w:tcPr>
            <w:tcW w:w="1608" w:type="dxa"/>
          </w:tcPr>
          <w:p w14:paraId="76D444D0" w14:textId="3DD89EAE" w:rsidR="00B0072A"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Stephen Black Wolf</w:t>
            </w:r>
          </w:p>
        </w:tc>
        <w:tc>
          <w:tcPr>
            <w:tcW w:w="2694" w:type="dxa"/>
          </w:tcPr>
          <w:p w14:paraId="4860C6F7" w14:textId="77777777" w:rsidR="00B0072A" w:rsidRPr="007C033C" w:rsidRDefault="00B0072A" w:rsidP="00E81C5B">
            <w:pPr>
              <w:contextualSpacing/>
              <w:rPr>
                <w:rFonts w:ascii="Calibri" w:hAnsi="Calibri"/>
                <w:sz w:val="22"/>
              </w:rPr>
            </w:pPr>
          </w:p>
        </w:tc>
        <w:tc>
          <w:tcPr>
            <w:tcW w:w="2436" w:type="dxa"/>
          </w:tcPr>
          <w:p w14:paraId="43BDBEAF" w14:textId="77777777" w:rsidR="00B0072A" w:rsidRPr="007C033C" w:rsidRDefault="00B0072A" w:rsidP="00E81C5B">
            <w:pPr>
              <w:contextualSpacing/>
              <w:rPr>
                <w:rFonts w:ascii="Calibri" w:hAnsi="Calibri"/>
                <w:b/>
                <w:sz w:val="22"/>
              </w:rPr>
            </w:pPr>
          </w:p>
        </w:tc>
      </w:tr>
      <w:tr w:rsidR="00B0072A" w:rsidRPr="007C033C" w14:paraId="5682CA97" w14:textId="77777777" w:rsidTr="00E81C5B">
        <w:tc>
          <w:tcPr>
            <w:tcW w:w="835" w:type="dxa"/>
          </w:tcPr>
          <w:p w14:paraId="41829605" w14:textId="77777777" w:rsidR="00B0072A" w:rsidRPr="002C71AD" w:rsidRDefault="00B0072A" w:rsidP="00E81C5B">
            <w:pPr>
              <w:pStyle w:val="ListParagraph"/>
              <w:numPr>
                <w:ilvl w:val="0"/>
                <w:numId w:val="27"/>
              </w:numPr>
              <w:rPr>
                <w:rFonts w:ascii="Calibri" w:hAnsi="Calibri"/>
                <w:b/>
                <w:sz w:val="22"/>
              </w:rPr>
            </w:pPr>
          </w:p>
        </w:tc>
        <w:tc>
          <w:tcPr>
            <w:tcW w:w="3960" w:type="dxa"/>
          </w:tcPr>
          <w:p w14:paraId="49C20932" w14:textId="09D3FC09" w:rsidR="00B0072A" w:rsidRPr="00B0072A" w:rsidRDefault="005B585B" w:rsidP="0062714B">
            <w:pPr>
              <w:rPr>
                <w:rFonts w:ascii="Calibri" w:hAnsi="Calibri"/>
                <w:sz w:val="22"/>
                <w:szCs w:val="22"/>
              </w:rPr>
            </w:pPr>
            <w:r w:rsidRPr="005B585B">
              <w:rPr>
                <w:rFonts w:ascii="Calibri" w:hAnsi="Calibri"/>
                <w:sz w:val="22"/>
                <w:szCs w:val="22"/>
              </w:rPr>
              <w:t>All I care about is being spammed. If our email is publicly available someone will write a bot to harvest and sell this and we will be buried in spam mails meaning any mail to this address will be treated as spam and ignore, completely defeating the whole purpose of it.</w:t>
            </w:r>
          </w:p>
        </w:tc>
        <w:tc>
          <w:tcPr>
            <w:tcW w:w="3060" w:type="dxa"/>
          </w:tcPr>
          <w:p w14:paraId="33E792AA" w14:textId="77777777" w:rsidR="00B0072A" w:rsidRPr="00402793" w:rsidRDefault="00B0072A" w:rsidP="00E81C5B">
            <w:pPr>
              <w:rPr>
                <w:rFonts w:ascii="Calibri" w:eastAsia="Times New Roman" w:hAnsi="Calibri" w:cs="Arial"/>
                <w:sz w:val="22"/>
                <w:szCs w:val="22"/>
                <w:shd w:val="clear" w:color="auto" w:fill="FFFFFF"/>
              </w:rPr>
            </w:pPr>
          </w:p>
        </w:tc>
        <w:tc>
          <w:tcPr>
            <w:tcW w:w="1608" w:type="dxa"/>
          </w:tcPr>
          <w:p w14:paraId="55F252E2" w14:textId="24789B98" w:rsidR="00B0072A"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Ian McNeil</w:t>
            </w:r>
          </w:p>
        </w:tc>
        <w:tc>
          <w:tcPr>
            <w:tcW w:w="2694" w:type="dxa"/>
          </w:tcPr>
          <w:p w14:paraId="4C627ABF" w14:textId="77777777" w:rsidR="00B0072A" w:rsidRPr="007C033C" w:rsidRDefault="00B0072A" w:rsidP="00E81C5B">
            <w:pPr>
              <w:contextualSpacing/>
              <w:rPr>
                <w:rFonts w:ascii="Calibri" w:hAnsi="Calibri"/>
                <w:sz w:val="22"/>
              </w:rPr>
            </w:pPr>
          </w:p>
        </w:tc>
        <w:tc>
          <w:tcPr>
            <w:tcW w:w="2436" w:type="dxa"/>
          </w:tcPr>
          <w:p w14:paraId="790BD8A2" w14:textId="77777777" w:rsidR="00B0072A" w:rsidRPr="007C033C" w:rsidRDefault="00B0072A" w:rsidP="00E81C5B">
            <w:pPr>
              <w:contextualSpacing/>
              <w:rPr>
                <w:rFonts w:ascii="Calibri" w:hAnsi="Calibri"/>
                <w:b/>
                <w:sz w:val="22"/>
              </w:rPr>
            </w:pPr>
          </w:p>
        </w:tc>
      </w:tr>
      <w:tr w:rsidR="005B585B" w:rsidRPr="007C033C" w14:paraId="52A9B387" w14:textId="77777777" w:rsidTr="00E81C5B">
        <w:tc>
          <w:tcPr>
            <w:tcW w:w="835" w:type="dxa"/>
          </w:tcPr>
          <w:p w14:paraId="29CB5127"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77F518DC" w14:textId="28D0D3F2" w:rsidR="005B585B" w:rsidRPr="005B585B" w:rsidRDefault="005B585B" w:rsidP="0062714B">
            <w:pPr>
              <w:rPr>
                <w:rFonts w:ascii="Calibri" w:hAnsi="Calibri"/>
                <w:sz w:val="22"/>
                <w:szCs w:val="22"/>
              </w:rPr>
            </w:pPr>
            <w:r w:rsidRPr="005B585B">
              <w:rPr>
                <w:rFonts w:ascii="Calibri" w:hAnsi="Calibri"/>
                <w:sz w:val="22"/>
                <w:szCs w:val="22"/>
              </w:rPr>
              <w:t>If the Registrar's criteria has been met, the Disclosure and/or Publication of the WHOIS data to a non-law enforcement third-party should be limited to the equivalent of a Public Records search. For example, in the United States you can search the public business records of the California Secretary of State. A search for Google Inc. discloses the entity name and mailing address. But it does not expose the private email address or phone numbers of the business owner or it's employees. In addition to the basic contact information the public business records search includes the "Agent for Service of Process" which is the legal representative of the entity. I assert the ICANN P/P Service Regulations should adopt a similar policy directing Registrar's to only disclose basic contact information and "Agent for Service of Process" contact information to non-law enforcement third-party.</w:t>
            </w:r>
          </w:p>
        </w:tc>
        <w:tc>
          <w:tcPr>
            <w:tcW w:w="3060" w:type="dxa"/>
          </w:tcPr>
          <w:p w14:paraId="10C7AC02"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571E7469" w14:textId="6E5FB670"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Reid Baker</w:t>
            </w:r>
          </w:p>
        </w:tc>
        <w:tc>
          <w:tcPr>
            <w:tcW w:w="2694" w:type="dxa"/>
          </w:tcPr>
          <w:p w14:paraId="4664B603" w14:textId="77777777" w:rsidR="005B585B" w:rsidRPr="007C033C" w:rsidRDefault="005B585B" w:rsidP="00E81C5B">
            <w:pPr>
              <w:contextualSpacing/>
              <w:rPr>
                <w:rFonts w:ascii="Calibri" w:hAnsi="Calibri"/>
                <w:sz w:val="22"/>
              </w:rPr>
            </w:pPr>
          </w:p>
        </w:tc>
        <w:tc>
          <w:tcPr>
            <w:tcW w:w="2436" w:type="dxa"/>
          </w:tcPr>
          <w:p w14:paraId="20A77113" w14:textId="77777777" w:rsidR="005B585B" w:rsidRPr="007C033C" w:rsidRDefault="005B585B" w:rsidP="00E81C5B">
            <w:pPr>
              <w:contextualSpacing/>
              <w:rPr>
                <w:rFonts w:ascii="Calibri" w:hAnsi="Calibri"/>
                <w:b/>
                <w:sz w:val="22"/>
              </w:rPr>
            </w:pPr>
          </w:p>
        </w:tc>
      </w:tr>
      <w:tr w:rsidR="005B585B" w:rsidRPr="007C033C" w14:paraId="23BB39BB" w14:textId="77777777" w:rsidTr="00E81C5B">
        <w:tc>
          <w:tcPr>
            <w:tcW w:w="835" w:type="dxa"/>
          </w:tcPr>
          <w:p w14:paraId="060D6F88"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4C7C59DF" w14:textId="4768554F" w:rsidR="005B585B" w:rsidRPr="005B585B" w:rsidRDefault="005B585B" w:rsidP="0062714B">
            <w:pPr>
              <w:rPr>
                <w:rFonts w:ascii="Calibri" w:hAnsi="Calibri"/>
                <w:sz w:val="22"/>
                <w:szCs w:val="22"/>
              </w:rPr>
            </w:pPr>
            <w:r w:rsidRPr="005B585B">
              <w:rPr>
                <w:rFonts w:ascii="Calibri" w:hAnsi="Calibri"/>
                <w:sz w:val="22"/>
                <w:szCs w:val="22"/>
              </w:rPr>
              <w:t>I think the language is too loose, and opens individuals up to frivolous litigation from IP rights owners and third-party agencies whose contracted relationship is to expand IP brand presence.</w:t>
            </w:r>
          </w:p>
        </w:tc>
        <w:tc>
          <w:tcPr>
            <w:tcW w:w="3060" w:type="dxa"/>
          </w:tcPr>
          <w:p w14:paraId="599092F5"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1A629DC5" w14:textId="089DA2DA"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Adam Creighton</w:t>
            </w:r>
          </w:p>
        </w:tc>
        <w:tc>
          <w:tcPr>
            <w:tcW w:w="2694" w:type="dxa"/>
          </w:tcPr>
          <w:p w14:paraId="544B3D19" w14:textId="77777777" w:rsidR="005B585B" w:rsidRPr="007C033C" w:rsidRDefault="005B585B" w:rsidP="00E81C5B">
            <w:pPr>
              <w:contextualSpacing/>
              <w:rPr>
                <w:rFonts w:ascii="Calibri" w:hAnsi="Calibri"/>
                <w:sz w:val="22"/>
              </w:rPr>
            </w:pPr>
          </w:p>
        </w:tc>
        <w:tc>
          <w:tcPr>
            <w:tcW w:w="2436" w:type="dxa"/>
          </w:tcPr>
          <w:p w14:paraId="6573BA34" w14:textId="77777777" w:rsidR="005B585B" w:rsidRPr="007C033C" w:rsidRDefault="005B585B" w:rsidP="00E81C5B">
            <w:pPr>
              <w:contextualSpacing/>
              <w:rPr>
                <w:rFonts w:ascii="Calibri" w:hAnsi="Calibri"/>
                <w:b/>
                <w:sz w:val="22"/>
              </w:rPr>
            </w:pPr>
          </w:p>
        </w:tc>
      </w:tr>
      <w:tr w:rsidR="005B585B" w:rsidRPr="007C033C" w14:paraId="19BAC62C" w14:textId="77777777" w:rsidTr="00E81C5B">
        <w:tc>
          <w:tcPr>
            <w:tcW w:w="835" w:type="dxa"/>
          </w:tcPr>
          <w:p w14:paraId="192264BF"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577FBFE3" w14:textId="5B5F3490" w:rsidR="005B585B" w:rsidRPr="005B585B" w:rsidRDefault="005B585B" w:rsidP="0062714B">
            <w:pPr>
              <w:rPr>
                <w:rFonts w:ascii="Calibri" w:hAnsi="Calibri"/>
                <w:sz w:val="22"/>
                <w:szCs w:val="22"/>
              </w:rPr>
            </w:pPr>
            <w:r w:rsidRPr="005B585B">
              <w:rPr>
                <w:rFonts w:ascii="Calibri" w:hAnsi="Calibri"/>
                <w:sz w:val="22"/>
                <w:szCs w:val="22"/>
              </w:rPr>
              <w:t>This disclosure framework destroys any privacy the person using the service may have had. When refusing the request to disclose. This is ludicrous.</w:t>
            </w:r>
          </w:p>
        </w:tc>
        <w:tc>
          <w:tcPr>
            <w:tcW w:w="3060" w:type="dxa"/>
          </w:tcPr>
          <w:p w14:paraId="5AF152C3"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7700E0DF" w14:textId="6E70664E"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Arthur Zonnenberg</w:t>
            </w:r>
          </w:p>
        </w:tc>
        <w:tc>
          <w:tcPr>
            <w:tcW w:w="2694" w:type="dxa"/>
          </w:tcPr>
          <w:p w14:paraId="77BFC9A3" w14:textId="77777777" w:rsidR="005B585B" w:rsidRPr="007C033C" w:rsidRDefault="005B585B" w:rsidP="00E81C5B">
            <w:pPr>
              <w:contextualSpacing/>
              <w:rPr>
                <w:rFonts w:ascii="Calibri" w:hAnsi="Calibri"/>
                <w:sz w:val="22"/>
              </w:rPr>
            </w:pPr>
          </w:p>
        </w:tc>
        <w:tc>
          <w:tcPr>
            <w:tcW w:w="2436" w:type="dxa"/>
          </w:tcPr>
          <w:p w14:paraId="13A77185" w14:textId="77777777" w:rsidR="005B585B" w:rsidRPr="007C033C" w:rsidRDefault="005B585B" w:rsidP="00E81C5B">
            <w:pPr>
              <w:contextualSpacing/>
              <w:rPr>
                <w:rFonts w:ascii="Calibri" w:hAnsi="Calibri"/>
                <w:b/>
                <w:sz w:val="22"/>
              </w:rPr>
            </w:pPr>
          </w:p>
        </w:tc>
      </w:tr>
      <w:tr w:rsidR="005B585B" w:rsidRPr="007C033C" w14:paraId="561AEF13" w14:textId="77777777" w:rsidTr="00E81C5B">
        <w:tc>
          <w:tcPr>
            <w:tcW w:w="835" w:type="dxa"/>
          </w:tcPr>
          <w:p w14:paraId="75CBE910"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2AB90B04" w14:textId="05436E99" w:rsidR="005B585B" w:rsidRPr="005B585B" w:rsidRDefault="005B585B" w:rsidP="0062714B">
            <w:pPr>
              <w:rPr>
                <w:rFonts w:ascii="Calibri" w:hAnsi="Calibri"/>
                <w:sz w:val="22"/>
                <w:szCs w:val="22"/>
              </w:rPr>
            </w:pPr>
            <w:r w:rsidRPr="005B585B">
              <w:rPr>
                <w:rFonts w:ascii="Calibri" w:hAnsi="Calibri"/>
                <w:sz w:val="22"/>
                <w:szCs w:val="22"/>
              </w:rPr>
              <w:t>In this age of deteriorating privacy protections, such moves are detrimental and harmful for people's freedom and right to privacy. It's appalling that such moves are even being considered.</w:t>
            </w:r>
          </w:p>
        </w:tc>
        <w:tc>
          <w:tcPr>
            <w:tcW w:w="3060" w:type="dxa"/>
          </w:tcPr>
          <w:p w14:paraId="17E86A34"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4A3F06E3" w14:textId="06F68C6C"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Anand S.</w:t>
            </w:r>
          </w:p>
        </w:tc>
        <w:tc>
          <w:tcPr>
            <w:tcW w:w="2694" w:type="dxa"/>
          </w:tcPr>
          <w:p w14:paraId="6EF7FC91" w14:textId="77777777" w:rsidR="005B585B" w:rsidRPr="007C033C" w:rsidRDefault="005B585B" w:rsidP="00E81C5B">
            <w:pPr>
              <w:contextualSpacing/>
              <w:rPr>
                <w:rFonts w:ascii="Calibri" w:hAnsi="Calibri"/>
                <w:sz w:val="22"/>
              </w:rPr>
            </w:pPr>
          </w:p>
        </w:tc>
        <w:tc>
          <w:tcPr>
            <w:tcW w:w="2436" w:type="dxa"/>
          </w:tcPr>
          <w:p w14:paraId="3AA1392B" w14:textId="77777777" w:rsidR="005B585B" w:rsidRPr="007C033C" w:rsidRDefault="005B585B" w:rsidP="00E81C5B">
            <w:pPr>
              <w:contextualSpacing/>
              <w:rPr>
                <w:rFonts w:ascii="Calibri" w:hAnsi="Calibri"/>
                <w:b/>
                <w:sz w:val="22"/>
              </w:rPr>
            </w:pPr>
          </w:p>
        </w:tc>
      </w:tr>
      <w:tr w:rsidR="005B585B" w:rsidRPr="007C033C" w14:paraId="46D3A943" w14:textId="77777777" w:rsidTr="00E81C5B">
        <w:tc>
          <w:tcPr>
            <w:tcW w:w="835" w:type="dxa"/>
          </w:tcPr>
          <w:p w14:paraId="5A16EAED"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3C3F5D8A" w14:textId="16533DAB" w:rsidR="005B585B" w:rsidRPr="005B585B" w:rsidRDefault="005B585B" w:rsidP="0062714B">
            <w:pPr>
              <w:rPr>
                <w:rFonts w:ascii="Calibri" w:hAnsi="Calibri"/>
                <w:sz w:val="22"/>
                <w:szCs w:val="22"/>
              </w:rPr>
            </w:pPr>
            <w:r w:rsidRPr="005B585B">
              <w:rPr>
                <w:rFonts w:ascii="Calibri" w:hAnsi="Calibri"/>
                <w:sz w:val="22"/>
                <w:szCs w:val="22"/>
              </w:rPr>
              <w:t>It allows too much leeway for rights-holders, who already have a lot of opportunities for misusing the rights they are already granted. In particular, laying the burden of proof on the accused is not acceptable, and will likely be abused as the DMCA is.</w:t>
            </w:r>
          </w:p>
        </w:tc>
        <w:tc>
          <w:tcPr>
            <w:tcW w:w="3060" w:type="dxa"/>
          </w:tcPr>
          <w:p w14:paraId="65F44FFF"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68ADD3CF" w14:textId="69281466"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Lucas Stadler</w:t>
            </w:r>
          </w:p>
        </w:tc>
        <w:tc>
          <w:tcPr>
            <w:tcW w:w="2694" w:type="dxa"/>
          </w:tcPr>
          <w:p w14:paraId="6FA394CC" w14:textId="77777777" w:rsidR="005B585B" w:rsidRPr="007C033C" w:rsidRDefault="005B585B" w:rsidP="00E81C5B">
            <w:pPr>
              <w:contextualSpacing/>
              <w:rPr>
                <w:rFonts w:ascii="Calibri" w:hAnsi="Calibri"/>
                <w:sz w:val="22"/>
              </w:rPr>
            </w:pPr>
          </w:p>
        </w:tc>
        <w:tc>
          <w:tcPr>
            <w:tcW w:w="2436" w:type="dxa"/>
          </w:tcPr>
          <w:p w14:paraId="719045D3" w14:textId="77777777" w:rsidR="005B585B" w:rsidRPr="007C033C" w:rsidRDefault="005B585B" w:rsidP="00E81C5B">
            <w:pPr>
              <w:contextualSpacing/>
              <w:rPr>
                <w:rFonts w:ascii="Calibri" w:hAnsi="Calibri"/>
                <w:b/>
                <w:sz w:val="22"/>
              </w:rPr>
            </w:pPr>
          </w:p>
        </w:tc>
      </w:tr>
      <w:tr w:rsidR="005B585B" w:rsidRPr="007C033C" w14:paraId="0D4F8006" w14:textId="77777777" w:rsidTr="00E81C5B">
        <w:tc>
          <w:tcPr>
            <w:tcW w:w="835" w:type="dxa"/>
          </w:tcPr>
          <w:p w14:paraId="34B407FE"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79A37389" w14:textId="72956A9E" w:rsidR="005B585B" w:rsidRPr="005B585B" w:rsidRDefault="005B585B" w:rsidP="0062714B">
            <w:pPr>
              <w:rPr>
                <w:rFonts w:ascii="Calibri" w:hAnsi="Calibri"/>
                <w:sz w:val="22"/>
                <w:szCs w:val="22"/>
              </w:rPr>
            </w:pPr>
            <w:r w:rsidRPr="005B585B">
              <w:rPr>
                <w:rFonts w:ascii="Calibri" w:hAnsi="Calibri"/>
                <w:sz w:val="22"/>
                <w:szCs w:val="22"/>
              </w:rPr>
              <w:t>These types of communication should not have any special treatment over other types. Existing legal procedures do not require assistance from what should be a neutral service provider.</w:t>
            </w:r>
          </w:p>
        </w:tc>
        <w:tc>
          <w:tcPr>
            <w:tcW w:w="3060" w:type="dxa"/>
          </w:tcPr>
          <w:p w14:paraId="0E944DED"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6A7E3A03" w14:textId="41A38790"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Finn Ellis</w:t>
            </w:r>
          </w:p>
        </w:tc>
        <w:tc>
          <w:tcPr>
            <w:tcW w:w="2694" w:type="dxa"/>
          </w:tcPr>
          <w:p w14:paraId="078478C8" w14:textId="77777777" w:rsidR="005B585B" w:rsidRPr="007C033C" w:rsidRDefault="005B585B" w:rsidP="00E81C5B">
            <w:pPr>
              <w:contextualSpacing/>
              <w:rPr>
                <w:rFonts w:ascii="Calibri" w:hAnsi="Calibri"/>
                <w:sz w:val="22"/>
              </w:rPr>
            </w:pPr>
          </w:p>
        </w:tc>
        <w:tc>
          <w:tcPr>
            <w:tcW w:w="2436" w:type="dxa"/>
          </w:tcPr>
          <w:p w14:paraId="001A5585" w14:textId="77777777" w:rsidR="005B585B" w:rsidRPr="007C033C" w:rsidRDefault="005B585B" w:rsidP="00E81C5B">
            <w:pPr>
              <w:contextualSpacing/>
              <w:rPr>
                <w:rFonts w:ascii="Calibri" w:hAnsi="Calibri"/>
                <w:b/>
                <w:sz w:val="22"/>
              </w:rPr>
            </w:pPr>
          </w:p>
        </w:tc>
      </w:tr>
      <w:tr w:rsidR="005B585B" w:rsidRPr="007C033C" w14:paraId="142A1CA6" w14:textId="77777777" w:rsidTr="00E81C5B">
        <w:tc>
          <w:tcPr>
            <w:tcW w:w="835" w:type="dxa"/>
          </w:tcPr>
          <w:p w14:paraId="0B3A83B0"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5EDAAE02" w14:textId="16C06281" w:rsidR="005B585B" w:rsidRPr="005B585B" w:rsidRDefault="005B585B" w:rsidP="0062714B">
            <w:pPr>
              <w:rPr>
                <w:rFonts w:ascii="Calibri" w:hAnsi="Calibri"/>
                <w:sz w:val="22"/>
                <w:szCs w:val="22"/>
              </w:rPr>
            </w:pPr>
            <w:r w:rsidRPr="005B585B">
              <w:rPr>
                <w:rFonts w:ascii="Calibri" w:hAnsi="Calibri"/>
                <w:sz w:val="22"/>
                <w:szCs w:val="22"/>
              </w:rPr>
              <w:t>Existing legal systems handle these issues just fine.</w:t>
            </w:r>
          </w:p>
        </w:tc>
        <w:tc>
          <w:tcPr>
            <w:tcW w:w="3060" w:type="dxa"/>
          </w:tcPr>
          <w:p w14:paraId="06526FFA"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239E76DB" w14:textId="6D8FA123"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Holmes</w:t>
            </w:r>
          </w:p>
        </w:tc>
        <w:tc>
          <w:tcPr>
            <w:tcW w:w="2694" w:type="dxa"/>
          </w:tcPr>
          <w:p w14:paraId="11426968" w14:textId="77777777" w:rsidR="005B585B" w:rsidRPr="007C033C" w:rsidRDefault="005B585B" w:rsidP="00E81C5B">
            <w:pPr>
              <w:contextualSpacing/>
              <w:rPr>
                <w:rFonts w:ascii="Calibri" w:hAnsi="Calibri"/>
                <w:sz w:val="22"/>
              </w:rPr>
            </w:pPr>
          </w:p>
        </w:tc>
        <w:tc>
          <w:tcPr>
            <w:tcW w:w="2436" w:type="dxa"/>
          </w:tcPr>
          <w:p w14:paraId="3BD276F3" w14:textId="77777777" w:rsidR="005B585B" w:rsidRPr="007C033C" w:rsidRDefault="005B585B" w:rsidP="00E81C5B">
            <w:pPr>
              <w:contextualSpacing/>
              <w:rPr>
                <w:rFonts w:ascii="Calibri" w:hAnsi="Calibri"/>
                <w:b/>
                <w:sz w:val="22"/>
              </w:rPr>
            </w:pPr>
          </w:p>
        </w:tc>
      </w:tr>
      <w:tr w:rsidR="005B585B" w:rsidRPr="007C033C" w14:paraId="71CD9BE2" w14:textId="77777777" w:rsidTr="00E81C5B">
        <w:tc>
          <w:tcPr>
            <w:tcW w:w="835" w:type="dxa"/>
          </w:tcPr>
          <w:p w14:paraId="7773EC7A"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3544020D" w14:textId="6803D365" w:rsidR="005B585B" w:rsidRPr="005B585B" w:rsidRDefault="005B585B" w:rsidP="0062714B">
            <w:pPr>
              <w:rPr>
                <w:rFonts w:ascii="Calibri" w:hAnsi="Calibri"/>
                <w:sz w:val="22"/>
                <w:szCs w:val="22"/>
              </w:rPr>
            </w:pPr>
            <w:r w:rsidRPr="005B585B">
              <w:rPr>
                <w:rFonts w:ascii="Calibri" w:hAnsi="Calibri"/>
                <w:sz w:val="22"/>
                <w:szCs w:val="22"/>
              </w:rPr>
              <w:t>It provides no way of "blacklisting" IP holders that use the process abusively. (For example, AF HOLDINGS, LLC, v. DOES 1 – 1058) There should be a global blacklist of "vexatious litigants" maintained by ICANN, and a P/P provider responding to a request from one of these organizations would not be required to disclose any information about their customers</w:t>
            </w:r>
            <w:r>
              <w:rPr>
                <w:rFonts w:ascii="Calibri" w:hAnsi="Calibri"/>
                <w:sz w:val="22"/>
                <w:szCs w:val="22"/>
              </w:rPr>
              <w:t>.</w:t>
            </w:r>
          </w:p>
        </w:tc>
        <w:tc>
          <w:tcPr>
            <w:tcW w:w="3060" w:type="dxa"/>
          </w:tcPr>
          <w:p w14:paraId="0D0F7EC6"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267F2170" w14:textId="65CDD17E"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Nick O’Dell</w:t>
            </w:r>
          </w:p>
        </w:tc>
        <w:tc>
          <w:tcPr>
            <w:tcW w:w="2694" w:type="dxa"/>
          </w:tcPr>
          <w:p w14:paraId="76327F4E" w14:textId="77777777" w:rsidR="005B585B" w:rsidRPr="007C033C" w:rsidRDefault="005B585B" w:rsidP="00E81C5B">
            <w:pPr>
              <w:contextualSpacing/>
              <w:rPr>
                <w:rFonts w:ascii="Calibri" w:hAnsi="Calibri"/>
                <w:sz w:val="22"/>
              </w:rPr>
            </w:pPr>
          </w:p>
        </w:tc>
        <w:tc>
          <w:tcPr>
            <w:tcW w:w="2436" w:type="dxa"/>
          </w:tcPr>
          <w:p w14:paraId="0A4AC754" w14:textId="77777777" w:rsidR="005B585B" w:rsidRPr="007C033C" w:rsidRDefault="005B585B" w:rsidP="00E81C5B">
            <w:pPr>
              <w:contextualSpacing/>
              <w:rPr>
                <w:rFonts w:ascii="Calibri" w:hAnsi="Calibri"/>
                <w:b/>
                <w:sz w:val="22"/>
              </w:rPr>
            </w:pPr>
          </w:p>
        </w:tc>
      </w:tr>
      <w:tr w:rsidR="005B585B" w:rsidRPr="007C033C" w14:paraId="5FCF44C3" w14:textId="77777777" w:rsidTr="00E81C5B">
        <w:tc>
          <w:tcPr>
            <w:tcW w:w="835" w:type="dxa"/>
          </w:tcPr>
          <w:p w14:paraId="15C9897C"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6FAC135D" w14:textId="5ED38C06" w:rsidR="005B585B" w:rsidRPr="005B585B" w:rsidRDefault="005B585B" w:rsidP="0062714B">
            <w:pPr>
              <w:rPr>
                <w:rFonts w:ascii="Calibri" w:hAnsi="Calibri"/>
                <w:sz w:val="22"/>
                <w:szCs w:val="22"/>
              </w:rPr>
            </w:pPr>
            <w:r>
              <w:rPr>
                <w:rFonts w:ascii="Calibri" w:hAnsi="Calibri"/>
                <w:sz w:val="22"/>
                <w:szCs w:val="22"/>
              </w:rPr>
              <w:t>F---- off</w:t>
            </w:r>
          </w:p>
        </w:tc>
        <w:tc>
          <w:tcPr>
            <w:tcW w:w="3060" w:type="dxa"/>
          </w:tcPr>
          <w:p w14:paraId="376FD544"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58555C8E" w14:textId="74AFBB1C"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Alan</w:t>
            </w:r>
          </w:p>
        </w:tc>
        <w:tc>
          <w:tcPr>
            <w:tcW w:w="2694" w:type="dxa"/>
          </w:tcPr>
          <w:p w14:paraId="5DCC9F08" w14:textId="77777777" w:rsidR="005B585B" w:rsidRPr="007C033C" w:rsidRDefault="005B585B" w:rsidP="00E81C5B">
            <w:pPr>
              <w:contextualSpacing/>
              <w:rPr>
                <w:rFonts w:ascii="Calibri" w:hAnsi="Calibri"/>
                <w:sz w:val="22"/>
              </w:rPr>
            </w:pPr>
          </w:p>
        </w:tc>
        <w:tc>
          <w:tcPr>
            <w:tcW w:w="2436" w:type="dxa"/>
          </w:tcPr>
          <w:p w14:paraId="0DFDE1E2" w14:textId="77777777" w:rsidR="005B585B" w:rsidRPr="007C033C" w:rsidRDefault="005B585B" w:rsidP="00E81C5B">
            <w:pPr>
              <w:contextualSpacing/>
              <w:rPr>
                <w:rFonts w:ascii="Calibri" w:hAnsi="Calibri"/>
                <w:b/>
                <w:sz w:val="22"/>
              </w:rPr>
            </w:pPr>
          </w:p>
        </w:tc>
      </w:tr>
    </w:tbl>
    <w:p w14:paraId="1768C45F" w14:textId="0CBB7A25" w:rsidR="00BA3D62" w:rsidRDefault="00BA3D62"/>
    <w:p w14:paraId="1F170BE5" w14:textId="77777777" w:rsidR="00BA3D62" w:rsidRDefault="00BA3D62"/>
    <w:p w14:paraId="52300F6E" w14:textId="6F83E93B" w:rsidR="00BA3D62" w:rsidRPr="00BA3D62" w:rsidRDefault="00BA3D62">
      <w:pPr>
        <w:rPr>
          <w:rFonts w:asciiTheme="majorHAnsi" w:hAnsiTheme="majorHAnsi"/>
          <w:b/>
        </w:rPr>
      </w:pPr>
      <w:r w:rsidRPr="00BA3D62">
        <w:rPr>
          <w:rFonts w:asciiTheme="majorHAnsi" w:hAnsiTheme="majorHAnsi"/>
          <w:b/>
        </w:rPr>
        <w:t xml:space="preserve">II. </w:t>
      </w:r>
      <w:r w:rsidR="0062714B">
        <w:rPr>
          <w:rFonts w:asciiTheme="majorHAnsi" w:hAnsiTheme="majorHAnsi"/>
          <w:b/>
          <w:sz w:val="22"/>
          <w:szCs w:val="22"/>
        </w:rPr>
        <w:t>ON AL</w:t>
      </w:r>
      <w:r w:rsidR="006B26EA">
        <w:rPr>
          <w:rFonts w:asciiTheme="majorHAnsi" w:hAnsiTheme="majorHAnsi"/>
          <w:b/>
          <w:sz w:val="22"/>
          <w:szCs w:val="22"/>
        </w:rPr>
        <w:t>TERNATIVE FORMULATIONS / LANGUAGE FOR THE ILLUSTRATIVE DISCLOSURE FRAMEWORK</w:t>
      </w:r>
    </w:p>
    <w:p w14:paraId="18CCD47E" w14:textId="77777777" w:rsidR="00BA3D62" w:rsidRDefault="00BA3D62"/>
    <w:tbl>
      <w:tblP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835"/>
        <w:gridCol w:w="3960"/>
        <w:gridCol w:w="3060"/>
        <w:gridCol w:w="1608"/>
        <w:gridCol w:w="2694"/>
        <w:gridCol w:w="2436"/>
      </w:tblGrid>
      <w:tr w:rsidR="00D4090A" w:rsidRPr="007C033C" w14:paraId="21C86885" w14:textId="098893F3" w:rsidTr="00D4090A">
        <w:tc>
          <w:tcPr>
            <w:tcW w:w="14593" w:type="dxa"/>
            <w:gridSpan w:val="6"/>
            <w:shd w:val="clear" w:color="auto" w:fill="E0E0E0"/>
          </w:tcPr>
          <w:p w14:paraId="59CCD306" w14:textId="1FCA73C1" w:rsidR="00D4090A" w:rsidRPr="00F87BD2" w:rsidRDefault="00D4090A" w:rsidP="006B26EA">
            <w:pPr>
              <w:rPr>
                <w:rFonts w:ascii="Calibri" w:hAnsi="Calibri" w:cs="Calibri"/>
                <w:b/>
                <w:sz w:val="22"/>
                <w:szCs w:val="22"/>
              </w:rPr>
            </w:pPr>
            <w:r>
              <w:rPr>
                <w:rFonts w:ascii="Calibri" w:hAnsi="Calibri" w:cs="Calibri"/>
                <w:b/>
                <w:sz w:val="22"/>
                <w:szCs w:val="22"/>
              </w:rPr>
              <w:t>2.</w:t>
            </w:r>
            <w:r w:rsidR="00BA3D62" w:rsidRPr="00EE664C">
              <w:rPr>
                <w:rFonts w:ascii="Calibri" w:hAnsi="Calibri"/>
                <w:b/>
                <w:sz w:val="22"/>
              </w:rPr>
              <w:t xml:space="preserve"> </w:t>
            </w:r>
            <w:r w:rsidR="006B26EA">
              <w:rPr>
                <w:rFonts w:ascii="Calibri" w:hAnsi="Calibri"/>
                <w:b/>
                <w:sz w:val="22"/>
              </w:rPr>
              <w:t>Comments on specific language</w:t>
            </w:r>
            <w:r w:rsidR="0062714B">
              <w:rPr>
                <w:rFonts w:ascii="Calibri" w:hAnsi="Calibri"/>
                <w:b/>
                <w:sz w:val="22"/>
              </w:rPr>
              <w:t xml:space="preserve"> / provisions</w:t>
            </w:r>
            <w:r w:rsidR="006B26EA">
              <w:rPr>
                <w:rFonts w:ascii="Calibri" w:hAnsi="Calibri"/>
                <w:b/>
                <w:sz w:val="22"/>
              </w:rPr>
              <w:t xml:space="preserve"> in the Illustrative Disclosure Framework</w:t>
            </w:r>
          </w:p>
        </w:tc>
      </w:tr>
      <w:tr w:rsidR="00D4090A" w:rsidRPr="007C033C" w14:paraId="122B182C" w14:textId="77777777" w:rsidTr="00D4090A">
        <w:tc>
          <w:tcPr>
            <w:tcW w:w="835" w:type="dxa"/>
          </w:tcPr>
          <w:p w14:paraId="205E79E7" w14:textId="77777777" w:rsidR="00D4090A" w:rsidRPr="002C71AD" w:rsidRDefault="00D4090A" w:rsidP="002C71AD">
            <w:pPr>
              <w:pStyle w:val="ListParagraph"/>
              <w:numPr>
                <w:ilvl w:val="0"/>
                <w:numId w:val="28"/>
              </w:numPr>
              <w:rPr>
                <w:rFonts w:ascii="Calibri" w:hAnsi="Calibri"/>
                <w:b/>
                <w:sz w:val="22"/>
              </w:rPr>
            </w:pPr>
          </w:p>
        </w:tc>
        <w:tc>
          <w:tcPr>
            <w:tcW w:w="3960" w:type="dxa"/>
          </w:tcPr>
          <w:p w14:paraId="00DBC0C2" w14:textId="1AD8CDDB" w:rsidR="0062714B" w:rsidRPr="004141E6" w:rsidRDefault="0062714B" w:rsidP="0062714B">
            <w:pPr>
              <w:keepNext/>
              <w:keepLines/>
              <w:suppressLineNumbers/>
              <w:rPr>
                <w:rFonts w:asciiTheme="majorHAnsi" w:hAnsiTheme="majorHAnsi" w:cs="Arial"/>
                <w:sz w:val="22"/>
                <w:szCs w:val="22"/>
              </w:rPr>
            </w:pPr>
            <w:r>
              <w:rPr>
                <w:rFonts w:asciiTheme="majorHAnsi" w:hAnsiTheme="majorHAnsi" w:cs="Arial"/>
                <w:sz w:val="22"/>
                <w:szCs w:val="22"/>
              </w:rPr>
              <w:t>[T]</w:t>
            </w:r>
            <w:r w:rsidRPr="004141E6">
              <w:rPr>
                <w:rFonts w:asciiTheme="majorHAnsi" w:hAnsiTheme="majorHAnsi" w:cs="Arial"/>
                <w:sz w:val="22"/>
                <w:szCs w:val="22"/>
              </w:rPr>
              <w:t>he standard proposed for revelation in Annex E for such cases – a</w:t>
            </w:r>
          </w:p>
          <w:p w14:paraId="097E8D4D" w14:textId="77777777" w:rsidR="0062714B" w:rsidRPr="004141E6" w:rsidRDefault="0062714B" w:rsidP="0062714B">
            <w:pPr>
              <w:keepNext/>
              <w:keepLines/>
              <w:suppressLineNumbers/>
              <w:rPr>
                <w:rFonts w:asciiTheme="majorHAnsi" w:hAnsiTheme="majorHAnsi" w:cs="Arial"/>
                <w:sz w:val="22"/>
                <w:szCs w:val="22"/>
              </w:rPr>
            </w:pPr>
            <w:r>
              <w:rPr>
                <w:rFonts w:asciiTheme="majorHAnsi" w:hAnsiTheme="majorHAnsi" w:cs="Arial"/>
                <w:sz w:val="22"/>
                <w:szCs w:val="22"/>
              </w:rPr>
              <w:t>“good faith statement” -</w:t>
            </w:r>
            <w:r w:rsidRPr="004141E6">
              <w:rPr>
                <w:rFonts w:asciiTheme="majorHAnsi" w:hAnsiTheme="majorHAnsi" w:cs="Arial"/>
                <w:sz w:val="22"/>
                <w:szCs w:val="22"/>
              </w:rPr>
              <w:t xml:space="preserve"> is significantly inferior to the “bad faith</w:t>
            </w:r>
            <w:r>
              <w:rPr>
                <w:rFonts w:asciiTheme="majorHAnsi" w:hAnsiTheme="majorHAnsi" w:cs="Arial"/>
                <w:sz w:val="22"/>
                <w:szCs w:val="22"/>
              </w:rPr>
              <w:t xml:space="preserve"> </w:t>
            </w:r>
            <w:r w:rsidRPr="004141E6">
              <w:rPr>
                <w:rFonts w:asciiTheme="majorHAnsi" w:hAnsiTheme="majorHAnsi" w:cs="Arial"/>
                <w:sz w:val="22"/>
                <w:szCs w:val="22"/>
              </w:rPr>
              <w:t>registration and use” standard for prevailing in a UDRP or URS. In addition, such</w:t>
            </w:r>
            <w:r>
              <w:rPr>
                <w:rFonts w:asciiTheme="majorHAnsi" w:hAnsiTheme="majorHAnsi" w:cs="Arial"/>
                <w:sz w:val="22"/>
                <w:szCs w:val="22"/>
              </w:rPr>
              <w:t xml:space="preserve"> r</w:t>
            </w:r>
            <w:r w:rsidRPr="004141E6">
              <w:rPr>
                <w:rFonts w:asciiTheme="majorHAnsi" w:hAnsiTheme="majorHAnsi" w:cs="Arial"/>
                <w:sz w:val="22"/>
                <w:szCs w:val="22"/>
              </w:rPr>
              <w:t>equests could be filed by “authorized representative of the trademark holder”</w:t>
            </w:r>
            <w:r>
              <w:rPr>
                <w:rFonts w:asciiTheme="majorHAnsi" w:hAnsiTheme="majorHAnsi" w:cs="Arial"/>
                <w:sz w:val="22"/>
                <w:szCs w:val="22"/>
              </w:rPr>
              <w:t xml:space="preserve"> </w:t>
            </w:r>
            <w:r w:rsidRPr="004141E6">
              <w:rPr>
                <w:rFonts w:asciiTheme="majorHAnsi" w:hAnsiTheme="majorHAnsi" w:cs="Arial"/>
                <w:sz w:val="22"/>
                <w:szCs w:val="22"/>
              </w:rPr>
              <w:t>who are not attorneys and therefore not experts in trademark law, and not held to</w:t>
            </w:r>
            <w:r>
              <w:rPr>
                <w:rFonts w:asciiTheme="majorHAnsi" w:hAnsiTheme="majorHAnsi" w:cs="Arial"/>
                <w:sz w:val="22"/>
                <w:szCs w:val="22"/>
              </w:rPr>
              <w:t xml:space="preserve"> </w:t>
            </w:r>
            <w:r w:rsidRPr="004141E6">
              <w:rPr>
                <w:rFonts w:asciiTheme="majorHAnsi" w:hAnsiTheme="majorHAnsi" w:cs="Arial"/>
                <w:sz w:val="22"/>
                <w:szCs w:val="22"/>
              </w:rPr>
              <w:t>legal practice ethical requirements and potential sanctions</w:t>
            </w:r>
            <w:r>
              <w:rPr>
                <w:rFonts w:asciiTheme="majorHAnsi" w:hAnsiTheme="majorHAnsi" w:cs="Arial"/>
                <w:sz w:val="22"/>
                <w:szCs w:val="22"/>
              </w:rPr>
              <w:t>.</w:t>
            </w:r>
          </w:p>
          <w:p w14:paraId="56FF66A3" w14:textId="77777777" w:rsidR="0062714B" w:rsidRPr="004141E6" w:rsidRDefault="0062714B" w:rsidP="0062714B">
            <w:pPr>
              <w:keepNext/>
              <w:keepLines/>
              <w:suppressLineNumbers/>
              <w:rPr>
                <w:rFonts w:asciiTheme="majorHAnsi" w:hAnsiTheme="majorHAnsi" w:cs="Arial"/>
                <w:sz w:val="22"/>
                <w:szCs w:val="22"/>
              </w:rPr>
            </w:pPr>
          </w:p>
          <w:p w14:paraId="1F11723E" w14:textId="77777777" w:rsidR="0062714B" w:rsidRPr="00F61FC0" w:rsidRDefault="0062714B" w:rsidP="0062714B">
            <w:pPr>
              <w:rPr>
                <w:rFonts w:asciiTheme="majorHAnsi" w:eastAsia="Times New Roman" w:hAnsiTheme="majorHAnsi"/>
                <w:sz w:val="22"/>
                <w:szCs w:val="22"/>
              </w:rPr>
            </w:pPr>
            <w:r w:rsidRPr="004141E6">
              <w:rPr>
                <w:rFonts w:asciiTheme="majorHAnsi" w:eastAsia="Times New Roman" w:hAnsiTheme="majorHAnsi"/>
                <w:sz w:val="22"/>
                <w:szCs w:val="22"/>
              </w:rPr>
              <w:t>In regard to situation where a domain name resolves to website where trademark is allegedly infringed, we also oppose the proposed provisions of Annex E.</w:t>
            </w:r>
          </w:p>
          <w:p w14:paraId="7B58696B" w14:textId="77777777" w:rsidR="0062714B" w:rsidRDefault="0062714B" w:rsidP="0062714B">
            <w:pPr>
              <w:rPr>
                <w:rFonts w:asciiTheme="majorHAnsi" w:hAnsiTheme="majorHAnsi" w:cs="Arial"/>
                <w:b/>
                <w:sz w:val="22"/>
                <w:szCs w:val="22"/>
              </w:rPr>
            </w:pPr>
          </w:p>
          <w:p w14:paraId="09D13738" w14:textId="77777777" w:rsidR="0062714B" w:rsidRPr="004141E6" w:rsidRDefault="0062714B" w:rsidP="0062714B">
            <w:pPr>
              <w:rPr>
                <w:rFonts w:asciiTheme="majorHAnsi" w:eastAsia="Times New Roman" w:hAnsiTheme="majorHAnsi"/>
                <w:sz w:val="22"/>
                <w:szCs w:val="22"/>
              </w:rPr>
            </w:pPr>
            <w:r w:rsidRPr="004141E6">
              <w:rPr>
                <w:rFonts w:asciiTheme="majorHAnsi" w:eastAsia="Times New Roman" w:hAnsiTheme="majorHAnsi"/>
                <w:sz w:val="22"/>
                <w:szCs w:val="22"/>
              </w:rPr>
              <w:t>Likewise, the proviso that the P/P provider can refuse disclosure of registrant data where “the Customer has objected to the disclosure and has provided [[adequate] [sufficient][compelling] reasons against disclosure, including without limitation a reasonable defense for its use of the trademark or copyrighted content in question] [a reasonable basis for believing (i) that it is not infringing the Requester’s claimed intellectual property rights, and/or (ii) that its use of the claimed intellectual property is defensible]” would again place the registrar P/P provider in the untenable and unsuitable position of acting as a court or expert arbitrator in regard to legal matters in which it has no competence or authority</w:t>
            </w:r>
          </w:p>
          <w:p w14:paraId="3A4010DF" w14:textId="77777777" w:rsidR="0062714B" w:rsidRPr="004141E6" w:rsidRDefault="0062714B" w:rsidP="0062714B">
            <w:pPr>
              <w:keepNext/>
              <w:keepLines/>
              <w:suppressLineNumbers/>
              <w:rPr>
                <w:rFonts w:asciiTheme="majorHAnsi" w:hAnsiTheme="majorHAnsi" w:cs="Arial"/>
                <w:b/>
                <w:sz w:val="22"/>
                <w:szCs w:val="22"/>
              </w:rPr>
            </w:pPr>
          </w:p>
          <w:p w14:paraId="46D41753" w14:textId="77777777" w:rsidR="0062714B" w:rsidRDefault="0062714B" w:rsidP="0062714B">
            <w:pPr>
              <w:rPr>
                <w:rFonts w:asciiTheme="majorHAnsi" w:eastAsia="Times New Roman" w:hAnsiTheme="majorHAnsi"/>
                <w:sz w:val="22"/>
                <w:szCs w:val="22"/>
              </w:rPr>
            </w:pPr>
            <w:r w:rsidRPr="004141E6">
              <w:rPr>
                <w:rFonts w:asciiTheme="majorHAnsi" w:eastAsia="Times New Roman" w:hAnsiTheme="majorHAnsi"/>
                <w:sz w:val="22"/>
                <w:szCs w:val="22"/>
              </w:rPr>
              <w:t xml:space="preserve">As regards subsection D of Section III of Annex E, it proposes a policy that is exactly backwards. Most of Annex E should be scrapped and replaced by the simple principle that “Disclosure cannot be refused where the requester is acting pursuant to”, with that introductory statement followed by the four instances cited above -- and with the further proviso that such disclosure shall be made under seal and provided solely to attorneys. </w:t>
            </w:r>
          </w:p>
          <w:p w14:paraId="518F9C99" w14:textId="77777777" w:rsidR="0062714B" w:rsidRDefault="0062714B" w:rsidP="0062714B">
            <w:pPr>
              <w:rPr>
                <w:rFonts w:asciiTheme="majorHAnsi" w:eastAsia="Times New Roman" w:hAnsiTheme="majorHAnsi"/>
                <w:sz w:val="22"/>
                <w:szCs w:val="22"/>
              </w:rPr>
            </w:pPr>
          </w:p>
          <w:p w14:paraId="6377669C" w14:textId="0A5DFABE" w:rsidR="00BA3D62" w:rsidRPr="0062714B" w:rsidRDefault="0062714B" w:rsidP="0062714B">
            <w:pPr>
              <w:rPr>
                <w:rFonts w:asciiTheme="majorHAnsi" w:eastAsia="Times New Roman" w:hAnsiTheme="majorHAnsi"/>
                <w:sz w:val="22"/>
                <w:szCs w:val="22"/>
              </w:rPr>
            </w:pPr>
            <w:r w:rsidRPr="004141E6">
              <w:rPr>
                <w:rFonts w:asciiTheme="majorHAnsi" w:eastAsia="Times New Roman" w:hAnsiTheme="majorHAnsi"/>
                <w:sz w:val="22"/>
                <w:szCs w:val="22"/>
              </w:rPr>
              <w:t>Finally, in regard to the proposal that, “In the event that a Provider is alleged to have made a wrongful disclosure based on a Requester having provided false information, the Provider and Requester shall participate in an ICANN approved dispute resolution process”, the proposed arbitration procedure response is shockingly inadequate and far too limited to provide any appropriate redress for the disclosure of registrant personal data in response to requests knowingly made on the basis of falsified information. Only courts of competent jurisdiction can provide the necessary safeguards against such deliberate abuse and the stringent remedies to punish them.</w:t>
            </w:r>
          </w:p>
        </w:tc>
        <w:tc>
          <w:tcPr>
            <w:tcW w:w="3060" w:type="dxa"/>
          </w:tcPr>
          <w:p w14:paraId="76A86AC0" w14:textId="77777777" w:rsidR="00D4090A" w:rsidRPr="007C033C" w:rsidRDefault="00D4090A" w:rsidP="002C71AD">
            <w:pPr>
              <w:rPr>
                <w:rFonts w:ascii="Calibri" w:eastAsia="Times New Roman" w:hAnsi="Calibri" w:cs="Arial"/>
                <w:sz w:val="22"/>
                <w:szCs w:val="22"/>
                <w:shd w:val="clear" w:color="auto" w:fill="FFFFFF"/>
              </w:rPr>
            </w:pPr>
          </w:p>
        </w:tc>
        <w:tc>
          <w:tcPr>
            <w:tcW w:w="1608" w:type="dxa"/>
          </w:tcPr>
          <w:p w14:paraId="36144029" w14:textId="5268F6A2" w:rsidR="00D4090A" w:rsidRDefault="0062714B"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Internet Commerce Association</w:t>
            </w:r>
          </w:p>
        </w:tc>
        <w:tc>
          <w:tcPr>
            <w:tcW w:w="2694" w:type="dxa"/>
          </w:tcPr>
          <w:p w14:paraId="41EE3AD6" w14:textId="77777777" w:rsidR="00D4090A" w:rsidRPr="007C033C" w:rsidRDefault="00D4090A" w:rsidP="002C71AD">
            <w:pPr>
              <w:contextualSpacing/>
              <w:rPr>
                <w:rFonts w:ascii="Calibri" w:hAnsi="Calibri"/>
                <w:sz w:val="22"/>
              </w:rPr>
            </w:pPr>
          </w:p>
        </w:tc>
        <w:tc>
          <w:tcPr>
            <w:tcW w:w="2436" w:type="dxa"/>
          </w:tcPr>
          <w:p w14:paraId="6B540AB1" w14:textId="77777777" w:rsidR="00D4090A" w:rsidRPr="007C033C" w:rsidRDefault="00D4090A" w:rsidP="002C71AD">
            <w:pPr>
              <w:contextualSpacing/>
              <w:rPr>
                <w:rFonts w:ascii="Calibri" w:hAnsi="Calibri"/>
                <w:b/>
                <w:sz w:val="22"/>
              </w:rPr>
            </w:pPr>
          </w:p>
        </w:tc>
      </w:tr>
      <w:tr w:rsidR="00D4090A" w:rsidRPr="007C033C" w14:paraId="7EC2A1AF" w14:textId="77777777" w:rsidTr="00D4090A">
        <w:tc>
          <w:tcPr>
            <w:tcW w:w="835" w:type="dxa"/>
          </w:tcPr>
          <w:p w14:paraId="1A4B0ACE" w14:textId="06EE89C7" w:rsidR="00D4090A" w:rsidRPr="002C71AD" w:rsidRDefault="00D4090A" w:rsidP="002C71AD">
            <w:pPr>
              <w:pStyle w:val="ListParagraph"/>
              <w:numPr>
                <w:ilvl w:val="0"/>
                <w:numId w:val="28"/>
              </w:numPr>
              <w:rPr>
                <w:rFonts w:ascii="Calibri" w:hAnsi="Calibri"/>
                <w:b/>
                <w:sz w:val="22"/>
              </w:rPr>
            </w:pPr>
          </w:p>
        </w:tc>
        <w:tc>
          <w:tcPr>
            <w:tcW w:w="3960" w:type="dxa"/>
          </w:tcPr>
          <w:p w14:paraId="32976B8E" w14:textId="77777777" w:rsidR="0062714B" w:rsidRPr="0003664B" w:rsidRDefault="0062714B" w:rsidP="0062714B">
            <w:pPr>
              <w:rPr>
                <w:rFonts w:asciiTheme="majorHAnsi" w:eastAsia="Times New Roman" w:hAnsiTheme="majorHAnsi"/>
                <w:sz w:val="22"/>
                <w:szCs w:val="22"/>
              </w:rPr>
            </w:pPr>
            <w:r w:rsidRPr="0003664B">
              <w:rPr>
                <w:rFonts w:asciiTheme="majorHAnsi" w:eastAsia="Times New Roman" w:hAnsiTheme="majorHAnsi"/>
                <w:sz w:val="22"/>
                <w:szCs w:val="22"/>
              </w:rPr>
              <w:t>While the Initial Report’s Annex E largely [is a predictable and reliable mechanism] (in particular, Section III.(D)) Time Warner takes the view that certain improvements are necessary:</w:t>
            </w:r>
          </w:p>
          <w:p w14:paraId="7605E872" w14:textId="77777777" w:rsidR="0062714B" w:rsidRPr="0003664B" w:rsidRDefault="0062714B" w:rsidP="0062714B">
            <w:pPr>
              <w:pStyle w:val="ListParagraph"/>
              <w:numPr>
                <w:ilvl w:val="0"/>
                <w:numId w:val="41"/>
              </w:numPr>
              <w:rPr>
                <w:rFonts w:asciiTheme="majorHAnsi" w:eastAsia="Times New Roman" w:hAnsiTheme="majorHAnsi"/>
                <w:sz w:val="22"/>
                <w:szCs w:val="22"/>
              </w:rPr>
            </w:pPr>
            <w:r w:rsidRPr="0003664B">
              <w:rPr>
                <w:rFonts w:asciiTheme="majorHAnsi" w:eastAsia="Times New Roman" w:hAnsiTheme="majorHAnsi"/>
                <w:sz w:val="22"/>
                <w:szCs w:val="22"/>
              </w:rPr>
              <w:t xml:space="preserve">The “cost recovery fee” for processing disclosure requests that is referenced in Section I(B)(iii)2 should be dropped. </w:t>
            </w:r>
          </w:p>
          <w:p w14:paraId="5BB350A7" w14:textId="77777777" w:rsidR="0062714B" w:rsidRPr="0003664B" w:rsidRDefault="0062714B" w:rsidP="0062714B">
            <w:pPr>
              <w:pStyle w:val="ListParagraph"/>
              <w:numPr>
                <w:ilvl w:val="0"/>
                <w:numId w:val="41"/>
              </w:numPr>
              <w:rPr>
                <w:rFonts w:asciiTheme="majorHAnsi" w:eastAsia="Times New Roman" w:hAnsiTheme="majorHAnsi"/>
                <w:sz w:val="22"/>
                <w:szCs w:val="22"/>
              </w:rPr>
            </w:pPr>
            <w:r w:rsidRPr="0003664B">
              <w:rPr>
                <w:rFonts w:asciiTheme="majorHAnsi" w:eastAsia="Times New Roman" w:hAnsiTheme="majorHAnsi"/>
                <w:sz w:val="22"/>
                <w:szCs w:val="22"/>
              </w:rPr>
              <w:t xml:space="preserve">Sections II(A)(5) and II(C)(5)3 must be amended to clarify that owners of common-law trademarks will not be excluded from the process outlined in the Disclosure Framework. </w:t>
            </w:r>
          </w:p>
          <w:p w14:paraId="0929FE99" w14:textId="77777777" w:rsidR="0062714B" w:rsidRPr="0003664B" w:rsidRDefault="0062714B" w:rsidP="0062714B">
            <w:pPr>
              <w:pStyle w:val="ListParagraph"/>
              <w:numPr>
                <w:ilvl w:val="0"/>
                <w:numId w:val="41"/>
              </w:numPr>
              <w:rPr>
                <w:rFonts w:asciiTheme="majorHAnsi" w:eastAsia="Times New Roman" w:hAnsiTheme="majorHAnsi"/>
                <w:sz w:val="22"/>
                <w:szCs w:val="22"/>
              </w:rPr>
            </w:pPr>
            <w:r w:rsidRPr="0003664B">
              <w:rPr>
                <w:rFonts w:asciiTheme="majorHAnsi" w:eastAsia="Times New Roman" w:hAnsiTheme="majorHAnsi"/>
                <w:sz w:val="22"/>
                <w:szCs w:val="22"/>
              </w:rPr>
              <w:t>The timeframes referenced in Sections III(A) and (B)4 should be kept short (no more than 14 calendar days total should suffice), to ensure that harms such as protecting children from inappropriate content, or customers from malware can be addressed efficiently.</w:t>
            </w:r>
          </w:p>
          <w:p w14:paraId="2B18E496" w14:textId="77777777" w:rsidR="0062714B" w:rsidRPr="0003664B" w:rsidRDefault="0062714B" w:rsidP="0062714B">
            <w:pPr>
              <w:pStyle w:val="ListParagraph"/>
              <w:numPr>
                <w:ilvl w:val="0"/>
                <w:numId w:val="41"/>
              </w:numPr>
              <w:rPr>
                <w:rFonts w:asciiTheme="majorHAnsi" w:eastAsia="Times New Roman" w:hAnsiTheme="majorHAnsi"/>
                <w:sz w:val="22"/>
                <w:szCs w:val="22"/>
              </w:rPr>
            </w:pPr>
            <w:r w:rsidRPr="0003664B">
              <w:rPr>
                <w:rFonts w:asciiTheme="majorHAnsi" w:eastAsia="Times New Roman" w:hAnsiTheme="majorHAnsi"/>
                <w:sz w:val="22"/>
                <w:szCs w:val="22"/>
              </w:rPr>
              <w:t>Section III(F) – which outlines the appeal process in which P/P Services must participate if they decide to refuse a disclosure request5 – should not be extended to decisions to grant disclosure requests. The Disclosure Framework is ambiguous on this point. By its terms, Section III(F) only applies “[i]n the event of a final refusal to disclose by the Service.” But Section III(F) then concludes with a clause that the appeal process “should be similarly accessible to the Customer for purposes of an appeal.” Why a P/P Customer would want to appeal a P/P Service’s decision to refuse to disclose is not clear (isn’t that what the P/P Customer would want?). This can be resolved by simply deleting that final clause.</w:t>
            </w:r>
          </w:p>
          <w:p w14:paraId="4BEA4ADD" w14:textId="0CE61D88" w:rsidR="00BA3D62" w:rsidRPr="0062714B" w:rsidRDefault="0062714B" w:rsidP="00BA3D62">
            <w:pPr>
              <w:pStyle w:val="ListParagraph"/>
              <w:numPr>
                <w:ilvl w:val="0"/>
                <w:numId w:val="41"/>
              </w:numPr>
              <w:rPr>
                <w:rFonts w:asciiTheme="majorHAnsi" w:eastAsia="Times New Roman" w:hAnsiTheme="majorHAnsi"/>
                <w:sz w:val="22"/>
                <w:szCs w:val="22"/>
              </w:rPr>
            </w:pPr>
            <w:r w:rsidRPr="0003664B">
              <w:rPr>
                <w:rFonts w:asciiTheme="majorHAnsi" w:eastAsia="Times New Roman" w:hAnsiTheme="majorHAnsi"/>
                <w:sz w:val="22"/>
                <w:szCs w:val="22"/>
              </w:rPr>
              <w:t>The WG should amend Sections III(C)(ii) and (iii) to clarify that P/P Services can refuse to disclose when the P/P Customer has provided – or the P/P Service has independently found – a reasonable basis for believing that the P/P Customer is not infringing the intellectual property in question (or that its use of the intellectual property is defensible) – not simply for any reason that the P/P Service finds adequate, sufficient, or compelling.</w:t>
            </w:r>
          </w:p>
        </w:tc>
        <w:tc>
          <w:tcPr>
            <w:tcW w:w="3060" w:type="dxa"/>
          </w:tcPr>
          <w:p w14:paraId="7646EBCE" w14:textId="77777777" w:rsidR="00D4090A" w:rsidRPr="007C033C" w:rsidRDefault="00D4090A" w:rsidP="002C71AD">
            <w:pPr>
              <w:rPr>
                <w:rFonts w:ascii="Calibri" w:eastAsia="Times New Roman" w:hAnsi="Calibri" w:cs="Arial"/>
                <w:sz w:val="22"/>
                <w:szCs w:val="22"/>
                <w:shd w:val="clear" w:color="auto" w:fill="FFFFFF"/>
              </w:rPr>
            </w:pPr>
          </w:p>
        </w:tc>
        <w:tc>
          <w:tcPr>
            <w:tcW w:w="1608" w:type="dxa"/>
          </w:tcPr>
          <w:p w14:paraId="19D130C7" w14:textId="7307B34F" w:rsidR="00D4090A" w:rsidRPr="007C033C" w:rsidRDefault="0062714B"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Time Warner</w:t>
            </w:r>
          </w:p>
        </w:tc>
        <w:tc>
          <w:tcPr>
            <w:tcW w:w="2694" w:type="dxa"/>
          </w:tcPr>
          <w:p w14:paraId="09490E59" w14:textId="77777777" w:rsidR="00D4090A" w:rsidRPr="007C033C" w:rsidRDefault="00D4090A" w:rsidP="002C71AD">
            <w:pPr>
              <w:contextualSpacing/>
              <w:rPr>
                <w:rFonts w:ascii="Calibri" w:hAnsi="Calibri"/>
                <w:sz w:val="22"/>
              </w:rPr>
            </w:pPr>
          </w:p>
        </w:tc>
        <w:tc>
          <w:tcPr>
            <w:tcW w:w="2436" w:type="dxa"/>
          </w:tcPr>
          <w:p w14:paraId="52B82DD2" w14:textId="77777777" w:rsidR="00D4090A" w:rsidRPr="007C033C" w:rsidRDefault="00D4090A" w:rsidP="002C71AD">
            <w:pPr>
              <w:contextualSpacing/>
              <w:rPr>
                <w:rFonts w:ascii="Calibri" w:hAnsi="Calibri"/>
                <w:b/>
                <w:sz w:val="22"/>
              </w:rPr>
            </w:pPr>
          </w:p>
        </w:tc>
      </w:tr>
      <w:tr w:rsidR="00325F01" w:rsidRPr="007C033C" w14:paraId="177A9861" w14:textId="77777777" w:rsidTr="00D4090A">
        <w:tc>
          <w:tcPr>
            <w:tcW w:w="835" w:type="dxa"/>
          </w:tcPr>
          <w:p w14:paraId="1CA6D036" w14:textId="77777777" w:rsidR="00325F01" w:rsidRPr="002C71AD" w:rsidRDefault="00325F01" w:rsidP="002C71AD">
            <w:pPr>
              <w:pStyle w:val="ListParagraph"/>
              <w:numPr>
                <w:ilvl w:val="0"/>
                <w:numId w:val="28"/>
              </w:numPr>
              <w:rPr>
                <w:rFonts w:ascii="Calibri" w:hAnsi="Calibri"/>
                <w:b/>
                <w:sz w:val="22"/>
              </w:rPr>
            </w:pPr>
          </w:p>
        </w:tc>
        <w:tc>
          <w:tcPr>
            <w:tcW w:w="3960" w:type="dxa"/>
          </w:tcPr>
          <w:p w14:paraId="493504F1" w14:textId="77777777" w:rsidR="00325F01" w:rsidRDefault="00325F01" w:rsidP="00325F01">
            <w:pPr>
              <w:rPr>
                <w:rFonts w:asciiTheme="majorHAnsi" w:eastAsia="Times New Roman" w:hAnsiTheme="majorHAnsi"/>
                <w:sz w:val="22"/>
                <w:szCs w:val="22"/>
              </w:rPr>
            </w:pPr>
            <w:r w:rsidRPr="00477BBF">
              <w:rPr>
                <w:rFonts w:asciiTheme="majorHAnsi" w:eastAsia="Times New Roman" w:hAnsiTheme="majorHAnsi"/>
                <w:sz w:val="22"/>
                <w:szCs w:val="22"/>
                <w:u w:val="single"/>
              </w:rPr>
              <w:t>Section II. B of Annex E to the Initial Report</w:t>
            </w:r>
            <w:r w:rsidRPr="003C59E3">
              <w:rPr>
                <w:rFonts w:asciiTheme="majorHAnsi" w:eastAsia="Times New Roman" w:hAnsiTheme="majorHAnsi"/>
                <w:sz w:val="22"/>
                <w:szCs w:val="22"/>
              </w:rPr>
              <w:t xml:space="preserve">: </w:t>
            </w:r>
          </w:p>
          <w:p w14:paraId="120B73B6" w14:textId="77777777" w:rsidR="00325F01" w:rsidRPr="003C59E3" w:rsidRDefault="00325F01" w:rsidP="00325F01">
            <w:pPr>
              <w:pStyle w:val="ListParagraph"/>
              <w:numPr>
                <w:ilvl w:val="0"/>
                <w:numId w:val="42"/>
              </w:numPr>
              <w:ind w:left="0" w:firstLine="0"/>
              <w:rPr>
                <w:rFonts w:asciiTheme="majorHAnsi" w:eastAsia="Times New Roman" w:hAnsiTheme="majorHAnsi"/>
                <w:sz w:val="22"/>
                <w:szCs w:val="22"/>
              </w:rPr>
            </w:pPr>
            <w:r w:rsidRPr="003C59E3">
              <w:rPr>
                <w:rFonts w:asciiTheme="majorHAnsi" w:eastAsia="Times New Roman" w:hAnsiTheme="majorHAnsi"/>
                <w:sz w:val="22"/>
                <w:szCs w:val="22"/>
              </w:rPr>
              <w:t xml:space="preserve">The exact URL where the allegedly infringing content is located;” This requirement should be removed or revised. Alternatively, this requirement should allow some flexibility, such as by stating “The exact URL where the allegedly infringing work or infringing activity is located, or a representative sample of where such work or activity is located.” </w:t>
            </w:r>
          </w:p>
          <w:p w14:paraId="5C62BEA5" w14:textId="77777777" w:rsidR="00325F01" w:rsidRDefault="00325F01" w:rsidP="00325F01">
            <w:pPr>
              <w:rPr>
                <w:rFonts w:asciiTheme="majorHAnsi" w:eastAsia="Times New Roman" w:hAnsiTheme="majorHAnsi"/>
                <w:sz w:val="22"/>
                <w:szCs w:val="22"/>
              </w:rPr>
            </w:pPr>
          </w:p>
          <w:p w14:paraId="53389C41" w14:textId="77777777" w:rsidR="00325F01" w:rsidRPr="003C59E3" w:rsidRDefault="00325F01" w:rsidP="00325F01">
            <w:pPr>
              <w:pStyle w:val="ListParagraph"/>
              <w:numPr>
                <w:ilvl w:val="0"/>
                <w:numId w:val="42"/>
              </w:numPr>
              <w:ind w:left="0" w:firstLine="0"/>
              <w:rPr>
                <w:rFonts w:asciiTheme="majorHAnsi" w:eastAsia="Times New Roman" w:hAnsiTheme="majorHAnsi"/>
                <w:sz w:val="22"/>
                <w:szCs w:val="22"/>
              </w:rPr>
            </w:pPr>
            <w:r w:rsidRPr="003C59E3">
              <w:rPr>
                <w:rFonts w:asciiTheme="majorHAnsi" w:eastAsia="Times New Roman" w:hAnsiTheme="majorHAnsi"/>
                <w:sz w:val="22"/>
                <w:szCs w:val="22"/>
              </w:rPr>
              <w:t>Evidence of previous use of a relay function (compliant with the relevant section of accreditation standards regarding Relay) to attempt to contact the Customer with regard to the subject matter of the request, and of any responses thereto…” This point should be amended to clarify that there is no requirement for a Requester to use the relay function. We propose amending point 2 to include the following words after the existing text: “For the avoidance of doubt, a Requester is not required to use the relay function before making a Disclosure request.”</w:t>
            </w:r>
          </w:p>
          <w:p w14:paraId="3DCF3B10" w14:textId="77777777" w:rsidR="00325F01" w:rsidRPr="003C59E3" w:rsidRDefault="00325F01" w:rsidP="00325F01">
            <w:pPr>
              <w:rPr>
                <w:rFonts w:asciiTheme="majorHAnsi" w:eastAsia="Times New Roman" w:hAnsiTheme="majorHAnsi"/>
                <w:sz w:val="22"/>
                <w:szCs w:val="22"/>
              </w:rPr>
            </w:pPr>
          </w:p>
          <w:p w14:paraId="5219994C" w14:textId="77777777" w:rsidR="00325F01" w:rsidRPr="003C59E3" w:rsidRDefault="00325F01" w:rsidP="00325F01">
            <w:pPr>
              <w:pStyle w:val="ListParagraph"/>
              <w:numPr>
                <w:ilvl w:val="0"/>
                <w:numId w:val="42"/>
              </w:numPr>
              <w:ind w:left="0" w:firstLine="0"/>
              <w:rPr>
                <w:rFonts w:asciiTheme="majorHAnsi" w:eastAsia="Times New Roman" w:hAnsiTheme="majorHAnsi"/>
                <w:sz w:val="22"/>
                <w:szCs w:val="22"/>
              </w:rPr>
            </w:pPr>
            <w:r w:rsidRPr="003C59E3">
              <w:rPr>
                <w:rFonts w:asciiTheme="majorHAnsi" w:eastAsia="Times New Roman" w:hAnsiTheme="majorHAnsi"/>
                <w:sz w:val="22"/>
                <w:szCs w:val="22"/>
              </w:rPr>
              <w:t>The exact URL where the original content is located (if online content) or where the claim can be verified.” This requirement should be removed.</w:t>
            </w:r>
          </w:p>
          <w:p w14:paraId="3B1AD333" w14:textId="77777777" w:rsidR="00325F01" w:rsidRPr="003C59E3" w:rsidRDefault="00325F01" w:rsidP="00325F01">
            <w:pPr>
              <w:rPr>
                <w:rFonts w:asciiTheme="majorHAnsi" w:eastAsia="Times New Roman" w:hAnsiTheme="majorHAnsi"/>
                <w:sz w:val="22"/>
                <w:szCs w:val="22"/>
              </w:rPr>
            </w:pPr>
          </w:p>
          <w:p w14:paraId="0F251629" w14:textId="77777777" w:rsidR="00325F01" w:rsidRDefault="00325F01" w:rsidP="00325F01">
            <w:pPr>
              <w:rPr>
                <w:rFonts w:asciiTheme="majorHAnsi" w:eastAsia="Times New Roman" w:hAnsiTheme="majorHAnsi"/>
                <w:sz w:val="22"/>
                <w:szCs w:val="22"/>
              </w:rPr>
            </w:pPr>
            <w:r w:rsidRPr="00477BBF">
              <w:rPr>
                <w:rFonts w:asciiTheme="majorHAnsi" w:eastAsia="Times New Roman" w:hAnsiTheme="majorHAnsi"/>
                <w:sz w:val="22"/>
                <w:szCs w:val="22"/>
                <w:u w:val="single"/>
              </w:rPr>
              <w:t>Section III. D of Annex E to the Initial Report</w:t>
            </w:r>
            <w:r w:rsidRPr="003C59E3">
              <w:rPr>
                <w:rFonts w:asciiTheme="majorHAnsi" w:eastAsia="Times New Roman" w:hAnsiTheme="majorHAnsi"/>
                <w:sz w:val="22"/>
                <w:szCs w:val="22"/>
              </w:rPr>
              <w:t xml:space="preserve">: </w:t>
            </w:r>
          </w:p>
          <w:p w14:paraId="468E662F" w14:textId="1CCFD313" w:rsidR="00325F01" w:rsidRPr="0003664B" w:rsidRDefault="00325F01" w:rsidP="00325F01">
            <w:pPr>
              <w:rPr>
                <w:rFonts w:asciiTheme="majorHAnsi" w:eastAsia="Times New Roman" w:hAnsiTheme="majorHAnsi"/>
                <w:sz w:val="22"/>
                <w:szCs w:val="22"/>
              </w:rPr>
            </w:pPr>
            <w:r w:rsidRPr="003C59E3">
              <w:rPr>
                <w:rFonts w:asciiTheme="majorHAnsi" w:eastAsia="Times New Roman" w:hAnsiTheme="majorHAnsi"/>
                <w:sz w:val="22"/>
                <w:szCs w:val="22"/>
              </w:rPr>
              <w:t>We wish to express our support for Section III. D of the Initial Report</w:t>
            </w:r>
            <w:r>
              <w:rPr>
                <w:rFonts w:asciiTheme="majorHAnsi" w:eastAsia="Times New Roman" w:hAnsiTheme="majorHAnsi"/>
                <w:sz w:val="22"/>
                <w:szCs w:val="22"/>
              </w:rPr>
              <w:t>.</w:t>
            </w:r>
            <w:r w:rsidRPr="003C59E3">
              <w:rPr>
                <w:rFonts w:asciiTheme="majorHAnsi" w:eastAsia="Times New Roman" w:hAnsiTheme="majorHAnsi"/>
                <w:sz w:val="22"/>
                <w:szCs w:val="22"/>
              </w:rPr>
              <w:t xml:space="preserve"> This is crucial for rightholders.</w:t>
            </w:r>
          </w:p>
        </w:tc>
        <w:tc>
          <w:tcPr>
            <w:tcW w:w="3060" w:type="dxa"/>
          </w:tcPr>
          <w:p w14:paraId="5FF2E640" w14:textId="77777777" w:rsidR="00325F01" w:rsidRPr="007C033C" w:rsidRDefault="00325F01" w:rsidP="002C71AD">
            <w:pPr>
              <w:rPr>
                <w:rFonts w:ascii="Calibri" w:eastAsia="Times New Roman" w:hAnsi="Calibri" w:cs="Arial"/>
                <w:sz w:val="22"/>
                <w:szCs w:val="22"/>
                <w:shd w:val="clear" w:color="auto" w:fill="FFFFFF"/>
              </w:rPr>
            </w:pPr>
          </w:p>
        </w:tc>
        <w:tc>
          <w:tcPr>
            <w:tcW w:w="1608" w:type="dxa"/>
          </w:tcPr>
          <w:p w14:paraId="0478028A" w14:textId="6F2AB635" w:rsidR="00325F01" w:rsidRDefault="00325F01"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RIAA &amp; IFPI</w:t>
            </w:r>
          </w:p>
        </w:tc>
        <w:tc>
          <w:tcPr>
            <w:tcW w:w="2694" w:type="dxa"/>
          </w:tcPr>
          <w:p w14:paraId="0B062115" w14:textId="77777777" w:rsidR="00325F01" w:rsidRPr="007C033C" w:rsidRDefault="00325F01" w:rsidP="002C71AD">
            <w:pPr>
              <w:contextualSpacing/>
              <w:rPr>
                <w:rFonts w:ascii="Calibri" w:hAnsi="Calibri"/>
                <w:sz w:val="22"/>
              </w:rPr>
            </w:pPr>
          </w:p>
        </w:tc>
        <w:tc>
          <w:tcPr>
            <w:tcW w:w="2436" w:type="dxa"/>
          </w:tcPr>
          <w:p w14:paraId="052FD7E8" w14:textId="77777777" w:rsidR="00325F01" w:rsidRPr="007C033C" w:rsidRDefault="00325F01" w:rsidP="002C71AD">
            <w:pPr>
              <w:contextualSpacing/>
              <w:rPr>
                <w:rFonts w:ascii="Calibri" w:hAnsi="Calibri"/>
                <w:b/>
                <w:sz w:val="22"/>
              </w:rPr>
            </w:pPr>
          </w:p>
        </w:tc>
      </w:tr>
      <w:tr w:rsidR="00325F01" w:rsidRPr="007C033C" w14:paraId="348F043A" w14:textId="77777777" w:rsidTr="00D4090A">
        <w:tc>
          <w:tcPr>
            <w:tcW w:w="835" w:type="dxa"/>
          </w:tcPr>
          <w:p w14:paraId="5E98B95E" w14:textId="77777777" w:rsidR="00325F01" w:rsidRPr="002C71AD" w:rsidRDefault="00325F01" w:rsidP="002C71AD">
            <w:pPr>
              <w:pStyle w:val="ListParagraph"/>
              <w:numPr>
                <w:ilvl w:val="0"/>
                <w:numId w:val="28"/>
              </w:numPr>
              <w:rPr>
                <w:rFonts w:ascii="Calibri" w:hAnsi="Calibri"/>
                <w:b/>
                <w:sz w:val="22"/>
              </w:rPr>
            </w:pPr>
          </w:p>
        </w:tc>
        <w:tc>
          <w:tcPr>
            <w:tcW w:w="3960" w:type="dxa"/>
          </w:tcPr>
          <w:p w14:paraId="448E3D9B" w14:textId="77777777" w:rsidR="008E6D47" w:rsidRPr="00FB6104" w:rsidRDefault="008E6D47" w:rsidP="008E6D47">
            <w:pPr>
              <w:rPr>
                <w:rFonts w:asciiTheme="majorHAnsi" w:eastAsia="Times New Roman" w:hAnsiTheme="majorHAnsi" w:cs="Arial"/>
                <w:sz w:val="22"/>
                <w:szCs w:val="22"/>
              </w:rPr>
            </w:pPr>
            <w:r>
              <w:rPr>
                <w:rFonts w:asciiTheme="majorHAnsi" w:eastAsia="Times New Roman" w:hAnsiTheme="majorHAnsi" w:cs="Arial"/>
                <w:sz w:val="22"/>
                <w:szCs w:val="22"/>
              </w:rPr>
              <w:t>[T]</w:t>
            </w:r>
            <w:r w:rsidRPr="00FB6104">
              <w:rPr>
                <w:rFonts w:asciiTheme="majorHAnsi" w:eastAsia="Times New Roman" w:hAnsiTheme="majorHAnsi" w:cs="Arial"/>
                <w:sz w:val="22"/>
                <w:szCs w:val="22"/>
              </w:rPr>
              <w:t>he framework set out in Annex E of the Initial Report goes far toward achieving its stated policy purposes. However, on several specific points, IPC has concerns:</w:t>
            </w:r>
          </w:p>
          <w:p w14:paraId="1FDE4026" w14:textId="77777777" w:rsidR="008E6D47" w:rsidRPr="00477BBF" w:rsidRDefault="008E6D47" w:rsidP="008E6D47">
            <w:pPr>
              <w:pStyle w:val="ListParagraph"/>
              <w:numPr>
                <w:ilvl w:val="0"/>
                <w:numId w:val="43"/>
              </w:numPr>
              <w:rPr>
                <w:rFonts w:asciiTheme="majorHAnsi" w:eastAsia="Times New Roman" w:hAnsiTheme="majorHAnsi" w:cs="Arial"/>
                <w:sz w:val="22"/>
                <w:szCs w:val="22"/>
              </w:rPr>
            </w:pPr>
            <w:r w:rsidRPr="00477BBF">
              <w:rPr>
                <w:rFonts w:asciiTheme="majorHAnsi" w:eastAsia="Times New Roman" w:hAnsiTheme="majorHAnsi" w:cs="Arial"/>
                <w:sz w:val="22"/>
                <w:szCs w:val="22"/>
              </w:rPr>
              <w:t>IPC does not agree that P/P Providers should be authorized to charge a fee for processing requests for disclosure;</w:t>
            </w:r>
          </w:p>
          <w:p w14:paraId="2C4FA74E" w14:textId="77777777" w:rsidR="008E6D47" w:rsidRPr="00477BBF" w:rsidRDefault="008E6D47" w:rsidP="008E6D47">
            <w:pPr>
              <w:pStyle w:val="ListParagraph"/>
              <w:numPr>
                <w:ilvl w:val="0"/>
                <w:numId w:val="43"/>
              </w:numPr>
              <w:rPr>
                <w:rFonts w:asciiTheme="majorHAnsi" w:eastAsia="Times New Roman" w:hAnsiTheme="majorHAnsi" w:cs="Arial"/>
                <w:sz w:val="22"/>
                <w:szCs w:val="22"/>
              </w:rPr>
            </w:pPr>
            <w:r w:rsidRPr="00477BBF">
              <w:rPr>
                <w:rFonts w:asciiTheme="majorHAnsi" w:eastAsia="Times New Roman" w:hAnsiTheme="majorHAnsi" w:cs="Arial"/>
                <w:sz w:val="22"/>
                <w:szCs w:val="22"/>
              </w:rPr>
              <w:t>While allowing P/P customers 15 calendar days to respond after being notified of a disclosure request seems extremely generous, the problem should not be compounded by building in further delay. IPC suggests that the “x” in section III.B. be replaced with “3 calendar days after receiving the Customer’s response, or 1 calendar day after the time for Customer’s response has passed”;</w:t>
            </w:r>
          </w:p>
          <w:p w14:paraId="06D22957" w14:textId="77777777" w:rsidR="008E6D47" w:rsidRPr="00477BBF" w:rsidRDefault="008E6D47" w:rsidP="008E6D47">
            <w:pPr>
              <w:pStyle w:val="ListParagraph"/>
              <w:numPr>
                <w:ilvl w:val="0"/>
                <w:numId w:val="43"/>
              </w:numPr>
              <w:rPr>
                <w:rFonts w:asciiTheme="majorHAnsi" w:eastAsia="Times New Roman" w:hAnsiTheme="majorHAnsi" w:cs="Arial"/>
                <w:sz w:val="22"/>
                <w:szCs w:val="22"/>
              </w:rPr>
            </w:pPr>
            <w:r w:rsidRPr="00477BBF">
              <w:rPr>
                <w:rFonts w:asciiTheme="majorHAnsi" w:eastAsia="Times New Roman" w:hAnsiTheme="majorHAnsi" w:cs="Arial"/>
                <w:sz w:val="22"/>
                <w:szCs w:val="22"/>
              </w:rPr>
              <w:t xml:space="preserve">IPC recommends that the general standard </w:t>
            </w:r>
            <w:r>
              <w:rPr>
                <w:rFonts w:asciiTheme="majorHAnsi" w:eastAsia="Times New Roman" w:hAnsiTheme="majorHAnsi" w:cs="Arial"/>
                <w:sz w:val="22"/>
                <w:szCs w:val="22"/>
              </w:rPr>
              <w:t xml:space="preserve">[for refusal of disclosure requests] </w:t>
            </w:r>
            <w:r w:rsidRPr="00477BBF">
              <w:rPr>
                <w:rFonts w:asciiTheme="majorHAnsi" w:eastAsia="Times New Roman" w:hAnsiTheme="majorHAnsi" w:cs="Arial"/>
                <w:sz w:val="22"/>
                <w:szCs w:val="22"/>
              </w:rPr>
              <w:t>be drawn from section III.C.ii and iii: i.e., whether the P/P customer has put forward a reasonable basis for believing that its use is either non-infringing or defensible, and/or that the P/P Provider has found such a reasonable basis for so believing. This is in addition to the non-disclosure reason stated in section III.C.v;</w:t>
            </w:r>
          </w:p>
          <w:p w14:paraId="4788A574" w14:textId="77777777" w:rsidR="008E6D47" w:rsidRDefault="008E6D47" w:rsidP="008E6D47">
            <w:pPr>
              <w:pStyle w:val="ListParagraph"/>
              <w:numPr>
                <w:ilvl w:val="0"/>
                <w:numId w:val="43"/>
              </w:numPr>
              <w:rPr>
                <w:rFonts w:asciiTheme="majorHAnsi" w:eastAsia="Times New Roman" w:hAnsiTheme="majorHAnsi" w:cs="Arial"/>
                <w:sz w:val="22"/>
                <w:szCs w:val="22"/>
              </w:rPr>
            </w:pPr>
            <w:r w:rsidRPr="00477BBF">
              <w:rPr>
                <w:rFonts w:asciiTheme="majorHAnsi" w:eastAsia="Times New Roman" w:hAnsiTheme="majorHAnsi" w:cs="Arial"/>
                <w:sz w:val="22"/>
                <w:szCs w:val="22"/>
              </w:rPr>
              <w:t>The WG may also wish to reorganize section III.C in the final report, so that the grounds for refusal of disclosure that relate to the response of the P/P customer (subparagraphs ii and v) are grouped together for clarity;</w:t>
            </w:r>
          </w:p>
          <w:p w14:paraId="60402B7B" w14:textId="77777777" w:rsidR="008E6D47" w:rsidRDefault="008E6D47" w:rsidP="008E6D47">
            <w:pPr>
              <w:pStyle w:val="ListParagraph"/>
              <w:numPr>
                <w:ilvl w:val="0"/>
                <w:numId w:val="43"/>
              </w:numPr>
              <w:rPr>
                <w:rFonts w:asciiTheme="majorHAnsi" w:eastAsia="Times New Roman" w:hAnsiTheme="majorHAnsi" w:cs="Arial"/>
                <w:sz w:val="22"/>
                <w:szCs w:val="22"/>
              </w:rPr>
            </w:pPr>
            <w:r w:rsidRPr="00967BE0">
              <w:rPr>
                <w:rFonts w:asciiTheme="majorHAnsi" w:eastAsia="Times New Roman" w:hAnsiTheme="majorHAnsi" w:cs="Arial"/>
                <w:sz w:val="22"/>
                <w:szCs w:val="22"/>
              </w:rPr>
              <w:t xml:space="preserve">WG </w:t>
            </w:r>
            <w:r>
              <w:rPr>
                <w:rFonts w:asciiTheme="majorHAnsi" w:eastAsia="Times New Roman" w:hAnsiTheme="majorHAnsi" w:cs="Arial"/>
                <w:sz w:val="22"/>
                <w:szCs w:val="22"/>
              </w:rPr>
              <w:t>[can]</w:t>
            </w:r>
            <w:r w:rsidRPr="00967BE0">
              <w:rPr>
                <w:rFonts w:asciiTheme="majorHAnsi" w:eastAsia="Times New Roman" w:hAnsiTheme="majorHAnsi" w:cs="Arial"/>
                <w:sz w:val="22"/>
                <w:szCs w:val="22"/>
              </w:rPr>
              <w:t xml:space="preserve"> consider whether the most efficient way to address this complex issue [of appeal] is to eliminate the concept of an appeal, relying instead on a reconsideration process (based on current section III.E) in which both customer and requester would be enabled to submit additional information to a provider that has initially rejected the request for one of the reasons set forth in current section III.C.ii, iii or v;</w:t>
            </w:r>
          </w:p>
          <w:p w14:paraId="240C3C38" w14:textId="18D0ED72" w:rsidR="00325F01" w:rsidRPr="0003664B" w:rsidRDefault="008E6D47" w:rsidP="008E6D47">
            <w:pPr>
              <w:rPr>
                <w:rFonts w:asciiTheme="majorHAnsi" w:eastAsia="Times New Roman" w:hAnsiTheme="majorHAnsi"/>
                <w:sz w:val="22"/>
                <w:szCs w:val="22"/>
              </w:rPr>
            </w:pPr>
            <w:r>
              <w:rPr>
                <w:rFonts w:asciiTheme="majorHAnsi" w:eastAsia="Times New Roman" w:hAnsiTheme="majorHAnsi" w:cs="Arial"/>
                <w:sz w:val="22"/>
                <w:szCs w:val="22"/>
              </w:rPr>
              <w:t>[A]</w:t>
            </w:r>
            <w:r w:rsidRPr="00967BE0">
              <w:rPr>
                <w:rFonts w:asciiTheme="majorHAnsi" w:eastAsia="Times New Roman" w:hAnsiTheme="majorHAnsi" w:cs="Arial"/>
                <w:sz w:val="22"/>
                <w:szCs w:val="22"/>
              </w:rPr>
              <w:t>rbitration (in addition, of course, to any other available legal remedies) is the appropriate mechanism for dealing with claims that contact information was either wrongfully disclosed due to knowing false representations, or was kno</w:t>
            </w:r>
            <w:r>
              <w:rPr>
                <w:rFonts w:asciiTheme="majorHAnsi" w:eastAsia="Times New Roman" w:hAnsiTheme="majorHAnsi" w:cs="Arial"/>
                <w:sz w:val="22"/>
                <w:szCs w:val="22"/>
              </w:rPr>
              <w:t xml:space="preserve">wingly misused. </w:t>
            </w:r>
            <w:r w:rsidRPr="00967BE0">
              <w:rPr>
                <w:rFonts w:asciiTheme="majorHAnsi" w:eastAsia="Times New Roman" w:hAnsiTheme="majorHAnsi" w:cs="Arial"/>
                <w:sz w:val="22"/>
                <w:szCs w:val="22"/>
              </w:rPr>
              <w:t>Option #1 appropriately states the applicable standards.</w:t>
            </w:r>
          </w:p>
        </w:tc>
        <w:tc>
          <w:tcPr>
            <w:tcW w:w="3060" w:type="dxa"/>
          </w:tcPr>
          <w:p w14:paraId="046EE77F" w14:textId="77777777" w:rsidR="00325F01" w:rsidRPr="007C033C" w:rsidRDefault="00325F01" w:rsidP="002C71AD">
            <w:pPr>
              <w:rPr>
                <w:rFonts w:ascii="Calibri" w:eastAsia="Times New Roman" w:hAnsi="Calibri" w:cs="Arial"/>
                <w:sz w:val="22"/>
                <w:szCs w:val="22"/>
                <w:shd w:val="clear" w:color="auto" w:fill="FFFFFF"/>
              </w:rPr>
            </w:pPr>
          </w:p>
        </w:tc>
        <w:tc>
          <w:tcPr>
            <w:tcW w:w="1608" w:type="dxa"/>
          </w:tcPr>
          <w:p w14:paraId="2DB39AA0" w14:textId="2231E723" w:rsidR="00325F01" w:rsidRDefault="008E6D47"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IPC</w:t>
            </w:r>
          </w:p>
        </w:tc>
        <w:tc>
          <w:tcPr>
            <w:tcW w:w="2694" w:type="dxa"/>
          </w:tcPr>
          <w:p w14:paraId="5E3FBB66" w14:textId="77777777" w:rsidR="00325F01" w:rsidRPr="007C033C" w:rsidRDefault="00325F01" w:rsidP="002C71AD">
            <w:pPr>
              <w:contextualSpacing/>
              <w:rPr>
                <w:rFonts w:ascii="Calibri" w:hAnsi="Calibri"/>
                <w:sz w:val="22"/>
              </w:rPr>
            </w:pPr>
          </w:p>
        </w:tc>
        <w:tc>
          <w:tcPr>
            <w:tcW w:w="2436" w:type="dxa"/>
          </w:tcPr>
          <w:p w14:paraId="4E0518A3" w14:textId="77777777" w:rsidR="00325F01" w:rsidRPr="007C033C" w:rsidRDefault="00325F01" w:rsidP="002C71AD">
            <w:pPr>
              <w:contextualSpacing/>
              <w:rPr>
                <w:rFonts w:ascii="Calibri" w:hAnsi="Calibri"/>
                <w:b/>
                <w:sz w:val="22"/>
              </w:rPr>
            </w:pPr>
          </w:p>
        </w:tc>
      </w:tr>
      <w:tr w:rsidR="00325F01" w:rsidRPr="007C033C" w14:paraId="78859386" w14:textId="77777777" w:rsidTr="00D4090A">
        <w:tc>
          <w:tcPr>
            <w:tcW w:w="835" w:type="dxa"/>
          </w:tcPr>
          <w:p w14:paraId="5B280630" w14:textId="77777777" w:rsidR="00325F01" w:rsidRPr="002C71AD" w:rsidRDefault="00325F01" w:rsidP="002C71AD">
            <w:pPr>
              <w:pStyle w:val="ListParagraph"/>
              <w:numPr>
                <w:ilvl w:val="0"/>
                <w:numId w:val="28"/>
              </w:numPr>
              <w:rPr>
                <w:rFonts w:ascii="Calibri" w:hAnsi="Calibri"/>
                <w:b/>
                <w:sz w:val="22"/>
              </w:rPr>
            </w:pPr>
          </w:p>
        </w:tc>
        <w:tc>
          <w:tcPr>
            <w:tcW w:w="3960" w:type="dxa"/>
          </w:tcPr>
          <w:p w14:paraId="29824976" w14:textId="67B3FA6F" w:rsidR="00325F01" w:rsidRPr="0003664B" w:rsidRDefault="00150974" w:rsidP="0062714B">
            <w:pPr>
              <w:rPr>
                <w:rFonts w:asciiTheme="majorHAnsi" w:eastAsia="Times New Roman" w:hAnsiTheme="majorHAnsi"/>
                <w:sz w:val="22"/>
                <w:szCs w:val="22"/>
              </w:rPr>
            </w:pPr>
            <w:r>
              <w:rPr>
                <w:rFonts w:asciiTheme="majorHAnsi" w:eastAsia="Times New Roman" w:hAnsiTheme="majorHAnsi"/>
                <w:sz w:val="22"/>
                <w:szCs w:val="22"/>
              </w:rPr>
              <w:t>[P]</w:t>
            </w:r>
            <w:r w:rsidRPr="00FB6104">
              <w:rPr>
                <w:rFonts w:asciiTheme="majorHAnsi" w:eastAsia="Times New Roman" w:hAnsiTheme="majorHAnsi"/>
                <w:sz w:val="22"/>
                <w:szCs w:val="22"/>
              </w:rPr>
              <w:t>aragraph III(F) of Annex E discusses an ICANN-approved review process in the event a Requester disputes a Provider’s refusal to disclose private registrant information. This generic reference to a to-be-developed review process is concerning because it fails to define “exceptional cases” and seems to provide intellectual property holders an additional method of circumventing existing due process to obtain private registrant information. If the working group intends to include this provision in the accreditation program, it seems prudent for the working group to define what it believes to be “exceptional cases” in order to provide appropriate guidance.</w:t>
            </w:r>
          </w:p>
        </w:tc>
        <w:tc>
          <w:tcPr>
            <w:tcW w:w="3060" w:type="dxa"/>
          </w:tcPr>
          <w:p w14:paraId="06490E89" w14:textId="77777777" w:rsidR="00325F01" w:rsidRPr="007C033C" w:rsidRDefault="00325F01" w:rsidP="002C71AD">
            <w:pPr>
              <w:rPr>
                <w:rFonts w:ascii="Calibri" w:eastAsia="Times New Roman" w:hAnsi="Calibri" w:cs="Arial"/>
                <w:sz w:val="22"/>
                <w:szCs w:val="22"/>
                <w:shd w:val="clear" w:color="auto" w:fill="FFFFFF"/>
              </w:rPr>
            </w:pPr>
          </w:p>
        </w:tc>
        <w:tc>
          <w:tcPr>
            <w:tcW w:w="1608" w:type="dxa"/>
          </w:tcPr>
          <w:p w14:paraId="3BBF4901" w14:textId="2AF4EB9A" w:rsidR="00325F01" w:rsidRDefault="00150974"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Endurance Int’l Group</w:t>
            </w:r>
          </w:p>
        </w:tc>
        <w:tc>
          <w:tcPr>
            <w:tcW w:w="2694" w:type="dxa"/>
          </w:tcPr>
          <w:p w14:paraId="34607DC9" w14:textId="77777777" w:rsidR="00325F01" w:rsidRPr="007C033C" w:rsidRDefault="00325F01" w:rsidP="002C71AD">
            <w:pPr>
              <w:contextualSpacing/>
              <w:rPr>
                <w:rFonts w:ascii="Calibri" w:hAnsi="Calibri"/>
                <w:sz w:val="22"/>
              </w:rPr>
            </w:pPr>
          </w:p>
        </w:tc>
        <w:tc>
          <w:tcPr>
            <w:tcW w:w="2436" w:type="dxa"/>
          </w:tcPr>
          <w:p w14:paraId="74C65A5D" w14:textId="77777777" w:rsidR="00325F01" w:rsidRPr="007C033C" w:rsidRDefault="00325F01" w:rsidP="002C71AD">
            <w:pPr>
              <w:contextualSpacing/>
              <w:rPr>
                <w:rFonts w:ascii="Calibri" w:hAnsi="Calibri"/>
                <w:b/>
                <w:sz w:val="22"/>
              </w:rPr>
            </w:pPr>
          </w:p>
        </w:tc>
      </w:tr>
      <w:tr w:rsidR="00325F01" w:rsidRPr="007C033C" w14:paraId="618BBF41" w14:textId="77777777" w:rsidTr="00D4090A">
        <w:tc>
          <w:tcPr>
            <w:tcW w:w="835" w:type="dxa"/>
          </w:tcPr>
          <w:p w14:paraId="2521EF38" w14:textId="77777777" w:rsidR="00325F01" w:rsidRPr="002C71AD" w:rsidRDefault="00325F01" w:rsidP="002C71AD">
            <w:pPr>
              <w:pStyle w:val="ListParagraph"/>
              <w:numPr>
                <w:ilvl w:val="0"/>
                <w:numId w:val="28"/>
              </w:numPr>
              <w:rPr>
                <w:rFonts w:ascii="Calibri" w:hAnsi="Calibri"/>
                <w:b/>
                <w:sz w:val="22"/>
              </w:rPr>
            </w:pPr>
          </w:p>
        </w:tc>
        <w:tc>
          <w:tcPr>
            <w:tcW w:w="3960" w:type="dxa"/>
          </w:tcPr>
          <w:p w14:paraId="4DA459FE"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While INTA thus largely supports the Disclosure Framework, there are still portions of it with which INTA disagrees. Some of INTA’s objections are narrow:</w:t>
            </w:r>
          </w:p>
          <w:p w14:paraId="351D31DA"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 INTA objects to P/P Providers assessing “a standardized nominal cost-recovery fee” for processing disclosure complaints, as contemplated by Section I(B)(iii);</w:t>
            </w:r>
          </w:p>
          <w:p w14:paraId="3C0E4419"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 the timeframes included in Sections III(A) and (B) – currently “15 calendar days” and “x calendar days” respectively23 – should be “10 calendar days” each;</w:t>
            </w:r>
          </w:p>
          <w:p w14:paraId="0A574D00"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 INTA notes that both Sections II(A)(5) and II(C)(5) require trademark owners to provide a trademark registration number and links to the national trademark register as part of any request for disclosure. Such a requirement could be read to suggest that the Disclosure Framework does not apply to complaints based on common-law trademarks. INTA assumes that the WG did not intend to exclude such trademarks from the process outlined and thus would recommend adding the phrase “and, if applicable” between “the trademark” and “the trademark registration number” in SectionsII(A)(5) and II(C)(5) to clarify this potential ambiguity.</w:t>
            </w:r>
          </w:p>
          <w:p w14:paraId="5231AB47" w14:textId="77777777" w:rsidR="00150974" w:rsidRPr="00FB6104" w:rsidRDefault="00150974" w:rsidP="00150974">
            <w:pPr>
              <w:rPr>
                <w:rFonts w:asciiTheme="majorHAnsi" w:eastAsia="Times New Roman" w:hAnsiTheme="majorHAnsi"/>
                <w:sz w:val="22"/>
                <w:szCs w:val="22"/>
              </w:rPr>
            </w:pPr>
          </w:p>
          <w:p w14:paraId="5684980F"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 xml:space="preserve">On a broader note: INTA also objects to the inclusion of the language “and which should be similarly accessible to the Customer for purposes of an appeal” in Section III(F), which outlines the process by which P/P Providers must participate in an ICANN-approved review/appeal process in the event that they refuse a disclosure request. Applying Section III(F) to P/P Customers seems odd on its face: Section III(F) only applies “[i]n the event of a final refusal to disclose” by the P/P Provider. So why would a P/P Customer ever need to appeal a final refusal to disclose? </w:t>
            </w:r>
          </w:p>
          <w:p w14:paraId="37CA6C6A" w14:textId="77777777" w:rsidR="00150974" w:rsidRPr="00FB6104" w:rsidRDefault="00150974" w:rsidP="00150974">
            <w:pPr>
              <w:rPr>
                <w:rFonts w:asciiTheme="majorHAnsi" w:eastAsia="Times New Roman" w:hAnsiTheme="majorHAnsi"/>
                <w:sz w:val="22"/>
                <w:szCs w:val="22"/>
              </w:rPr>
            </w:pPr>
          </w:p>
          <w:p w14:paraId="6BADE6BD"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One problem is that the Disclosure Framework does not provide any kind of explanation or guidance as to the procedure to be used for a P/P Customer’s appeal of a P/P Provider’s decision to disclose. If the P/P Customer is supposed to be able to appeal that decision to disclose: when would that appeal take place? How would the P/P Customer know the P/P Provider’s decision? Would the P/P Provider be required to communicate its decision to disclose to the P/P Customer before actually disclosing? If so, how long before? Must it provide the P/P Customer with its reasons?</w:t>
            </w:r>
          </w:p>
          <w:p w14:paraId="0979BE66" w14:textId="77777777" w:rsidR="00150974" w:rsidRPr="00FB6104" w:rsidRDefault="00150974" w:rsidP="00150974">
            <w:pPr>
              <w:rPr>
                <w:rFonts w:asciiTheme="majorHAnsi" w:eastAsia="Times New Roman" w:hAnsiTheme="majorHAnsi"/>
                <w:sz w:val="22"/>
                <w:szCs w:val="22"/>
              </w:rPr>
            </w:pPr>
          </w:p>
          <w:p w14:paraId="1E8A0B86"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Moreover, allowing P/P Customers to appeal a P/P Provider’s decision to disclose is internally inconsistent with other portions of the Disclosure Framework. Specifically, in Section</w:t>
            </w:r>
          </w:p>
          <w:p w14:paraId="30E8DD8F"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 xml:space="preserve">I(D). </w:t>
            </w:r>
          </w:p>
          <w:p w14:paraId="70889488" w14:textId="77777777" w:rsidR="00150974" w:rsidRPr="00FB6104" w:rsidRDefault="00150974" w:rsidP="00150974">
            <w:pPr>
              <w:rPr>
                <w:rFonts w:asciiTheme="majorHAnsi" w:eastAsia="Times New Roman" w:hAnsiTheme="majorHAnsi"/>
                <w:sz w:val="22"/>
                <w:szCs w:val="22"/>
              </w:rPr>
            </w:pPr>
          </w:p>
          <w:p w14:paraId="42B72097"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Finally, allowing P/P Customers to appeal a P/P Provider’s decision to disclose ignores the basic contractual imbalance between trademark owners, P/P Providers, and P/P Customers. Two of those groups – the P/P Providers and the P/P Customers – have a contractual relationship with each other.</w:t>
            </w:r>
          </w:p>
          <w:p w14:paraId="066A0C03" w14:textId="77777777" w:rsidR="00150974" w:rsidRPr="00FB6104" w:rsidRDefault="00150974" w:rsidP="00150974">
            <w:pPr>
              <w:rPr>
                <w:rFonts w:asciiTheme="majorHAnsi" w:eastAsia="Times New Roman" w:hAnsiTheme="majorHAnsi"/>
                <w:sz w:val="22"/>
                <w:szCs w:val="22"/>
              </w:rPr>
            </w:pPr>
          </w:p>
          <w:p w14:paraId="21E2F78F" w14:textId="2BBDDA10" w:rsidR="00325F01" w:rsidRPr="0003664B" w:rsidRDefault="00150974" w:rsidP="0062714B">
            <w:pPr>
              <w:rPr>
                <w:rFonts w:asciiTheme="majorHAnsi" w:eastAsia="Times New Roman" w:hAnsiTheme="majorHAnsi"/>
                <w:sz w:val="22"/>
                <w:szCs w:val="22"/>
              </w:rPr>
            </w:pPr>
            <w:r w:rsidRPr="00FB6104">
              <w:rPr>
                <w:rFonts w:asciiTheme="majorHAnsi" w:eastAsia="Times New Roman" w:hAnsiTheme="majorHAnsi"/>
                <w:sz w:val="22"/>
                <w:szCs w:val="22"/>
              </w:rPr>
              <w:t xml:space="preserve">[T] most significant open question is what standard to use to justify a P/P Provider’s refusal to disclose based on either: 1) the P/P Customer’s objection (as outlined in Section III(C)(ii)); or 2) the P/P Provider’s own determination (as outlined in Section III(C)(iii)). The Disclosure Framework offers two possible options for this standard. Of these two standards, INTA only supports the second. </w:t>
            </w:r>
          </w:p>
        </w:tc>
        <w:tc>
          <w:tcPr>
            <w:tcW w:w="3060" w:type="dxa"/>
          </w:tcPr>
          <w:p w14:paraId="1B3FF5FA" w14:textId="77777777" w:rsidR="00325F01" w:rsidRPr="007C033C" w:rsidRDefault="00325F01" w:rsidP="002C71AD">
            <w:pPr>
              <w:rPr>
                <w:rFonts w:ascii="Calibri" w:eastAsia="Times New Roman" w:hAnsi="Calibri" w:cs="Arial"/>
                <w:sz w:val="22"/>
                <w:szCs w:val="22"/>
                <w:shd w:val="clear" w:color="auto" w:fill="FFFFFF"/>
              </w:rPr>
            </w:pPr>
          </w:p>
        </w:tc>
        <w:tc>
          <w:tcPr>
            <w:tcW w:w="1608" w:type="dxa"/>
          </w:tcPr>
          <w:p w14:paraId="7FCC472A" w14:textId="2D636956" w:rsidR="00325F01" w:rsidRDefault="00150974"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INTA</w:t>
            </w:r>
          </w:p>
        </w:tc>
        <w:tc>
          <w:tcPr>
            <w:tcW w:w="2694" w:type="dxa"/>
          </w:tcPr>
          <w:p w14:paraId="5AD3242C" w14:textId="77777777" w:rsidR="00325F01" w:rsidRPr="007C033C" w:rsidRDefault="00325F01" w:rsidP="002C71AD">
            <w:pPr>
              <w:contextualSpacing/>
              <w:rPr>
                <w:rFonts w:ascii="Calibri" w:hAnsi="Calibri"/>
                <w:sz w:val="22"/>
              </w:rPr>
            </w:pPr>
          </w:p>
        </w:tc>
        <w:tc>
          <w:tcPr>
            <w:tcW w:w="2436" w:type="dxa"/>
          </w:tcPr>
          <w:p w14:paraId="711F8705" w14:textId="77777777" w:rsidR="00325F01" w:rsidRPr="007C033C" w:rsidRDefault="00325F01" w:rsidP="002C71AD">
            <w:pPr>
              <w:contextualSpacing/>
              <w:rPr>
                <w:rFonts w:ascii="Calibri" w:hAnsi="Calibri"/>
                <w:b/>
                <w:sz w:val="22"/>
              </w:rPr>
            </w:pPr>
          </w:p>
        </w:tc>
      </w:tr>
      <w:tr w:rsidR="00E11EE7" w:rsidRPr="007C033C" w14:paraId="03AE51A8" w14:textId="77777777" w:rsidTr="00D4090A">
        <w:tc>
          <w:tcPr>
            <w:tcW w:w="835" w:type="dxa"/>
          </w:tcPr>
          <w:p w14:paraId="54D2FEF3" w14:textId="77777777" w:rsidR="00E11EE7" w:rsidRPr="002C71AD" w:rsidRDefault="00E11EE7" w:rsidP="002C71AD">
            <w:pPr>
              <w:pStyle w:val="ListParagraph"/>
              <w:numPr>
                <w:ilvl w:val="0"/>
                <w:numId w:val="28"/>
              </w:numPr>
              <w:rPr>
                <w:rFonts w:ascii="Calibri" w:hAnsi="Calibri"/>
                <w:b/>
                <w:sz w:val="22"/>
              </w:rPr>
            </w:pPr>
          </w:p>
        </w:tc>
        <w:tc>
          <w:tcPr>
            <w:tcW w:w="3960" w:type="dxa"/>
          </w:tcPr>
          <w:p w14:paraId="51148EC3" w14:textId="35EC0B3E" w:rsidR="00E11EE7" w:rsidRDefault="00E11EE7" w:rsidP="00150974">
            <w:pPr>
              <w:rPr>
                <w:rFonts w:asciiTheme="majorHAnsi" w:eastAsia="Times New Roman" w:hAnsiTheme="majorHAnsi"/>
                <w:sz w:val="22"/>
                <w:szCs w:val="22"/>
                <w:lang w:val="en-CA"/>
              </w:rPr>
            </w:pPr>
            <w:r w:rsidRPr="001B3F12">
              <w:rPr>
                <w:rFonts w:asciiTheme="majorHAnsi" w:eastAsia="Times New Roman" w:hAnsiTheme="majorHAnsi"/>
                <w:sz w:val="22"/>
                <w:szCs w:val="22"/>
                <w:lang w:val="en-CA"/>
              </w:rPr>
              <w:t xml:space="preserve">Turner especially supports Section HI(D) of the Disclosure Framework, which provides that P/P Providers cannot refuse disclosure solely for lack of a court order, subpoena, pending civil action, or UDRP/URS proceeding, or because a request for disclosure is founded on intellectual property infringement taking place on a website associated with a domain name, rather </w:t>
            </w:r>
            <w:r>
              <w:rPr>
                <w:rFonts w:asciiTheme="majorHAnsi" w:eastAsia="Times New Roman" w:hAnsiTheme="majorHAnsi"/>
                <w:sz w:val="22"/>
                <w:szCs w:val="22"/>
                <w:lang w:val="en-CA"/>
              </w:rPr>
              <w:t>than in the domain name itself.</w:t>
            </w:r>
            <w:r w:rsidRPr="001B3F12">
              <w:rPr>
                <w:rFonts w:asciiTheme="majorHAnsi" w:eastAsia="Times New Roman" w:hAnsiTheme="majorHAnsi"/>
                <w:sz w:val="22"/>
                <w:szCs w:val="22"/>
                <w:lang w:val="en-CA"/>
              </w:rPr>
              <w:t xml:space="preserve"> In fact, it is not an exaggeration to say that Section HI(D) is a deal-breaker: without it Turner could not support the remainder of the Disclosure Framework (or, for that matter, the Initial Report). The whole purpose of the Disclosure Framework is to answer these questions: when and how can trademark and copyright owners obtain disclosure?  If the WG's answers to those questions were: only after a civil action or UDRP/URS, and only with a court order </w:t>
            </w:r>
            <w:r>
              <w:rPr>
                <w:rFonts w:asciiTheme="majorHAnsi" w:eastAsia="Times New Roman" w:hAnsiTheme="majorHAnsi"/>
                <w:sz w:val="22"/>
                <w:szCs w:val="22"/>
                <w:lang w:val="en-CA"/>
              </w:rPr>
              <w:t xml:space="preserve">or </w:t>
            </w:r>
            <w:r w:rsidRPr="001B3F12">
              <w:rPr>
                <w:rFonts w:asciiTheme="majorHAnsi" w:eastAsia="Times New Roman" w:hAnsiTheme="majorHAnsi"/>
                <w:sz w:val="22"/>
                <w:szCs w:val="22"/>
                <w:lang w:val="en-CA"/>
              </w:rPr>
              <w:t xml:space="preserve">subpoena, then what was the point of the rest of the Disclosure Framework, or </w:t>
            </w:r>
            <w:r>
              <w:rPr>
                <w:rFonts w:asciiTheme="majorHAnsi" w:eastAsia="Times New Roman" w:hAnsiTheme="majorHAnsi"/>
                <w:sz w:val="22"/>
                <w:szCs w:val="22"/>
                <w:lang w:val="en-CA"/>
              </w:rPr>
              <w:t xml:space="preserve">of the extensive negotiations </w:t>
            </w:r>
            <w:r w:rsidRPr="001B3F12">
              <w:rPr>
                <w:rFonts w:asciiTheme="majorHAnsi" w:eastAsia="Times New Roman" w:hAnsiTheme="majorHAnsi"/>
                <w:sz w:val="22"/>
                <w:szCs w:val="22"/>
                <w:lang w:val="en-CA"/>
              </w:rPr>
              <w:t xml:space="preserve">that went into creating it? And could such a rule even be considered an "accreditation" recommendation at all?  Arguing that the only times that P/P Providers must disclose is when they are ordered to do so by a court or other tribunal is nothing more than arguing that P/P Providers must follow the law.  </w:t>
            </w:r>
          </w:p>
          <w:p w14:paraId="1CB5B21F" w14:textId="77777777" w:rsidR="00E11EE7" w:rsidRDefault="00E11EE7" w:rsidP="00150974">
            <w:pPr>
              <w:rPr>
                <w:rFonts w:asciiTheme="majorHAnsi" w:eastAsia="Times New Roman" w:hAnsiTheme="majorHAnsi"/>
                <w:sz w:val="22"/>
                <w:szCs w:val="22"/>
                <w:lang w:val="en-CA"/>
              </w:rPr>
            </w:pPr>
          </w:p>
          <w:p w14:paraId="6FD16C0E" w14:textId="77777777" w:rsidR="00E11EE7" w:rsidRDefault="00E11EE7" w:rsidP="00150974">
            <w:pPr>
              <w:rPr>
                <w:rFonts w:asciiTheme="majorHAnsi" w:eastAsia="Times New Roman" w:hAnsiTheme="majorHAnsi"/>
                <w:sz w:val="22"/>
                <w:szCs w:val="22"/>
                <w:lang w:val="en-CA"/>
              </w:rPr>
            </w:pPr>
            <w:r w:rsidRPr="001B3F12">
              <w:rPr>
                <w:rFonts w:asciiTheme="majorHAnsi" w:eastAsia="Times New Roman" w:hAnsiTheme="majorHAnsi"/>
                <w:sz w:val="22"/>
                <w:szCs w:val="22"/>
                <w:lang w:val="en-CA"/>
              </w:rPr>
              <w:t>Turner also agrees with Section III(D)'s treatment of content, and specifically with its clear rule that disclosure may not be denied because a request is founded on intellectual property infringement taking place on a website associated with a domain name, rather than in the domain name itself.  All of the examples that Turner outlined above illustrate why this part of III(D) is critical</w:t>
            </w:r>
            <w:r>
              <w:rPr>
                <w:rFonts w:asciiTheme="majorHAnsi" w:eastAsia="Times New Roman" w:hAnsiTheme="majorHAnsi"/>
                <w:sz w:val="22"/>
                <w:szCs w:val="22"/>
                <w:lang w:val="en-CA"/>
              </w:rPr>
              <w:t>.</w:t>
            </w:r>
          </w:p>
          <w:p w14:paraId="502B5A3C" w14:textId="77777777" w:rsidR="00E11EE7" w:rsidRDefault="00E11EE7" w:rsidP="00150974">
            <w:pPr>
              <w:rPr>
                <w:rFonts w:asciiTheme="majorHAnsi" w:eastAsia="Times New Roman" w:hAnsiTheme="majorHAnsi"/>
                <w:sz w:val="22"/>
                <w:szCs w:val="22"/>
                <w:lang w:val="en-CA"/>
              </w:rPr>
            </w:pPr>
          </w:p>
          <w:p w14:paraId="3B7813EE" w14:textId="77777777" w:rsidR="00656D80" w:rsidRDefault="00E11EE7" w:rsidP="00E11EE7">
            <w:pPr>
              <w:rPr>
                <w:rFonts w:asciiTheme="majorHAnsi" w:eastAsia="Times New Roman" w:hAnsiTheme="majorHAnsi"/>
                <w:sz w:val="22"/>
                <w:szCs w:val="22"/>
                <w:lang w:val="en-CA"/>
              </w:rPr>
            </w:pPr>
            <w:r w:rsidRPr="00656D80">
              <w:rPr>
                <w:rFonts w:asciiTheme="majorHAnsi" w:eastAsia="Times New Roman" w:hAnsiTheme="majorHAnsi"/>
                <w:sz w:val="22"/>
                <w:szCs w:val="22"/>
                <w:u w:val="single"/>
                <w:lang w:val="en-CA"/>
              </w:rPr>
              <w:t>The Disclosure Framework also needs improvements in multiple places. Some are narrow</w:t>
            </w:r>
            <w:r w:rsidRPr="00E11EE7">
              <w:rPr>
                <w:rFonts w:asciiTheme="majorHAnsi" w:eastAsia="Times New Roman" w:hAnsiTheme="majorHAnsi"/>
                <w:sz w:val="22"/>
                <w:szCs w:val="22"/>
                <w:lang w:val="en-CA"/>
              </w:rPr>
              <w:t xml:space="preserve">. </w:t>
            </w:r>
          </w:p>
          <w:p w14:paraId="07452D70" w14:textId="08A1531A" w:rsidR="00E11EE7" w:rsidRDefault="00E11EE7" w:rsidP="00E11EE7">
            <w:pPr>
              <w:rPr>
                <w:rFonts w:asciiTheme="majorHAnsi" w:eastAsia="Times New Roman" w:hAnsiTheme="majorHAnsi"/>
                <w:sz w:val="22"/>
                <w:szCs w:val="22"/>
                <w:lang w:val="en-CA"/>
              </w:rPr>
            </w:pPr>
            <w:r w:rsidRPr="00E11EE7">
              <w:rPr>
                <w:rFonts w:asciiTheme="majorHAnsi" w:eastAsia="Times New Roman" w:hAnsiTheme="majorHAnsi"/>
                <w:sz w:val="22"/>
                <w:szCs w:val="22"/>
                <w:lang w:val="en-CA"/>
              </w:rPr>
              <w:t xml:space="preserve">For example, the timeframes referenced in Sections III(A) and (B)8 should be kept short (no more than 14 calendar days total should suffice) to ensure that trademark and copyright owners like TCN, for example, can obtain the contact information for the proprietor of a pornographic website quickly enough to limit the number of children exposed to any inappropriate content. </w:t>
            </w:r>
          </w:p>
          <w:p w14:paraId="31C15696" w14:textId="77777777" w:rsidR="00E11EE7" w:rsidRDefault="00E11EE7" w:rsidP="00E11EE7">
            <w:pPr>
              <w:rPr>
                <w:rFonts w:asciiTheme="majorHAnsi" w:eastAsia="Times New Roman" w:hAnsiTheme="majorHAnsi"/>
                <w:sz w:val="22"/>
                <w:szCs w:val="22"/>
                <w:lang w:val="en-CA"/>
              </w:rPr>
            </w:pPr>
          </w:p>
          <w:p w14:paraId="2D42C205" w14:textId="77777777" w:rsidR="00E11EE7" w:rsidRDefault="00E11EE7" w:rsidP="00E11EE7">
            <w:pPr>
              <w:rPr>
                <w:rFonts w:asciiTheme="majorHAnsi" w:eastAsia="Times New Roman" w:hAnsiTheme="majorHAnsi"/>
                <w:sz w:val="22"/>
                <w:szCs w:val="22"/>
                <w:lang w:val="en-CA"/>
              </w:rPr>
            </w:pPr>
            <w:r w:rsidRPr="00E11EE7">
              <w:rPr>
                <w:rFonts w:asciiTheme="majorHAnsi" w:eastAsia="Times New Roman" w:hAnsiTheme="majorHAnsi"/>
                <w:sz w:val="22"/>
                <w:szCs w:val="22"/>
                <w:lang w:val="en-CA"/>
              </w:rPr>
              <w:t>Similarly, the "cost recovery fee" for processing disclosure requests that is referenced in Section I(B)(iii)9 should be dropped</w:t>
            </w:r>
            <w:r>
              <w:rPr>
                <w:rFonts w:asciiTheme="majorHAnsi" w:eastAsia="Times New Roman" w:hAnsiTheme="majorHAnsi"/>
                <w:sz w:val="22"/>
                <w:szCs w:val="22"/>
                <w:lang w:val="en-CA"/>
              </w:rPr>
              <w:t xml:space="preserve"> …</w:t>
            </w:r>
            <w:r w:rsidRPr="00E11EE7">
              <w:rPr>
                <w:rFonts w:asciiTheme="majorHAnsi" w:eastAsia="Times New Roman" w:hAnsiTheme="majorHAnsi"/>
                <w:sz w:val="22"/>
                <w:szCs w:val="22"/>
                <w:lang w:val="en-CA"/>
              </w:rPr>
              <w:t xml:space="preserve"> </w:t>
            </w:r>
          </w:p>
          <w:p w14:paraId="04CFC170" w14:textId="77777777" w:rsidR="00E11EE7" w:rsidRDefault="00E11EE7" w:rsidP="00E11EE7">
            <w:pPr>
              <w:rPr>
                <w:rFonts w:asciiTheme="majorHAnsi" w:eastAsia="Times New Roman" w:hAnsiTheme="majorHAnsi"/>
                <w:sz w:val="22"/>
                <w:szCs w:val="22"/>
                <w:lang w:val="en-CA"/>
              </w:rPr>
            </w:pPr>
          </w:p>
          <w:p w14:paraId="2A318119" w14:textId="313CAA40" w:rsidR="00E11EE7" w:rsidRDefault="00E11EE7" w:rsidP="00E11EE7">
            <w:pPr>
              <w:rPr>
                <w:rFonts w:asciiTheme="majorHAnsi" w:eastAsia="Times New Roman" w:hAnsiTheme="majorHAnsi"/>
                <w:sz w:val="22"/>
                <w:szCs w:val="22"/>
                <w:lang w:val="en-CA"/>
              </w:rPr>
            </w:pPr>
            <w:r w:rsidRPr="00E11EE7">
              <w:rPr>
                <w:rFonts w:asciiTheme="majorHAnsi" w:eastAsia="Times New Roman" w:hAnsiTheme="majorHAnsi"/>
                <w:sz w:val="22"/>
                <w:szCs w:val="22"/>
                <w:lang w:val="en-CA"/>
              </w:rPr>
              <w:t xml:space="preserve">Sections II(A)(5) and II(C)(5)113 must be amended to clarify that owners of common-law trademarks will not be excluded from the process outlined in the Disclosure Framework.  </w:t>
            </w:r>
          </w:p>
          <w:p w14:paraId="7F5C1471" w14:textId="77777777" w:rsidR="00E11EE7" w:rsidRDefault="00E11EE7" w:rsidP="00E11EE7">
            <w:pPr>
              <w:rPr>
                <w:rFonts w:asciiTheme="majorHAnsi" w:eastAsia="Times New Roman" w:hAnsiTheme="majorHAnsi"/>
                <w:sz w:val="22"/>
                <w:szCs w:val="22"/>
                <w:lang w:val="en-CA"/>
              </w:rPr>
            </w:pPr>
          </w:p>
          <w:p w14:paraId="36596A3A" w14:textId="77777777" w:rsidR="00E11EE7" w:rsidRDefault="00E11EE7" w:rsidP="00E11EE7">
            <w:pPr>
              <w:rPr>
                <w:rFonts w:asciiTheme="majorHAnsi" w:eastAsia="Times New Roman" w:hAnsiTheme="majorHAnsi"/>
                <w:sz w:val="22"/>
                <w:szCs w:val="22"/>
                <w:lang w:val="en-CA"/>
              </w:rPr>
            </w:pPr>
            <w:r w:rsidRPr="00E11EE7">
              <w:rPr>
                <w:rFonts w:asciiTheme="majorHAnsi" w:eastAsia="Times New Roman" w:hAnsiTheme="majorHAnsi"/>
                <w:sz w:val="22"/>
                <w:szCs w:val="22"/>
                <w:u w:val="single"/>
                <w:lang w:val="en-CA"/>
              </w:rPr>
              <w:t>Other necessary improvements are broader</w:t>
            </w:r>
            <w:r w:rsidRPr="00E11EE7">
              <w:rPr>
                <w:rFonts w:asciiTheme="majorHAnsi" w:eastAsia="Times New Roman" w:hAnsiTheme="majorHAnsi"/>
                <w:sz w:val="22"/>
                <w:szCs w:val="22"/>
                <w:lang w:val="en-CA"/>
              </w:rPr>
              <w:t xml:space="preserve">. </w:t>
            </w:r>
          </w:p>
          <w:p w14:paraId="187FFE8D" w14:textId="00564A9D" w:rsidR="00E11EE7" w:rsidRPr="00E11EE7" w:rsidRDefault="00E11EE7" w:rsidP="00E11EE7">
            <w:pPr>
              <w:rPr>
                <w:rFonts w:asciiTheme="majorHAnsi" w:eastAsia="Times New Roman" w:hAnsiTheme="majorHAnsi"/>
                <w:sz w:val="22"/>
                <w:szCs w:val="22"/>
                <w:lang w:val="en-CA"/>
              </w:rPr>
            </w:pPr>
            <w:r w:rsidRPr="00E11EE7">
              <w:rPr>
                <w:rFonts w:asciiTheme="majorHAnsi" w:eastAsia="Times New Roman" w:hAnsiTheme="majorHAnsi"/>
                <w:sz w:val="22"/>
                <w:szCs w:val="22"/>
                <w:lang w:val="en-CA"/>
              </w:rPr>
              <w:t xml:space="preserve">One is that Section III(F) — which outlines the appeal process in which P/P Providers must participate if they decide to </w:t>
            </w:r>
            <w:r w:rsidRPr="00E11EE7">
              <w:rPr>
                <w:rFonts w:asciiTheme="majorHAnsi" w:eastAsia="Times New Roman" w:hAnsiTheme="majorHAnsi"/>
                <w:i/>
                <w:sz w:val="22"/>
                <w:szCs w:val="22"/>
                <w:lang w:val="en-CA"/>
              </w:rPr>
              <w:t xml:space="preserve">refuse </w:t>
            </w:r>
            <w:r w:rsidRPr="00E11EE7">
              <w:rPr>
                <w:rFonts w:asciiTheme="majorHAnsi" w:eastAsia="Times New Roman" w:hAnsiTheme="majorHAnsi"/>
                <w:sz w:val="22"/>
                <w:szCs w:val="22"/>
                <w:lang w:val="en-CA"/>
              </w:rPr>
              <w:t xml:space="preserve">a disclosure request" — should not be extended to decisions to </w:t>
            </w:r>
            <w:r w:rsidRPr="00E11EE7">
              <w:rPr>
                <w:rFonts w:asciiTheme="majorHAnsi" w:eastAsia="Times New Roman" w:hAnsiTheme="majorHAnsi"/>
                <w:i/>
                <w:sz w:val="22"/>
                <w:szCs w:val="22"/>
                <w:lang w:val="en-CA"/>
              </w:rPr>
              <w:t xml:space="preserve">grant </w:t>
            </w:r>
            <w:r w:rsidRPr="00E11EE7">
              <w:rPr>
                <w:rFonts w:asciiTheme="majorHAnsi" w:eastAsia="Times New Roman" w:hAnsiTheme="majorHAnsi"/>
                <w:sz w:val="22"/>
                <w:szCs w:val="22"/>
                <w:lang w:val="en-CA"/>
              </w:rPr>
              <w:t>disclosure requests.  The Disclosure Framework is ambiguous on this point. By its terms</w:t>
            </w:r>
            <w:r w:rsidR="00656D80">
              <w:rPr>
                <w:rFonts w:asciiTheme="majorHAnsi" w:eastAsia="Times New Roman" w:hAnsiTheme="majorHAnsi"/>
                <w:sz w:val="22"/>
                <w:szCs w:val="22"/>
                <w:lang w:val="en-CA"/>
              </w:rPr>
              <w:t>, Section III(F) only applies "</w:t>
            </w:r>
            <w:r w:rsidRPr="00E11EE7">
              <w:rPr>
                <w:rFonts w:asciiTheme="majorHAnsi" w:eastAsia="Times New Roman" w:hAnsiTheme="majorHAnsi"/>
                <w:sz w:val="22"/>
                <w:szCs w:val="22"/>
                <w:lang w:val="en-CA"/>
              </w:rPr>
              <w:t xml:space="preserve">in the event of a final refusal to disclose by the Provider." But Section III(F) then concludes with a clause that the appeal process "should be similarly accessible to the Customer for purposes of an appeal." Why a P/P Customer would want to appeal a P/P Provider's decision to </w:t>
            </w:r>
            <w:r w:rsidRPr="00E11EE7">
              <w:rPr>
                <w:rFonts w:asciiTheme="majorHAnsi" w:eastAsia="Times New Roman" w:hAnsiTheme="majorHAnsi"/>
                <w:i/>
                <w:sz w:val="22"/>
                <w:szCs w:val="22"/>
                <w:lang w:val="en-CA"/>
              </w:rPr>
              <w:t xml:space="preserve">refuse </w:t>
            </w:r>
            <w:r w:rsidRPr="00E11EE7">
              <w:rPr>
                <w:rFonts w:asciiTheme="majorHAnsi" w:eastAsia="Times New Roman" w:hAnsiTheme="majorHAnsi"/>
                <w:sz w:val="22"/>
                <w:szCs w:val="22"/>
                <w:lang w:val="en-CA"/>
              </w:rPr>
              <w:t>to disclose is not clear (isn't that what the P/P Customer would want?).  And of course this ambiguity can be resolved by simply deleting that final clause.</w:t>
            </w:r>
          </w:p>
          <w:p w14:paraId="0155141C" w14:textId="77777777" w:rsidR="00E11EE7" w:rsidRPr="00E11EE7" w:rsidRDefault="00E11EE7" w:rsidP="00E11EE7">
            <w:pPr>
              <w:rPr>
                <w:rFonts w:asciiTheme="majorHAnsi" w:eastAsia="Times New Roman" w:hAnsiTheme="majorHAnsi"/>
                <w:sz w:val="22"/>
                <w:szCs w:val="22"/>
                <w:lang w:val="en-CA"/>
              </w:rPr>
            </w:pPr>
          </w:p>
          <w:p w14:paraId="4BAC038F" w14:textId="77777777" w:rsidR="00E11EE7" w:rsidRDefault="00E11EE7" w:rsidP="00656D80">
            <w:pPr>
              <w:rPr>
                <w:rFonts w:asciiTheme="majorHAnsi" w:eastAsia="Times New Roman" w:hAnsiTheme="majorHAnsi"/>
                <w:sz w:val="22"/>
                <w:szCs w:val="22"/>
                <w:lang w:val="en-CA"/>
              </w:rPr>
            </w:pPr>
            <w:r w:rsidRPr="00E11EE7">
              <w:rPr>
                <w:rFonts w:asciiTheme="majorHAnsi" w:eastAsia="Times New Roman" w:hAnsiTheme="majorHAnsi"/>
                <w:sz w:val="22"/>
                <w:szCs w:val="22"/>
                <w:lang w:val="en-CA"/>
              </w:rPr>
              <w:t xml:space="preserve">But assuming that the final clause was included to give P/P Customers the ability to appeal P/P Provider decisions to </w:t>
            </w:r>
            <w:r w:rsidRPr="00E11EE7">
              <w:rPr>
                <w:rFonts w:asciiTheme="majorHAnsi" w:eastAsia="Times New Roman" w:hAnsiTheme="majorHAnsi"/>
                <w:i/>
                <w:sz w:val="22"/>
                <w:szCs w:val="22"/>
                <w:lang w:val="en-CA"/>
              </w:rPr>
              <w:t xml:space="preserve">grant </w:t>
            </w:r>
            <w:r w:rsidRPr="00E11EE7">
              <w:rPr>
                <w:rFonts w:asciiTheme="majorHAnsi" w:eastAsia="Times New Roman" w:hAnsiTheme="majorHAnsi"/>
                <w:sz w:val="22"/>
                <w:szCs w:val="22"/>
                <w:lang w:val="en-CA"/>
              </w:rPr>
              <w:t>disclosure requests, then there are at least three problems with it. First, such an appeal (the logistics of which are left undefined) would necessarily add confusion and delay to the carefully negotiated process that is outlined i</w:t>
            </w:r>
            <w:r w:rsidR="00656D80">
              <w:rPr>
                <w:rFonts w:asciiTheme="majorHAnsi" w:eastAsia="Times New Roman" w:hAnsiTheme="majorHAnsi"/>
                <w:sz w:val="22"/>
                <w:szCs w:val="22"/>
                <w:lang w:val="en-CA"/>
              </w:rPr>
              <w:t xml:space="preserve">n the Disclosure Framework. .. </w:t>
            </w:r>
            <w:r w:rsidRPr="00E11EE7">
              <w:rPr>
                <w:rFonts w:asciiTheme="majorHAnsi" w:eastAsia="Times New Roman" w:hAnsiTheme="majorHAnsi"/>
                <w:sz w:val="22"/>
                <w:szCs w:val="22"/>
                <w:lang w:val="en-CA"/>
              </w:rPr>
              <w:t xml:space="preserve">Second, such an appeal ignores the fact that other portions of the Initial Report acknowledge that P/P Providers retain the ability to </w:t>
            </w:r>
            <w:r w:rsidRPr="00E11EE7">
              <w:rPr>
                <w:rFonts w:asciiTheme="majorHAnsi" w:eastAsia="Times New Roman" w:hAnsiTheme="majorHAnsi"/>
                <w:i/>
                <w:sz w:val="22"/>
                <w:szCs w:val="22"/>
                <w:lang w:val="en-CA"/>
              </w:rPr>
              <w:t xml:space="preserve">immediately </w:t>
            </w:r>
            <w:r w:rsidRPr="00E11EE7">
              <w:rPr>
                <w:rFonts w:asciiTheme="majorHAnsi" w:eastAsia="Times New Roman" w:hAnsiTheme="majorHAnsi"/>
                <w:sz w:val="22"/>
                <w:szCs w:val="22"/>
                <w:lang w:val="en-CA"/>
              </w:rPr>
              <w:t>terminate a P/P Service (and hence publish the P/P Customer's contact information to the work — not just disclose it to one complainant) for any grounds outlin</w:t>
            </w:r>
            <w:r w:rsidR="00656D80">
              <w:rPr>
                <w:rFonts w:asciiTheme="majorHAnsi" w:eastAsia="Times New Roman" w:hAnsiTheme="majorHAnsi"/>
                <w:sz w:val="22"/>
                <w:szCs w:val="22"/>
                <w:lang w:val="en-CA"/>
              </w:rPr>
              <w:t>ed in their Terms of Service.'</w:t>
            </w:r>
            <w:r w:rsidRPr="00E11EE7">
              <w:rPr>
                <w:rFonts w:asciiTheme="majorHAnsi" w:eastAsia="Times New Roman" w:hAnsiTheme="majorHAnsi"/>
                <w:sz w:val="22"/>
                <w:szCs w:val="22"/>
                <w:lang w:val="en-CA"/>
              </w:rPr>
              <w:t xml:space="preserve"> Why should a P/P Provider be able to immediately terminate a PIP Service simply because a P/P Customer fails to pay up (which harms nobody other than the P/P Provider), but then be required to satisfy some undefined appeal process simply to disclose (not publish to the world) in a case of trademark infringement (which harms both the trademark own</w:t>
            </w:r>
            <w:r w:rsidR="00656D80">
              <w:rPr>
                <w:rFonts w:asciiTheme="majorHAnsi" w:eastAsia="Times New Roman" w:hAnsiTheme="majorHAnsi"/>
                <w:sz w:val="22"/>
                <w:szCs w:val="22"/>
                <w:lang w:val="en-CA"/>
              </w:rPr>
              <w:t xml:space="preserve">er and the consuming public)?  </w:t>
            </w:r>
            <w:r w:rsidRPr="00E11EE7">
              <w:rPr>
                <w:rFonts w:asciiTheme="majorHAnsi" w:eastAsia="Times New Roman" w:hAnsiTheme="majorHAnsi"/>
                <w:sz w:val="22"/>
                <w:szCs w:val="22"/>
                <w:lang w:val="en-CA"/>
              </w:rPr>
              <w:t>Third, such an appeal ignores the contractual relationship between P/P</w:t>
            </w:r>
            <w:r w:rsidR="00656D80">
              <w:rPr>
                <w:rFonts w:asciiTheme="majorHAnsi" w:eastAsia="Times New Roman" w:hAnsiTheme="majorHAnsi"/>
                <w:sz w:val="22"/>
                <w:szCs w:val="22"/>
                <w:lang w:val="en-CA"/>
              </w:rPr>
              <w:t xml:space="preserve"> </w:t>
            </w:r>
            <w:r w:rsidR="00656D80" w:rsidRPr="00656D80">
              <w:rPr>
                <w:rFonts w:asciiTheme="majorHAnsi" w:eastAsia="Times New Roman" w:hAnsiTheme="majorHAnsi"/>
                <w:sz w:val="22"/>
                <w:szCs w:val="22"/>
                <w:lang w:val="en-CA"/>
              </w:rPr>
              <w:t>Providers and P/P Customers</w:t>
            </w:r>
            <w:r w:rsidR="00656D80">
              <w:rPr>
                <w:rFonts w:asciiTheme="majorHAnsi" w:eastAsia="Times New Roman" w:hAnsiTheme="majorHAnsi"/>
                <w:sz w:val="22"/>
                <w:szCs w:val="22"/>
                <w:lang w:val="en-CA"/>
              </w:rPr>
              <w:t xml:space="preserve"> …</w:t>
            </w:r>
            <w:r w:rsidR="00656D80" w:rsidRPr="00656D80">
              <w:rPr>
                <w:rFonts w:asciiTheme="majorHAnsi" w:eastAsia="Times New Roman" w:hAnsiTheme="majorHAnsi"/>
                <w:sz w:val="22"/>
                <w:szCs w:val="22"/>
                <w:lang w:val="en-CA"/>
              </w:rPr>
              <w:t xml:space="preserve">Trademark and copyright owners </w:t>
            </w:r>
            <w:r w:rsidR="00656D80">
              <w:rPr>
                <w:rFonts w:asciiTheme="majorHAnsi" w:eastAsia="Times New Roman" w:hAnsiTheme="majorHAnsi"/>
                <w:sz w:val="22"/>
                <w:szCs w:val="22"/>
                <w:lang w:val="en-CA"/>
              </w:rPr>
              <w:t>[</w:t>
            </w:r>
            <w:r w:rsidR="00656D80" w:rsidRPr="00656D80">
              <w:rPr>
                <w:rFonts w:asciiTheme="majorHAnsi" w:eastAsia="Times New Roman" w:hAnsiTheme="majorHAnsi"/>
                <w:sz w:val="22"/>
                <w:szCs w:val="22"/>
                <w:lang w:val="en-CA"/>
              </w:rPr>
              <w:t>are</w:t>
            </w:r>
            <w:r w:rsidR="00656D80">
              <w:rPr>
                <w:rFonts w:asciiTheme="majorHAnsi" w:eastAsia="Times New Roman" w:hAnsiTheme="majorHAnsi"/>
                <w:sz w:val="22"/>
                <w:szCs w:val="22"/>
                <w:lang w:val="en-CA"/>
              </w:rPr>
              <w:t>]</w:t>
            </w:r>
            <w:r w:rsidR="00656D80" w:rsidRPr="00656D80">
              <w:rPr>
                <w:rFonts w:asciiTheme="majorHAnsi" w:eastAsia="Times New Roman" w:hAnsiTheme="majorHAnsi"/>
                <w:sz w:val="22"/>
                <w:szCs w:val="22"/>
                <w:lang w:val="en-CA"/>
              </w:rPr>
              <w:t xml:space="preserve"> not parties to the contract between the PIP Provider and the P/P Customer.</w:t>
            </w:r>
          </w:p>
          <w:p w14:paraId="21116BAE" w14:textId="77777777" w:rsidR="00656D80" w:rsidRDefault="00656D80" w:rsidP="00656D80">
            <w:pPr>
              <w:rPr>
                <w:rFonts w:asciiTheme="majorHAnsi" w:eastAsia="Times New Roman" w:hAnsiTheme="majorHAnsi"/>
                <w:sz w:val="22"/>
                <w:szCs w:val="22"/>
                <w:lang w:val="en-CA"/>
              </w:rPr>
            </w:pPr>
          </w:p>
          <w:p w14:paraId="6C6C8489" w14:textId="25176FFC" w:rsidR="00656D80" w:rsidRPr="00656D80" w:rsidRDefault="00656D80" w:rsidP="00656D80">
            <w:pPr>
              <w:rPr>
                <w:rFonts w:asciiTheme="majorHAnsi" w:eastAsia="Times New Roman" w:hAnsiTheme="majorHAnsi"/>
                <w:sz w:val="22"/>
                <w:szCs w:val="22"/>
                <w:lang w:val="en-CA"/>
              </w:rPr>
            </w:pPr>
            <w:r>
              <w:rPr>
                <w:rFonts w:asciiTheme="majorHAnsi" w:eastAsia="Times New Roman" w:hAnsiTheme="majorHAnsi"/>
                <w:sz w:val="22"/>
                <w:szCs w:val="22"/>
                <w:lang w:val="en-CA"/>
              </w:rPr>
              <w:t>[T]</w:t>
            </w:r>
            <w:r w:rsidRPr="00656D80">
              <w:rPr>
                <w:rFonts w:asciiTheme="majorHAnsi" w:eastAsia="Times New Roman" w:hAnsiTheme="majorHAnsi"/>
                <w:sz w:val="22"/>
                <w:szCs w:val="22"/>
                <w:lang w:val="en-CA"/>
              </w:rPr>
              <w:t xml:space="preserve">he WG should amend Sections III(C)(ii) and (iii) to clarify that P/P Providers can refuse to disclose when the PIP Customer has provided — or the P/P Provider has independently found — a reasonable basis for believing that the P/P Customer is not infringing the trademark or copyright in question (or that its use is defensible) — </w:t>
            </w:r>
            <w:r w:rsidRPr="00656D80">
              <w:rPr>
                <w:rFonts w:asciiTheme="majorHAnsi" w:eastAsia="Times New Roman" w:hAnsiTheme="majorHAnsi"/>
                <w:b/>
                <w:i/>
                <w:sz w:val="22"/>
                <w:szCs w:val="22"/>
                <w:lang w:val="en-CA"/>
              </w:rPr>
              <w:t xml:space="preserve">not </w:t>
            </w:r>
            <w:r w:rsidRPr="00656D80">
              <w:rPr>
                <w:rFonts w:asciiTheme="majorHAnsi" w:eastAsia="Times New Roman" w:hAnsiTheme="majorHAnsi"/>
                <w:sz w:val="22"/>
                <w:szCs w:val="22"/>
                <w:lang w:val="en-CA"/>
              </w:rPr>
              <w:t xml:space="preserve">simply for </w:t>
            </w:r>
            <w:r w:rsidRPr="00656D80">
              <w:rPr>
                <w:rFonts w:asciiTheme="majorHAnsi" w:eastAsia="Times New Roman" w:hAnsiTheme="majorHAnsi"/>
                <w:b/>
                <w:i/>
                <w:sz w:val="22"/>
                <w:szCs w:val="22"/>
                <w:lang w:val="en-CA"/>
              </w:rPr>
              <w:t xml:space="preserve">any </w:t>
            </w:r>
            <w:r w:rsidRPr="00656D80">
              <w:rPr>
                <w:rFonts w:asciiTheme="majorHAnsi" w:eastAsia="Times New Roman" w:hAnsiTheme="majorHAnsi"/>
                <w:sz w:val="22"/>
                <w:szCs w:val="22"/>
                <w:lang w:val="en-CA"/>
              </w:rPr>
              <w:t xml:space="preserve">reason that the PIP Provider finds adequate, sufficient, or compelling." The problem with allowing P/P Providers to refuse to disclose for </w:t>
            </w:r>
            <w:r w:rsidRPr="00656D80">
              <w:rPr>
                <w:rFonts w:asciiTheme="majorHAnsi" w:eastAsia="Times New Roman" w:hAnsiTheme="majorHAnsi"/>
                <w:b/>
                <w:i/>
                <w:sz w:val="22"/>
                <w:szCs w:val="22"/>
                <w:lang w:val="en-CA"/>
              </w:rPr>
              <w:t xml:space="preserve">any </w:t>
            </w:r>
            <w:r w:rsidRPr="00656D80">
              <w:rPr>
                <w:rFonts w:asciiTheme="majorHAnsi" w:eastAsia="Times New Roman" w:hAnsiTheme="majorHAnsi"/>
                <w:sz w:val="22"/>
                <w:szCs w:val="22"/>
                <w:lang w:val="en-CA"/>
              </w:rPr>
              <w:t xml:space="preserve">reason that they find adequate, sufficient, or compelling is not merely that those words are ambiguous, which only invites further legal wrangling in the future (though that is certainly true).  It is that the Disclosure Framework — as a function of its exhaustiveness, which is commendable — has already addressed </w:t>
            </w:r>
            <w:r w:rsidRPr="00656D80">
              <w:rPr>
                <w:rFonts w:asciiTheme="majorHAnsi" w:eastAsia="Times New Roman" w:hAnsiTheme="majorHAnsi"/>
                <w:b/>
                <w:i/>
                <w:sz w:val="22"/>
                <w:szCs w:val="22"/>
                <w:lang w:val="en-CA"/>
              </w:rPr>
              <w:t xml:space="preserve">every </w:t>
            </w:r>
            <w:r w:rsidRPr="00656D80">
              <w:rPr>
                <w:rFonts w:asciiTheme="majorHAnsi" w:eastAsia="Times New Roman" w:hAnsiTheme="majorHAnsi"/>
                <w:sz w:val="22"/>
                <w:szCs w:val="22"/>
                <w:lang w:val="en-CA"/>
              </w:rPr>
              <w:t>potential reason a P/P Provider might have for refusing to disclose</w:t>
            </w:r>
            <w:r>
              <w:rPr>
                <w:rFonts w:asciiTheme="majorHAnsi" w:eastAsia="Times New Roman" w:hAnsiTheme="majorHAnsi"/>
                <w:sz w:val="22"/>
                <w:szCs w:val="22"/>
                <w:lang w:val="en-CA"/>
              </w:rPr>
              <w:t xml:space="preserve"> …</w:t>
            </w:r>
          </w:p>
          <w:p w14:paraId="0F2FD604" w14:textId="77777777" w:rsidR="00656D80" w:rsidRDefault="00656D80" w:rsidP="00656D80">
            <w:pPr>
              <w:rPr>
                <w:rFonts w:asciiTheme="majorHAnsi" w:eastAsia="Times New Roman" w:hAnsiTheme="majorHAnsi"/>
                <w:sz w:val="22"/>
                <w:szCs w:val="22"/>
                <w:lang w:val="en-CA"/>
              </w:rPr>
            </w:pPr>
          </w:p>
          <w:p w14:paraId="1A2578C1" w14:textId="38E742A3" w:rsidR="00656D80" w:rsidRPr="00656D80" w:rsidRDefault="00656D80" w:rsidP="00656D80">
            <w:pPr>
              <w:rPr>
                <w:rFonts w:asciiTheme="majorHAnsi" w:eastAsia="Times New Roman" w:hAnsiTheme="majorHAnsi"/>
                <w:sz w:val="22"/>
                <w:szCs w:val="22"/>
                <w:lang w:val="en-CA"/>
              </w:rPr>
            </w:pPr>
            <w:r w:rsidRPr="00656D80">
              <w:rPr>
                <w:rFonts w:asciiTheme="majorHAnsi" w:eastAsia="Times New Roman" w:hAnsiTheme="majorHAnsi"/>
                <w:sz w:val="22"/>
                <w:szCs w:val="22"/>
                <w:lang w:val="en-CA"/>
              </w:rPr>
              <w:t>The only reason left that is not covered elsewhere is the most obvious one — that the intellectual</w:t>
            </w:r>
            <w:r>
              <w:rPr>
                <w:rFonts w:asciiTheme="majorHAnsi" w:eastAsia="Times New Roman" w:hAnsiTheme="majorHAnsi"/>
                <w:sz w:val="22"/>
                <w:szCs w:val="22"/>
                <w:lang w:val="en-CA"/>
              </w:rPr>
              <w:t xml:space="preserve"> pr</w:t>
            </w:r>
            <w:r w:rsidRPr="00656D80">
              <w:rPr>
                <w:rFonts w:asciiTheme="majorHAnsi" w:eastAsia="Times New Roman" w:hAnsiTheme="majorHAnsi"/>
                <w:sz w:val="22"/>
                <w:szCs w:val="22"/>
                <w:lang w:val="en-CA"/>
              </w:rPr>
              <w:t xml:space="preserve">operty owner has not made its case.  Amending Sections III(C)(ii) and (iii) to clarify that P/P Providers can refuse to disclose when the P/P Customer has provided — or the P/P Provider has </w:t>
            </w:r>
            <w:r>
              <w:rPr>
                <w:rFonts w:asciiTheme="majorHAnsi" w:eastAsia="Times New Roman" w:hAnsiTheme="majorHAnsi"/>
                <w:sz w:val="22"/>
                <w:szCs w:val="22"/>
                <w:lang w:val="en-CA"/>
              </w:rPr>
              <w:t>i</w:t>
            </w:r>
            <w:r w:rsidRPr="00656D80">
              <w:rPr>
                <w:rFonts w:asciiTheme="majorHAnsi" w:eastAsia="Times New Roman" w:hAnsiTheme="majorHAnsi"/>
                <w:sz w:val="22"/>
                <w:szCs w:val="22"/>
                <w:lang w:val="en-CA"/>
              </w:rPr>
              <w:t xml:space="preserve">ndependently found — a reasonable basis for believing that the P/P Customer is not infringing the </w:t>
            </w:r>
            <w:r>
              <w:rPr>
                <w:rFonts w:asciiTheme="majorHAnsi" w:eastAsia="Times New Roman" w:hAnsiTheme="majorHAnsi"/>
                <w:sz w:val="22"/>
                <w:szCs w:val="22"/>
                <w:lang w:val="en-CA"/>
              </w:rPr>
              <w:t>t</w:t>
            </w:r>
            <w:r w:rsidRPr="00656D80">
              <w:rPr>
                <w:rFonts w:asciiTheme="majorHAnsi" w:eastAsia="Times New Roman" w:hAnsiTheme="majorHAnsi"/>
                <w:sz w:val="22"/>
                <w:szCs w:val="22"/>
                <w:lang w:val="en-CA"/>
              </w:rPr>
              <w:t>rademark or copyright in question (or that its use is defensible) plugs that one last remaining hole.</w:t>
            </w:r>
          </w:p>
          <w:p w14:paraId="1AF43598" w14:textId="77777777" w:rsidR="00656D80" w:rsidRDefault="00656D80" w:rsidP="00656D80">
            <w:pPr>
              <w:rPr>
                <w:rFonts w:asciiTheme="majorHAnsi" w:eastAsia="Times New Roman" w:hAnsiTheme="majorHAnsi"/>
                <w:sz w:val="22"/>
                <w:szCs w:val="22"/>
                <w:lang w:val="en-CA"/>
              </w:rPr>
            </w:pPr>
          </w:p>
          <w:p w14:paraId="3D8B956E" w14:textId="35562251" w:rsidR="00656D80" w:rsidRPr="00E11EE7" w:rsidRDefault="00656D80" w:rsidP="00656D80">
            <w:pPr>
              <w:rPr>
                <w:rFonts w:asciiTheme="majorHAnsi" w:eastAsia="Times New Roman" w:hAnsiTheme="majorHAnsi"/>
                <w:sz w:val="22"/>
                <w:szCs w:val="22"/>
                <w:lang w:val="en-CA"/>
              </w:rPr>
            </w:pPr>
            <w:r>
              <w:rPr>
                <w:rFonts w:asciiTheme="majorHAnsi" w:eastAsia="Times New Roman" w:hAnsiTheme="majorHAnsi"/>
                <w:sz w:val="22"/>
                <w:szCs w:val="22"/>
                <w:lang w:val="en-CA"/>
              </w:rPr>
              <w:t>[This]</w:t>
            </w:r>
            <w:r w:rsidRPr="00656D80">
              <w:rPr>
                <w:rFonts w:asciiTheme="majorHAnsi" w:eastAsia="Times New Roman" w:hAnsiTheme="majorHAnsi"/>
                <w:sz w:val="22"/>
                <w:szCs w:val="22"/>
                <w:lang w:val="en-CA"/>
              </w:rPr>
              <w:t>also has the added benefit of keeping Sections III(C)(ii) and (iii) consistent with Sections II(A)(6)(a), II(C)(6)(a),</w:t>
            </w:r>
            <w:r>
              <w:rPr>
                <w:rFonts w:asciiTheme="majorHAnsi" w:eastAsia="Times New Roman" w:hAnsiTheme="majorHAnsi"/>
                <w:sz w:val="22"/>
                <w:szCs w:val="22"/>
                <w:lang w:val="en-CA"/>
              </w:rPr>
              <w:t xml:space="preserve"> and III(F).</w:t>
            </w:r>
            <w:r w:rsidRPr="00656D80">
              <w:rPr>
                <w:rFonts w:asciiTheme="majorHAnsi" w:eastAsia="Times New Roman" w:hAnsiTheme="majorHAnsi"/>
                <w:sz w:val="22"/>
                <w:szCs w:val="22"/>
                <w:lang w:val="en-CA"/>
              </w:rPr>
              <w:t xml:space="preserve"> Drafting Sections III(C)(ii)</w:t>
            </w:r>
            <w:r>
              <w:rPr>
                <w:rFonts w:asciiTheme="majorHAnsi" w:eastAsia="Times New Roman" w:hAnsiTheme="majorHAnsi"/>
                <w:sz w:val="22"/>
                <w:szCs w:val="22"/>
                <w:lang w:val="en-CA"/>
              </w:rPr>
              <w:t xml:space="preserve"> and (iii) to instead allow P/P P</w:t>
            </w:r>
            <w:r w:rsidRPr="00656D80">
              <w:rPr>
                <w:rFonts w:asciiTheme="majorHAnsi" w:eastAsia="Times New Roman" w:hAnsiTheme="majorHAnsi"/>
                <w:sz w:val="22"/>
                <w:szCs w:val="22"/>
                <w:lang w:val="en-CA"/>
              </w:rPr>
              <w:t xml:space="preserve">roviders to refuse to disclose for any reason that they find adequate, sufficient, or compelling not </w:t>
            </w:r>
            <w:r>
              <w:rPr>
                <w:rFonts w:asciiTheme="majorHAnsi" w:eastAsia="Times New Roman" w:hAnsiTheme="majorHAnsi"/>
                <w:sz w:val="22"/>
                <w:szCs w:val="22"/>
                <w:lang w:val="en-CA"/>
              </w:rPr>
              <w:t>o</w:t>
            </w:r>
            <w:r w:rsidRPr="00656D80">
              <w:rPr>
                <w:rFonts w:asciiTheme="majorHAnsi" w:eastAsia="Times New Roman" w:hAnsiTheme="majorHAnsi"/>
                <w:sz w:val="22"/>
                <w:szCs w:val="22"/>
                <w:lang w:val="en-CA"/>
              </w:rPr>
              <w:t>nly leaves that gap unfilled, it also adds uncertainty and ambiguity to a pr</w:t>
            </w:r>
            <w:r>
              <w:rPr>
                <w:rFonts w:asciiTheme="majorHAnsi" w:eastAsia="Times New Roman" w:hAnsiTheme="majorHAnsi"/>
                <w:sz w:val="22"/>
                <w:szCs w:val="22"/>
                <w:lang w:val="en-CA"/>
              </w:rPr>
              <w:t>ocess that is otherwise st</w:t>
            </w:r>
            <w:r w:rsidRPr="00656D80">
              <w:rPr>
                <w:rFonts w:asciiTheme="majorHAnsi" w:eastAsia="Times New Roman" w:hAnsiTheme="majorHAnsi"/>
                <w:sz w:val="22"/>
                <w:szCs w:val="22"/>
                <w:lang w:val="en-CA"/>
              </w:rPr>
              <w:t xml:space="preserve">raightforward.  Why the WG would choose to do so in Sections III(C)(ii) and (iii) — when the </w:t>
            </w:r>
            <w:r>
              <w:rPr>
                <w:rFonts w:asciiTheme="majorHAnsi" w:eastAsia="Times New Roman" w:hAnsiTheme="majorHAnsi"/>
                <w:sz w:val="22"/>
                <w:szCs w:val="22"/>
                <w:lang w:val="en-CA"/>
              </w:rPr>
              <w:t>r</w:t>
            </w:r>
            <w:r w:rsidRPr="00656D80">
              <w:rPr>
                <w:rFonts w:asciiTheme="majorHAnsi" w:eastAsia="Times New Roman" w:hAnsiTheme="majorHAnsi"/>
                <w:sz w:val="22"/>
                <w:szCs w:val="22"/>
                <w:lang w:val="en-CA"/>
              </w:rPr>
              <w:t>est of the Disclosure Framework is precise and comprehensive — is not clear.</w:t>
            </w:r>
            <w:bookmarkStart w:id="0" w:name="_GoBack"/>
            <w:bookmarkEnd w:id="0"/>
          </w:p>
        </w:tc>
        <w:tc>
          <w:tcPr>
            <w:tcW w:w="3060" w:type="dxa"/>
          </w:tcPr>
          <w:p w14:paraId="2EF07F0B" w14:textId="77777777" w:rsidR="00E11EE7" w:rsidRPr="007C033C" w:rsidRDefault="00E11EE7" w:rsidP="002C71AD">
            <w:pPr>
              <w:rPr>
                <w:rFonts w:ascii="Calibri" w:eastAsia="Times New Roman" w:hAnsi="Calibri" w:cs="Arial"/>
                <w:sz w:val="22"/>
                <w:szCs w:val="22"/>
                <w:shd w:val="clear" w:color="auto" w:fill="FFFFFF"/>
              </w:rPr>
            </w:pPr>
          </w:p>
        </w:tc>
        <w:tc>
          <w:tcPr>
            <w:tcW w:w="1608" w:type="dxa"/>
          </w:tcPr>
          <w:p w14:paraId="5B4699EB" w14:textId="2B7C0D3C" w:rsidR="00E11EE7" w:rsidRDefault="00E11EE7"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Turner Broadcasting System</w:t>
            </w:r>
          </w:p>
        </w:tc>
        <w:tc>
          <w:tcPr>
            <w:tcW w:w="2694" w:type="dxa"/>
          </w:tcPr>
          <w:p w14:paraId="3E8BACCE" w14:textId="77777777" w:rsidR="00E11EE7" w:rsidRPr="007C033C" w:rsidRDefault="00E11EE7" w:rsidP="002C71AD">
            <w:pPr>
              <w:contextualSpacing/>
              <w:rPr>
                <w:rFonts w:ascii="Calibri" w:hAnsi="Calibri"/>
                <w:sz w:val="22"/>
              </w:rPr>
            </w:pPr>
          </w:p>
        </w:tc>
        <w:tc>
          <w:tcPr>
            <w:tcW w:w="2436" w:type="dxa"/>
          </w:tcPr>
          <w:p w14:paraId="0F712BE9" w14:textId="77777777" w:rsidR="00E11EE7" w:rsidRPr="007C033C" w:rsidRDefault="00E11EE7" w:rsidP="002C71AD">
            <w:pPr>
              <w:contextualSpacing/>
              <w:rPr>
                <w:rFonts w:ascii="Calibri" w:hAnsi="Calibri"/>
                <w:b/>
                <w:sz w:val="22"/>
              </w:rPr>
            </w:pPr>
          </w:p>
        </w:tc>
      </w:tr>
      <w:tr w:rsidR="005F643A" w:rsidRPr="007C033C" w14:paraId="4DD812C7" w14:textId="77777777" w:rsidTr="00D4090A">
        <w:tc>
          <w:tcPr>
            <w:tcW w:w="835" w:type="dxa"/>
          </w:tcPr>
          <w:p w14:paraId="3BC349A9" w14:textId="77777777" w:rsidR="005F643A" w:rsidRPr="002C71AD" w:rsidRDefault="005F643A" w:rsidP="005F643A">
            <w:pPr>
              <w:pStyle w:val="ListParagraph"/>
              <w:numPr>
                <w:ilvl w:val="0"/>
                <w:numId w:val="28"/>
              </w:numPr>
              <w:rPr>
                <w:rFonts w:ascii="Calibri" w:hAnsi="Calibri"/>
                <w:b/>
                <w:sz w:val="22"/>
              </w:rPr>
            </w:pPr>
          </w:p>
        </w:tc>
        <w:tc>
          <w:tcPr>
            <w:tcW w:w="3960" w:type="dxa"/>
          </w:tcPr>
          <w:p w14:paraId="4DED9DED" w14:textId="4118913A" w:rsidR="005F643A" w:rsidRPr="00FB6104" w:rsidRDefault="005F643A" w:rsidP="005F643A">
            <w:pPr>
              <w:rPr>
                <w:rFonts w:asciiTheme="majorHAnsi" w:eastAsia="Times New Roman" w:hAnsiTheme="majorHAnsi"/>
                <w:sz w:val="22"/>
                <w:szCs w:val="22"/>
              </w:rPr>
            </w:pPr>
            <w:r w:rsidRPr="001A3972">
              <w:rPr>
                <w:rFonts w:ascii="Calibri" w:hAnsi="Calibri"/>
                <w:sz w:val="22"/>
                <w:szCs w:val="22"/>
              </w:rPr>
              <w:t>I strongly agree with the requirement that the sworn statement provide a basis for believing that the alleged infringement is indefensible, rather than simply alleging infringement. Section (III) clause D should be struck. A P/P provider should be free to only disclose customer details when served with valid legal process from a court with jurisdiction.</w:t>
            </w:r>
          </w:p>
        </w:tc>
        <w:tc>
          <w:tcPr>
            <w:tcW w:w="3060" w:type="dxa"/>
          </w:tcPr>
          <w:p w14:paraId="2FD07C84" w14:textId="77777777" w:rsidR="005F643A" w:rsidRPr="007C033C" w:rsidRDefault="005F643A" w:rsidP="005F643A">
            <w:pPr>
              <w:rPr>
                <w:rFonts w:ascii="Calibri" w:eastAsia="Times New Roman" w:hAnsi="Calibri" w:cs="Arial"/>
                <w:sz w:val="22"/>
                <w:szCs w:val="22"/>
                <w:shd w:val="clear" w:color="auto" w:fill="FFFFFF"/>
              </w:rPr>
            </w:pPr>
          </w:p>
        </w:tc>
        <w:tc>
          <w:tcPr>
            <w:tcW w:w="1608" w:type="dxa"/>
          </w:tcPr>
          <w:p w14:paraId="6C45B19C" w14:textId="66884385" w:rsidR="005F643A" w:rsidRDefault="005F643A" w:rsidP="005F643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Michael Ekstrand</w:t>
            </w:r>
          </w:p>
        </w:tc>
        <w:tc>
          <w:tcPr>
            <w:tcW w:w="2694" w:type="dxa"/>
          </w:tcPr>
          <w:p w14:paraId="48BBAFD2" w14:textId="77777777" w:rsidR="005F643A" w:rsidRPr="007C033C" w:rsidRDefault="005F643A" w:rsidP="005F643A">
            <w:pPr>
              <w:contextualSpacing/>
              <w:rPr>
                <w:rFonts w:ascii="Calibri" w:hAnsi="Calibri"/>
                <w:sz w:val="22"/>
              </w:rPr>
            </w:pPr>
          </w:p>
        </w:tc>
        <w:tc>
          <w:tcPr>
            <w:tcW w:w="2436" w:type="dxa"/>
          </w:tcPr>
          <w:p w14:paraId="6354F8C2" w14:textId="77777777" w:rsidR="005F643A" w:rsidRPr="007C033C" w:rsidRDefault="005F643A" w:rsidP="005F643A">
            <w:pPr>
              <w:contextualSpacing/>
              <w:rPr>
                <w:rFonts w:ascii="Calibri" w:hAnsi="Calibri"/>
                <w:b/>
                <w:sz w:val="22"/>
              </w:rPr>
            </w:pPr>
          </w:p>
        </w:tc>
      </w:tr>
      <w:tr w:rsidR="005F643A" w:rsidRPr="007C033C" w14:paraId="251B5A9F" w14:textId="77777777" w:rsidTr="00D4090A">
        <w:tc>
          <w:tcPr>
            <w:tcW w:w="835" w:type="dxa"/>
          </w:tcPr>
          <w:p w14:paraId="081D67BC" w14:textId="77777777" w:rsidR="005F643A" w:rsidRPr="002C71AD" w:rsidRDefault="005F643A" w:rsidP="005F643A">
            <w:pPr>
              <w:pStyle w:val="ListParagraph"/>
              <w:numPr>
                <w:ilvl w:val="0"/>
                <w:numId w:val="28"/>
              </w:numPr>
              <w:rPr>
                <w:rFonts w:ascii="Calibri" w:hAnsi="Calibri"/>
                <w:b/>
                <w:sz w:val="22"/>
              </w:rPr>
            </w:pPr>
          </w:p>
        </w:tc>
        <w:tc>
          <w:tcPr>
            <w:tcW w:w="3960" w:type="dxa"/>
          </w:tcPr>
          <w:p w14:paraId="70A6F578" w14:textId="77777777" w:rsidR="00325FD4" w:rsidRDefault="00325FD4" w:rsidP="005F643A">
            <w:pPr>
              <w:rPr>
                <w:rFonts w:asciiTheme="majorHAnsi" w:eastAsia="Times New Roman" w:hAnsiTheme="majorHAnsi"/>
                <w:sz w:val="22"/>
                <w:szCs w:val="22"/>
              </w:rPr>
            </w:pPr>
            <w:r w:rsidRPr="00325FD4">
              <w:rPr>
                <w:rFonts w:asciiTheme="majorHAnsi" w:eastAsia="Times New Roman" w:hAnsiTheme="majorHAnsi"/>
                <w:sz w:val="22"/>
                <w:szCs w:val="22"/>
              </w:rPr>
              <w:t xml:space="preserve">I.B.iv. The WG should clarify what a "streamlined process" would be. </w:t>
            </w:r>
          </w:p>
          <w:p w14:paraId="0CC8F0C3" w14:textId="77777777" w:rsidR="00325FD4" w:rsidRDefault="00325FD4" w:rsidP="005F643A">
            <w:pPr>
              <w:rPr>
                <w:rFonts w:asciiTheme="majorHAnsi" w:eastAsia="Times New Roman" w:hAnsiTheme="majorHAnsi"/>
                <w:sz w:val="22"/>
                <w:szCs w:val="22"/>
              </w:rPr>
            </w:pPr>
          </w:p>
          <w:p w14:paraId="13C92AEE" w14:textId="77777777" w:rsidR="00325FD4" w:rsidRDefault="00325FD4" w:rsidP="005F643A">
            <w:pPr>
              <w:rPr>
                <w:rFonts w:asciiTheme="majorHAnsi" w:eastAsia="Times New Roman" w:hAnsiTheme="majorHAnsi"/>
                <w:sz w:val="22"/>
                <w:szCs w:val="22"/>
              </w:rPr>
            </w:pPr>
            <w:r w:rsidRPr="00325FD4">
              <w:rPr>
                <w:rFonts w:asciiTheme="majorHAnsi" w:eastAsia="Times New Roman" w:hAnsiTheme="majorHAnsi"/>
                <w:sz w:val="22"/>
                <w:szCs w:val="22"/>
              </w:rPr>
              <w:t xml:space="preserve">III.A. Customers should have at least 60 calendar days to respond. </w:t>
            </w:r>
          </w:p>
          <w:p w14:paraId="0DB53E27" w14:textId="77777777" w:rsidR="00325FD4" w:rsidRDefault="00325FD4" w:rsidP="005F643A">
            <w:pPr>
              <w:rPr>
                <w:rFonts w:asciiTheme="majorHAnsi" w:eastAsia="Times New Roman" w:hAnsiTheme="majorHAnsi"/>
                <w:sz w:val="22"/>
                <w:szCs w:val="22"/>
              </w:rPr>
            </w:pPr>
          </w:p>
          <w:p w14:paraId="6B214F91" w14:textId="2780A7E2" w:rsidR="005F643A" w:rsidRPr="00FB6104" w:rsidRDefault="00325FD4" w:rsidP="005F643A">
            <w:pPr>
              <w:rPr>
                <w:rFonts w:asciiTheme="majorHAnsi" w:eastAsia="Times New Roman" w:hAnsiTheme="majorHAnsi"/>
                <w:sz w:val="22"/>
                <w:szCs w:val="22"/>
              </w:rPr>
            </w:pPr>
            <w:r w:rsidRPr="00325FD4">
              <w:rPr>
                <w:rFonts w:asciiTheme="majorHAnsi" w:eastAsia="Times New Roman" w:hAnsiTheme="majorHAnsi"/>
                <w:sz w:val="22"/>
                <w:szCs w:val="22"/>
              </w:rPr>
              <w:t>III.D. Privacy/proxy services should be able to refuse disclosure solely for lack of (i) a court order; (ii) a subpoena; (iii) a pending civil action; or (iv) a UDRP or URS proceeding; P/P service providers should be able to refuse to disclose solely based on the fact that the request is founded on alleged intellectual property infringement in content on a website associated with the domain name.</w:t>
            </w:r>
          </w:p>
        </w:tc>
        <w:tc>
          <w:tcPr>
            <w:tcW w:w="3060" w:type="dxa"/>
          </w:tcPr>
          <w:p w14:paraId="77F65752" w14:textId="77777777" w:rsidR="005F643A" w:rsidRPr="007C033C" w:rsidRDefault="005F643A" w:rsidP="005F643A">
            <w:pPr>
              <w:rPr>
                <w:rFonts w:ascii="Calibri" w:eastAsia="Times New Roman" w:hAnsi="Calibri" w:cs="Arial"/>
                <w:sz w:val="22"/>
                <w:szCs w:val="22"/>
                <w:shd w:val="clear" w:color="auto" w:fill="FFFFFF"/>
              </w:rPr>
            </w:pPr>
          </w:p>
        </w:tc>
        <w:tc>
          <w:tcPr>
            <w:tcW w:w="1608" w:type="dxa"/>
          </w:tcPr>
          <w:p w14:paraId="4080E97D" w14:textId="27BC26C8" w:rsidR="005F643A" w:rsidRDefault="00325FD4" w:rsidP="005F643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Homer</w:t>
            </w:r>
          </w:p>
        </w:tc>
        <w:tc>
          <w:tcPr>
            <w:tcW w:w="2694" w:type="dxa"/>
          </w:tcPr>
          <w:p w14:paraId="2C8A2E43" w14:textId="77777777" w:rsidR="005F643A" w:rsidRPr="007C033C" w:rsidRDefault="005F643A" w:rsidP="005F643A">
            <w:pPr>
              <w:contextualSpacing/>
              <w:rPr>
                <w:rFonts w:ascii="Calibri" w:hAnsi="Calibri"/>
                <w:sz w:val="22"/>
              </w:rPr>
            </w:pPr>
          </w:p>
        </w:tc>
        <w:tc>
          <w:tcPr>
            <w:tcW w:w="2436" w:type="dxa"/>
          </w:tcPr>
          <w:p w14:paraId="4C1D8F9D" w14:textId="77777777" w:rsidR="005F643A" w:rsidRPr="007C033C" w:rsidRDefault="005F643A" w:rsidP="005F643A">
            <w:pPr>
              <w:contextualSpacing/>
              <w:rPr>
                <w:rFonts w:ascii="Calibri" w:hAnsi="Calibri"/>
                <w:b/>
                <w:sz w:val="22"/>
              </w:rPr>
            </w:pPr>
          </w:p>
        </w:tc>
      </w:tr>
      <w:tr w:rsidR="00325FD4" w:rsidRPr="007C033C" w14:paraId="5485343A" w14:textId="77777777" w:rsidTr="00D4090A">
        <w:tc>
          <w:tcPr>
            <w:tcW w:w="835" w:type="dxa"/>
          </w:tcPr>
          <w:p w14:paraId="58B3BF7B" w14:textId="77777777" w:rsidR="00325FD4" w:rsidRPr="002C71AD" w:rsidRDefault="00325FD4" w:rsidP="005F643A">
            <w:pPr>
              <w:pStyle w:val="ListParagraph"/>
              <w:numPr>
                <w:ilvl w:val="0"/>
                <w:numId w:val="28"/>
              </w:numPr>
              <w:rPr>
                <w:rFonts w:ascii="Calibri" w:hAnsi="Calibri"/>
                <w:b/>
                <w:sz w:val="22"/>
              </w:rPr>
            </w:pPr>
          </w:p>
        </w:tc>
        <w:tc>
          <w:tcPr>
            <w:tcW w:w="3960" w:type="dxa"/>
          </w:tcPr>
          <w:p w14:paraId="02C5AADA" w14:textId="2B77A330" w:rsidR="00325FD4" w:rsidRPr="00325FD4" w:rsidRDefault="00325FD4" w:rsidP="005F643A">
            <w:pPr>
              <w:rPr>
                <w:rFonts w:asciiTheme="majorHAnsi" w:eastAsia="Times New Roman" w:hAnsiTheme="majorHAnsi"/>
                <w:sz w:val="22"/>
                <w:szCs w:val="22"/>
              </w:rPr>
            </w:pPr>
            <w:r w:rsidRPr="00325FD4">
              <w:rPr>
                <w:rFonts w:asciiTheme="majorHAnsi" w:eastAsia="Times New Roman" w:hAnsiTheme="majorHAnsi"/>
                <w:sz w:val="22"/>
                <w:szCs w:val="22"/>
              </w:rPr>
              <w:t>Preference for the wording: [a reasonable basis for believing (i) that it is not infringing the Requester’s claimed intellectual property rights, and/or (ii) that its use of the claimed intellectual property is defensible], as long as appropriate follow-up guidelines are established for preventing abuse by customers "playing dumb".</w:t>
            </w:r>
          </w:p>
        </w:tc>
        <w:tc>
          <w:tcPr>
            <w:tcW w:w="3060" w:type="dxa"/>
          </w:tcPr>
          <w:p w14:paraId="74382683" w14:textId="77777777" w:rsidR="00325FD4" w:rsidRPr="007C033C" w:rsidRDefault="00325FD4" w:rsidP="005F643A">
            <w:pPr>
              <w:rPr>
                <w:rFonts w:ascii="Calibri" w:eastAsia="Times New Roman" w:hAnsi="Calibri" w:cs="Arial"/>
                <w:sz w:val="22"/>
                <w:szCs w:val="22"/>
                <w:shd w:val="clear" w:color="auto" w:fill="FFFFFF"/>
              </w:rPr>
            </w:pPr>
          </w:p>
        </w:tc>
        <w:tc>
          <w:tcPr>
            <w:tcW w:w="1608" w:type="dxa"/>
          </w:tcPr>
          <w:p w14:paraId="292A6E13" w14:textId="47C1372D" w:rsidR="00325FD4" w:rsidRDefault="00325FD4" w:rsidP="005F643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Thomas Smoonlock</w:t>
            </w:r>
          </w:p>
        </w:tc>
        <w:tc>
          <w:tcPr>
            <w:tcW w:w="2694" w:type="dxa"/>
          </w:tcPr>
          <w:p w14:paraId="5BCD8A78" w14:textId="77777777" w:rsidR="00325FD4" w:rsidRPr="007C033C" w:rsidRDefault="00325FD4" w:rsidP="005F643A">
            <w:pPr>
              <w:contextualSpacing/>
              <w:rPr>
                <w:rFonts w:ascii="Calibri" w:hAnsi="Calibri"/>
                <w:sz w:val="22"/>
              </w:rPr>
            </w:pPr>
          </w:p>
        </w:tc>
        <w:tc>
          <w:tcPr>
            <w:tcW w:w="2436" w:type="dxa"/>
          </w:tcPr>
          <w:p w14:paraId="774606F1" w14:textId="77777777" w:rsidR="00325FD4" w:rsidRPr="007C033C" w:rsidRDefault="00325FD4" w:rsidP="005F643A">
            <w:pPr>
              <w:contextualSpacing/>
              <w:rPr>
                <w:rFonts w:ascii="Calibri" w:hAnsi="Calibri"/>
                <w:b/>
                <w:sz w:val="22"/>
              </w:rPr>
            </w:pPr>
          </w:p>
        </w:tc>
      </w:tr>
      <w:tr w:rsidR="00325FD4" w:rsidRPr="007C033C" w14:paraId="1FEB66D0" w14:textId="77777777" w:rsidTr="00D4090A">
        <w:tc>
          <w:tcPr>
            <w:tcW w:w="835" w:type="dxa"/>
          </w:tcPr>
          <w:p w14:paraId="7B276D51" w14:textId="77777777" w:rsidR="00325FD4" w:rsidRPr="002C71AD" w:rsidRDefault="00325FD4" w:rsidP="005F643A">
            <w:pPr>
              <w:pStyle w:val="ListParagraph"/>
              <w:numPr>
                <w:ilvl w:val="0"/>
                <w:numId w:val="28"/>
              </w:numPr>
              <w:rPr>
                <w:rFonts w:ascii="Calibri" w:hAnsi="Calibri"/>
                <w:b/>
                <w:sz w:val="22"/>
              </w:rPr>
            </w:pPr>
          </w:p>
        </w:tc>
        <w:tc>
          <w:tcPr>
            <w:tcW w:w="3960" w:type="dxa"/>
          </w:tcPr>
          <w:p w14:paraId="3299B19D" w14:textId="0AAA7117" w:rsidR="00325FD4" w:rsidRPr="00325FD4" w:rsidRDefault="00325FD4" w:rsidP="005F643A">
            <w:pPr>
              <w:rPr>
                <w:rFonts w:asciiTheme="majorHAnsi" w:eastAsia="Times New Roman" w:hAnsiTheme="majorHAnsi"/>
                <w:sz w:val="22"/>
                <w:szCs w:val="22"/>
              </w:rPr>
            </w:pPr>
            <w:r w:rsidRPr="00325FD4">
              <w:rPr>
                <w:rFonts w:asciiTheme="majorHAnsi" w:eastAsia="Times New Roman" w:hAnsiTheme="majorHAnsi"/>
                <w:sz w:val="22"/>
                <w:szCs w:val="22"/>
              </w:rPr>
              <w:t>This recommendation is very troubling (particularly, D. Disclosure cannot be refused solely for lack of any of the following: (i) a court order; (ii) a subpoena; (iii) a pending civil action; or (iv) a UDRP or URS proceeding; nor can refusal to disclose be solely based on the fact that the request is founded on alleged intellectual property infringement in content on a website associated with the domain name). As has been the case in prior attempts, this is an attempt by rights holders to compel providers to either hand over client information without due process and/or to adjudicate their clients' usage of potentially trademarked or copyrighted terms. We disagree with such efforts and again state that due process is central to any effort to compel registrant or provider behavior.</w:t>
            </w:r>
          </w:p>
        </w:tc>
        <w:tc>
          <w:tcPr>
            <w:tcW w:w="3060" w:type="dxa"/>
          </w:tcPr>
          <w:p w14:paraId="4D3FB12C" w14:textId="77777777" w:rsidR="00325FD4" w:rsidRPr="007C033C" w:rsidRDefault="00325FD4" w:rsidP="005F643A">
            <w:pPr>
              <w:rPr>
                <w:rFonts w:ascii="Calibri" w:eastAsia="Times New Roman" w:hAnsi="Calibri" w:cs="Arial"/>
                <w:sz w:val="22"/>
                <w:szCs w:val="22"/>
                <w:shd w:val="clear" w:color="auto" w:fill="FFFFFF"/>
              </w:rPr>
            </w:pPr>
          </w:p>
        </w:tc>
        <w:tc>
          <w:tcPr>
            <w:tcW w:w="1608" w:type="dxa"/>
          </w:tcPr>
          <w:p w14:paraId="1F7CB65C" w14:textId="5A6E9F8C" w:rsidR="00325FD4" w:rsidRDefault="00325FD4" w:rsidP="005F643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Donuts</w:t>
            </w:r>
          </w:p>
        </w:tc>
        <w:tc>
          <w:tcPr>
            <w:tcW w:w="2694" w:type="dxa"/>
          </w:tcPr>
          <w:p w14:paraId="0E6CA4F1" w14:textId="77777777" w:rsidR="00325FD4" w:rsidRPr="007C033C" w:rsidRDefault="00325FD4" w:rsidP="005F643A">
            <w:pPr>
              <w:contextualSpacing/>
              <w:rPr>
                <w:rFonts w:ascii="Calibri" w:hAnsi="Calibri"/>
                <w:sz w:val="22"/>
              </w:rPr>
            </w:pPr>
          </w:p>
        </w:tc>
        <w:tc>
          <w:tcPr>
            <w:tcW w:w="2436" w:type="dxa"/>
          </w:tcPr>
          <w:p w14:paraId="790069E5" w14:textId="77777777" w:rsidR="00325FD4" w:rsidRPr="007C033C" w:rsidRDefault="00325FD4" w:rsidP="005F643A">
            <w:pPr>
              <w:contextualSpacing/>
              <w:rPr>
                <w:rFonts w:ascii="Calibri" w:hAnsi="Calibri"/>
                <w:b/>
                <w:sz w:val="22"/>
              </w:rPr>
            </w:pPr>
          </w:p>
        </w:tc>
      </w:tr>
      <w:tr w:rsidR="00325FD4" w:rsidRPr="007C033C" w14:paraId="16A4C5D8" w14:textId="77777777" w:rsidTr="00D4090A">
        <w:tc>
          <w:tcPr>
            <w:tcW w:w="835" w:type="dxa"/>
          </w:tcPr>
          <w:p w14:paraId="713508EE" w14:textId="77777777" w:rsidR="00325FD4" w:rsidRPr="002C71AD" w:rsidRDefault="00325FD4" w:rsidP="005F643A">
            <w:pPr>
              <w:pStyle w:val="ListParagraph"/>
              <w:numPr>
                <w:ilvl w:val="0"/>
                <w:numId w:val="28"/>
              </w:numPr>
              <w:rPr>
                <w:rFonts w:ascii="Calibri" w:hAnsi="Calibri"/>
                <w:b/>
                <w:sz w:val="22"/>
              </w:rPr>
            </w:pPr>
          </w:p>
        </w:tc>
        <w:tc>
          <w:tcPr>
            <w:tcW w:w="3960" w:type="dxa"/>
          </w:tcPr>
          <w:p w14:paraId="1AA4907E" w14:textId="6D5B6F61" w:rsidR="00325FD4" w:rsidRPr="00325FD4" w:rsidRDefault="00325FD4" w:rsidP="005F643A">
            <w:pPr>
              <w:rPr>
                <w:rFonts w:asciiTheme="majorHAnsi" w:eastAsia="Times New Roman" w:hAnsiTheme="majorHAnsi"/>
                <w:sz w:val="22"/>
                <w:szCs w:val="22"/>
              </w:rPr>
            </w:pPr>
            <w:r>
              <w:rPr>
                <w:rFonts w:asciiTheme="majorHAnsi" w:eastAsia="Times New Roman" w:hAnsiTheme="majorHAnsi"/>
                <w:sz w:val="22"/>
                <w:szCs w:val="22"/>
              </w:rPr>
              <w:t>[I]</w:t>
            </w:r>
            <w:r w:rsidRPr="00325FD4">
              <w:rPr>
                <w:rFonts w:asciiTheme="majorHAnsi" w:eastAsia="Times New Roman" w:hAnsiTheme="majorHAnsi"/>
                <w:sz w:val="22"/>
                <w:szCs w:val="22"/>
              </w:rPr>
              <w:t>tem b- I am in favor of the word: "encouraged but not required to" item c : "sufficient" is a better word than the 2 other alternatives</w:t>
            </w:r>
          </w:p>
        </w:tc>
        <w:tc>
          <w:tcPr>
            <w:tcW w:w="3060" w:type="dxa"/>
          </w:tcPr>
          <w:p w14:paraId="3647F955" w14:textId="77777777" w:rsidR="00325FD4" w:rsidRPr="007C033C" w:rsidRDefault="00325FD4" w:rsidP="005F643A">
            <w:pPr>
              <w:rPr>
                <w:rFonts w:ascii="Calibri" w:eastAsia="Times New Roman" w:hAnsi="Calibri" w:cs="Arial"/>
                <w:sz w:val="22"/>
                <w:szCs w:val="22"/>
                <w:shd w:val="clear" w:color="auto" w:fill="FFFFFF"/>
              </w:rPr>
            </w:pPr>
          </w:p>
        </w:tc>
        <w:tc>
          <w:tcPr>
            <w:tcW w:w="1608" w:type="dxa"/>
          </w:tcPr>
          <w:p w14:paraId="0234F744" w14:textId="67CCBE65" w:rsidR="00325FD4" w:rsidRDefault="00325FD4" w:rsidP="005F643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Vanda Scartezini</w:t>
            </w:r>
          </w:p>
        </w:tc>
        <w:tc>
          <w:tcPr>
            <w:tcW w:w="2694" w:type="dxa"/>
          </w:tcPr>
          <w:p w14:paraId="44FEA6D2" w14:textId="77777777" w:rsidR="00325FD4" w:rsidRPr="007C033C" w:rsidRDefault="00325FD4" w:rsidP="005F643A">
            <w:pPr>
              <w:contextualSpacing/>
              <w:rPr>
                <w:rFonts w:ascii="Calibri" w:hAnsi="Calibri"/>
                <w:sz w:val="22"/>
              </w:rPr>
            </w:pPr>
          </w:p>
        </w:tc>
        <w:tc>
          <w:tcPr>
            <w:tcW w:w="2436" w:type="dxa"/>
          </w:tcPr>
          <w:p w14:paraId="7852AC31" w14:textId="77777777" w:rsidR="00325FD4" w:rsidRPr="007C033C" w:rsidRDefault="00325FD4" w:rsidP="005F643A">
            <w:pPr>
              <w:contextualSpacing/>
              <w:rPr>
                <w:rFonts w:ascii="Calibri" w:hAnsi="Calibri"/>
                <w:b/>
                <w:sz w:val="22"/>
              </w:rPr>
            </w:pPr>
          </w:p>
        </w:tc>
      </w:tr>
      <w:tr w:rsidR="00B0072A" w:rsidRPr="007C033C" w14:paraId="11AF59F6" w14:textId="77777777" w:rsidTr="00D4090A">
        <w:tc>
          <w:tcPr>
            <w:tcW w:w="835" w:type="dxa"/>
          </w:tcPr>
          <w:p w14:paraId="0E050A00" w14:textId="77777777" w:rsidR="00B0072A" w:rsidRPr="002C71AD" w:rsidRDefault="00B0072A" w:rsidP="005F643A">
            <w:pPr>
              <w:pStyle w:val="ListParagraph"/>
              <w:numPr>
                <w:ilvl w:val="0"/>
                <w:numId w:val="28"/>
              </w:numPr>
              <w:rPr>
                <w:rFonts w:ascii="Calibri" w:hAnsi="Calibri"/>
                <w:b/>
                <w:sz w:val="22"/>
              </w:rPr>
            </w:pPr>
          </w:p>
        </w:tc>
        <w:tc>
          <w:tcPr>
            <w:tcW w:w="3960" w:type="dxa"/>
          </w:tcPr>
          <w:p w14:paraId="725D5433" w14:textId="6FD7228F" w:rsidR="00B0072A" w:rsidRDefault="00B0072A" w:rsidP="005F643A">
            <w:pPr>
              <w:rPr>
                <w:rFonts w:asciiTheme="majorHAnsi" w:eastAsia="Times New Roman" w:hAnsiTheme="majorHAnsi"/>
                <w:sz w:val="22"/>
                <w:szCs w:val="22"/>
              </w:rPr>
            </w:pPr>
            <w:r w:rsidRPr="00B0072A">
              <w:rPr>
                <w:rFonts w:asciiTheme="majorHAnsi" w:eastAsia="Times New Roman" w:hAnsiTheme="majorHAnsi"/>
                <w:sz w:val="22"/>
                <w:szCs w:val="22"/>
              </w:rPr>
              <w:t>Would recommend inclusion of temporal data (e.g., when domain was acquired, when trademark was granted). Have seen at least one attempt to seize a long-standing domain via use of a recently appointed trademark.</w:t>
            </w:r>
          </w:p>
        </w:tc>
        <w:tc>
          <w:tcPr>
            <w:tcW w:w="3060" w:type="dxa"/>
          </w:tcPr>
          <w:p w14:paraId="01741D32" w14:textId="77777777" w:rsidR="00B0072A" w:rsidRPr="007C033C" w:rsidRDefault="00B0072A" w:rsidP="005F643A">
            <w:pPr>
              <w:rPr>
                <w:rFonts w:ascii="Calibri" w:eastAsia="Times New Roman" w:hAnsi="Calibri" w:cs="Arial"/>
                <w:sz w:val="22"/>
                <w:szCs w:val="22"/>
                <w:shd w:val="clear" w:color="auto" w:fill="FFFFFF"/>
              </w:rPr>
            </w:pPr>
          </w:p>
        </w:tc>
        <w:tc>
          <w:tcPr>
            <w:tcW w:w="1608" w:type="dxa"/>
          </w:tcPr>
          <w:p w14:paraId="5E90B398" w14:textId="0D940E22" w:rsidR="00B0072A" w:rsidRDefault="00B0072A" w:rsidP="005F643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Tim Kramer</w:t>
            </w:r>
          </w:p>
        </w:tc>
        <w:tc>
          <w:tcPr>
            <w:tcW w:w="2694" w:type="dxa"/>
          </w:tcPr>
          <w:p w14:paraId="7046C368" w14:textId="77777777" w:rsidR="00B0072A" w:rsidRPr="007C033C" w:rsidRDefault="00B0072A" w:rsidP="005F643A">
            <w:pPr>
              <w:contextualSpacing/>
              <w:rPr>
                <w:rFonts w:ascii="Calibri" w:hAnsi="Calibri"/>
                <w:sz w:val="22"/>
              </w:rPr>
            </w:pPr>
          </w:p>
        </w:tc>
        <w:tc>
          <w:tcPr>
            <w:tcW w:w="2436" w:type="dxa"/>
          </w:tcPr>
          <w:p w14:paraId="65C35561" w14:textId="77777777" w:rsidR="00B0072A" w:rsidRPr="007C033C" w:rsidRDefault="00B0072A" w:rsidP="005F643A">
            <w:pPr>
              <w:contextualSpacing/>
              <w:rPr>
                <w:rFonts w:ascii="Calibri" w:hAnsi="Calibri"/>
                <w:b/>
                <w:sz w:val="22"/>
              </w:rPr>
            </w:pPr>
          </w:p>
        </w:tc>
      </w:tr>
      <w:tr w:rsidR="00B0072A" w:rsidRPr="007C033C" w14:paraId="604DDA71" w14:textId="77777777" w:rsidTr="00D4090A">
        <w:tc>
          <w:tcPr>
            <w:tcW w:w="835" w:type="dxa"/>
          </w:tcPr>
          <w:p w14:paraId="2D7A967C" w14:textId="77777777" w:rsidR="00B0072A" w:rsidRPr="002C71AD" w:rsidRDefault="00B0072A" w:rsidP="005F643A">
            <w:pPr>
              <w:pStyle w:val="ListParagraph"/>
              <w:numPr>
                <w:ilvl w:val="0"/>
                <w:numId w:val="28"/>
              </w:numPr>
              <w:rPr>
                <w:rFonts w:ascii="Calibri" w:hAnsi="Calibri"/>
                <w:b/>
                <w:sz w:val="22"/>
              </w:rPr>
            </w:pPr>
          </w:p>
        </w:tc>
        <w:tc>
          <w:tcPr>
            <w:tcW w:w="3960" w:type="dxa"/>
          </w:tcPr>
          <w:p w14:paraId="52EBE23F" w14:textId="7EB5553D" w:rsidR="00B0072A" w:rsidRDefault="00B0072A" w:rsidP="005F643A">
            <w:pPr>
              <w:rPr>
                <w:rFonts w:asciiTheme="majorHAnsi" w:eastAsia="Times New Roman" w:hAnsiTheme="majorHAnsi"/>
                <w:sz w:val="22"/>
                <w:szCs w:val="22"/>
              </w:rPr>
            </w:pPr>
            <w:r w:rsidRPr="00B0072A">
              <w:rPr>
                <w:rFonts w:asciiTheme="majorHAnsi" w:eastAsia="Times New Roman" w:hAnsiTheme="majorHAnsi"/>
                <w:sz w:val="22"/>
                <w:szCs w:val="22"/>
              </w:rPr>
              <w:t>In Annex E, Sections A and B seem defensible. I am completely opposed to section C, allegation of trademark violation on web site; a statement such as "Mickey Mouse is a filthy rat" would qualify under this section. In the circumstance of section C, personal information should be disclosed only under court order or as part of a legal proceeding.</w:t>
            </w:r>
          </w:p>
        </w:tc>
        <w:tc>
          <w:tcPr>
            <w:tcW w:w="3060" w:type="dxa"/>
          </w:tcPr>
          <w:p w14:paraId="3E536480" w14:textId="77777777" w:rsidR="00B0072A" w:rsidRPr="007C033C" w:rsidRDefault="00B0072A" w:rsidP="005F643A">
            <w:pPr>
              <w:rPr>
                <w:rFonts w:ascii="Calibri" w:eastAsia="Times New Roman" w:hAnsi="Calibri" w:cs="Arial"/>
                <w:sz w:val="22"/>
                <w:szCs w:val="22"/>
                <w:shd w:val="clear" w:color="auto" w:fill="FFFFFF"/>
              </w:rPr>
            </w:pPr>
          </w:p>
        </w:tc>
        <w:tc>
          <w:tcPr>
            <w:tcW w:w="1608" w:type="dxa"/>
          </w:tcPr>
          <w:p w14:paraId="204365A2" w14:textId="0F498E5F" w:rsidR="00B0072A" w:rsidRDefault="005B585B" w:rsidP="005F643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Michael Ho</w:t>
            </w:r>
          </w:p>
        </w:tc>
        <w:tc>
          <w:tcPr>
            <w:tcW w:w="2694" w:type="dxa"/>
          </w:tcPr>
          <w:p w14:paraId="549EB73D" w14:textId="77777777" w:rsidR="00B0072A" w:rsidRPr="007C033C" w:rsidRDefault="00B0072A" w:rsidP="005F643A">
            <w:pPr>
              <w:contextualSpacing/>
              <w:rPr>
                <w:rFonts w:ascii="Calibri" w:hAnsi="Calibri"/>
                <w:sz w:val="22"/>
              </w:rPr>
            </w:pPr>
          </w:p>
        </w:tc>
        <w:tc>
          <w:tcPr>
            <w:tcW w:w="2436" w:type="dxa"/>
          </w:tcPr>
          <w:p w14:paraId="67E8929F" w14:textId="77777777" w:rsidR="00B0072A" w:rsidRPr="007C033C" w:rsidRDefault="00B0072A" w:rsidP="005F643A">
            <w:pPr>
              <w:contextualSpacing/>
              <w:rPr>
                <w:rFonts w:ascii="Calibri" w:hAnsi="Calibri"/>
                <w:b/>
                <w:sz w:val="22"/>
              </w:rPr>
            </w:pPr>
          </w:p>
        </w:tc>
      </w:tr>
    </w:tbl>
    <w:p w14:paraId="729DF88C" w14:textId="4E0DF86C" w:rsidR="00A9584F" w:rsidRDefault="00A9584F"/>
    <w:p w14:paraId="0F2C0773" w14:textId="77777777" w:rsidR="006B26EA" w:rsidRDefault="006B26EA"/>
    <w:p w14:paraId="27268CB0" w14:textId="77777777" w:rsidR="006B26EA" w:rsidRDefault="006B26EA"/>
    <w:p w14:paraId="6CB510F7" w14:textId="77777777" w:rsidR="006B26EA" w:rsidRDefault="006B26EA"/>
    <w:p w14:paraId="7958D068" w14:textId="77777777" w:rsidR="006B26EA" w:rsidRDefault="006B26EA"/>
    <w:sectPr w:rsidR="006B26EA" w:rsidSect="00E4332C">
      <w:footerReference w:type="even" r:id="rId11"/>
      <w:footerReference w:type="default" r:id="rId12"/>
      <w:pgSz w:w="16820" w:h="1190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33A67" w14:textId="77777777" w:rsidR="00E11EE7" w:rsidRDefault="00E11EE7" w:rsidP="00E4332C">
      <w:r>
        <w:separator/>
      </w:r>
    </w:p>
  </w:endnote>
  <w:endnote w:type="continuationSeparator" w:id="0">
    <w:p w14:paraId="77060F23" w14:textId="77777777" w:rsidR="00E11EE7" w:rsidRDefault="00E11EE7" w:rsidP="00E4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D9DA8" w14:textId="77777777" w:rsidR="00E11EE7" w:rsidRDefault="00E11EE7" w:rsidP="002C3D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FC405A" w14:textId="77777777" w:rsidR="00E11EE7" w:rsidRDefault="00E11EE7" w:rsidP="00AE0D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8F789" w14:textId="77777777" w:rsidR="00E11EE7" w:rsidRDefault="00E11EE7" w:rsidP="002C3D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6D80">
      <w:rPr>
        <w:rStyle w:val="PageNumber"/>
        <w:noProof/>
      </w:rPr>
      <w:t>1</w:t>
    </w:r>
    <w:r>
      <w:rPr>
        <w:rStyle w:val="PageNumber"/>
      </w:rPr>
      <w:fldChar w:fldCharType="end"/>
    </w:r>
  </w:p>
  <w:p w14:paraId="77AB2F0D" w14:textId="77777777" w:rsidR="00E11EE7" w:rsidRDefault="00E11EE7" w:rsidP="00AE0D2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508F3" w14:textId="77777777" w:rsidR="00E11EE7" w:rsidRDefault="00E11EE7" w:rsidP="00E4332C">
      <w:r>
        <w:separator/>
      </w:r>
    </w:p>
  </w:footnote>
  <w:footnote w:type="continuationSeparator" w:id="0">
    <w:p w14:paraId="45F6D55D" w14:textId="77777777" w:rsidR="00E11EE7" w:rsidRDefault="00E11EE7" w:rsidP="00E4332C">
      <w:r>
        <w:continuationSeparator/>
      </w:r>
    </w:p>
  </w:footnote>
  <w:footnote w:id="1">
    <w:p w14:paraId="26038EF3" w14:textId="77777777" w:rsidR="00E11EE7" w:rsidRPr="00E12492" w:rsidRDefault="00E11EE7" w:rsidP="00D56A5B">
      <w:pPr>
        <w:pStyle w:val="FootnoteText"/>
        <w:rPr>
          <w:rFonts w:asciiTheme="majorHAnsi" w:hAnsiTheme="majorHAnsi"/>
          <w:sz w:val="18"/>
          <w:szCs w:val="18"/>
        </w:rPr>
      </w:pPr>
      <w:r w:rsidRPr="00E12492">
        <w:rPr>
          <w:rStyle w:val="FootnoteReference"/>
          <w:rFonts w:asciiTheme="majorHAnsi" w:hAnsiTheme="majorHAnsi"/>
          <w:sz w:val="18"/>
          <w:szCs w:val="18"/>
        </w:rPr>
        <w:footnoteRef/>
      </w:r>
      <w:r w:rsidRPr="00E12492">
        <w:rPr>
          <w:rFonts w:asciiTheme="majorHAnsi" w:hAnsiTheme="majorHAnsi"/>
          <w:sz w:val="18"/>
          <w:szCs w:val="18"/>
        </w:rPr>
        <w:t xml:space="preserve"> This was a point also made by many other commenters.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5E804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CA63E8"/>
    <w:multiLevelType w:val="multilevel"/>
    <w:tmpl w:val="FB00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62F27"/>
    <w:multiLevelType w:val="hybridMultilevel"/>
    <w:tmpl w:val="DDEA0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5B6F7F"/>
    <w:multiLevelType w:val="hybridMultilevel"/>
    <w:tmpl w:val="56C068F2"/>
    <w:lvl w:ilvl="0" w:tplc="A26C7C1A">
      <w:start w:val="3"/>
      <w:numFmt w:val="bullet"/>
      <w:lvlText w:val="-"/>
      <w:lvlJc w:val="left"/>
      <w:pPr>
        <w:ind w:left="720" w:hanging="360"/>
      </w:pPr>
      <w:rPr>
        <w:rFonts w:ascii="Calibri" w:eastAsiaTheme="minorEastAsia" w:hAnsi="Calibri" w:cs="Aria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B05083"/>
    <w:multiLevelType w:val="multilevel"/>
    <w:tmpl w:val="EA2A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F26DA3"/>
    <w:multiLevelType w:val="hybridMultilevel"/>
    <w:tmpl w:val="72F46B96"/>
    <w:lvl w:ilvl="0" w:tplc="13DAD0EA">
      <w:numFmt w:val="bullet"/>
      <w:lvlText w:val="-"/>
      <w:lvlJc w:val="left"/>
      <w:pPr>
        <w:ind w:left="360" w:hanging="360"/>
      </w:pPr>
      <w:rPr>
        <w:rFonts w:ascii="Calibri" w:hAnsi="Calibri" w:hint="default"/>
        <w:b w:val="0"/>
        <w:i w:val="0"/>
        <w:color w:val="auto"/>
        <w:sz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494BFF"/>
    <w:multiLevelType w:val="hybridMultilevel"/>
    <w:tmpl w:val="8BCC82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282DD4"/>
    <w:multiLevelType w:val="hybridMultilevel"/>
    <w:tmpl w:val="A304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E248B5"/>
    <w:multiLevelType w:val="hybridMultilevel"/>
    <w:tmpl w:val="02D2B2B6"/>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0C20B5"/>
    <w:multiLevelType w:val="multilevel"/>
    <w:tmpl w:val="E84C5484"/>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69A2074"/>
    <w:multiLevelType w:val="hybridMultilevel"/>
    <w:tmpl w:val="6ABC1776"/>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2134F1"/>
    <w:multiLevelType w:val="hybridMultilevel"/>
    <w:tmpl w:val="84F04DD0"/>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F603C5"/>
    <w:multiLevelType w:val="hybridMultilevel"/>
    <w:tmpl w:val="78889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CB4176"/>
    <w:multiLevelType w:val="hybridMultilevel"/>
    <w:tmpl w:val="0DCE0122"/>
    <w:lvl w:ilvl="0" w:tplc="4630FDC8">
      <w:start w:val="28"/>
      <w:numFmt w:val="bullet"/>
      <w:lvlText w:val="-"/>
      <w:lvlJc w:val="left"/>
      <w:pPr>
        <w:ind w:left="1080" w:hanging="360"/>
      </w:pPr>
      <w:rPr>
        <w:rFonts w:ascii="Calibri" w:eastAsia="Cambria" w:hAnsi="Calibri" w:cs="Courie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44F76B6"/>
    <w:multiLevelType w:val="hybridMultilevel"/>
    <w:tmpl w:val="6B1CA5C6"/>
    <w:lvl w:ilvl="0" w:tplc="C2CA4C3E">
      <w:start w:val="28"/>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786548"/>
    <w:multiLevelType w:val="hybridMultilevel"/>
    <w:tmpl w:val="B9964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7B264C"/>
    <w:multiLevelType w:val="hybridMultilevel"/>
    <w:tmpl w:val="63AC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D51687"/>
    <w:multiLevelType w:val="hybridMultilevel"/>
    <w:tmpl w:val="F18E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2D6AE2"/>
    <w:multiLevelType w:val="hybridMultilevel"/>
    <w:tmpl w:val="656EA472"/>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777F31"/>
    <w:multiLevelType w:val="hybridMultilevel"/>
    <w:tmpl w:val="AAE460BC"/>
    <w:lvl w:ilvl="0" w:tplc="2BC82166">
      <w:start w:val="5"/>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93504D"/>
    <w:multiLevelType w:val="hybridMultilevel"/>
    <w:tmpl w:val="4C00E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3D2258"/>
    <w:multiLevelType w:val="hybridMultilevel"/>
    <w:tmpl w:val="A0C2A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5A4FCC"/>
    <w:multiLevelType w:val="multilevel"/>
    <w:tmpl w:val="97C8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E5738A"/>
    <w:multiLevelType w:val="hybridMultilevel"/>
    <w:tmpl w:val="7CF096F0"/>
    <w:lvl w:ilvl="0" w:tplc="ED2AF8E8">
      <w:start w:val="3"/>
      <w:numFmt w:val="bullet"/>
      <w:lvlText w:val="-"/>
      <w:lvlJc w:val="left"/>
      <w:pPr>
        <w:ind w:left="720" w:hanging="360"/>
      </w:pPr>
      <w:rPr>
        <w:rFonts w:ascii="Calibri" w:eastAsiaTheme="minorEastAsia" w:hAnsi="Calibri" w:cs="Courie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641938"/>
    <w:multiLevelType w:val="hybridMultilevel"/>
    <w:tmpl w:val="5DB0A232"/>
    <w:lvl w:ilvl="0" w:tplc="A26C7C1A">
      <w:start w:val="3"/>
      <w:numFmt w:val="bullet"/>
      <w:lvlText w:val="-"/>
      <w:lvlJc w:val="left"/>
      <w:pPr>
        <w:ind w:left="-720" w:hanging="360"/>
      </w:pPr>
      <w:rPr>
        <w:rFonts w:ascii="Calibri" w:eastAsiaTheme="minorEastAsia" w:hAnsi="Calibri" w:cs="Arial" w:hint="default"/>
        <w:sz w:val="22"/>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7">
    <w:nsid w:val="641B2599"/>
    <w:multiLevelType w:val="hybridMultilevel"/>
    <w:tmpl w:val="A906F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55653D"/>
    <w:multiLevelType w:val="multilevel"/>
    <w:tmpl w:val="73FE3AC0"/>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48F7FBB"/>
    <w:multiLevelType w:val="multilevel"/>
    <w:tmpl w:val="27E01CEA"/>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50D651F"/>
    <w:multiLevelType w:val="hybridMultilevel"/>
    <w:tmpl w:val="37D6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D949C7"/>
    <w:multiLevelType w:val="hybridMultilevel"/>
    <w:tmpl w:val="25023A0C"/>
    <w:lvl w:ilvl="0" w:tplc="ED2AF8E8">
      <w:start w:val="3"/>
      <w:numFmt w:val="bullet"/>
      <w:lvlText w:val="-"/>
      <w:lvlJc w:val="left"/>
      <w:pPr>
        <w:ind w:left="720" w:hanging="360"/>
      </w:pPr>
      <w:rPr>
        <w:rFonts w:ascii="Calibri" w:eastAsiaTheme="minorEastAsia" w:hAnsi="Calibri" w:cs="Courie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324707"/>
    <w:multiLevelType w:val="hybridMultilevel"/>
    <w:tmpl w:val="55340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B6969C1"/>
    <w:multiLevelType w:val="hybridMultilevel"/>
    <w:tmpl w:val="8438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6D5B46"/>
    <w:multiLevelType w:val="hybridMultilevel"/>
    <w:tmpl w:val="B770C86E"/>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065449"/>
    <w:multiLevelType w:val="hybridMultilevel"/>
    <w:tmpl w:val="8CF29D42"/>
    <w:lvl w:ilvl="0" w:tplc="A26C7C1A">
      <w:start w:val="3"/>
      <w:numFmt w:val="bullet"/>
      <w:lvlText w:val="-"/>
      <w:lvlJc w:val="left"/>
      <w:pPr>
        <w:ind w:left="360" w:hanging="360"/>
      </w:pPr>
      <w:rPr>
        <w:rFonts w:ascii="Calibri" w:eastAsiaTheme="minorEastAsia" w:hAnsi="Calibri" w:cs="Arial" w:hint="default"/>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409474D"/>
    <w:multiLevelType w:val="hybridMultilevel"/>
    <w:tmpl w:val="1FC8A25E"/>
    <w:lvl w:ilvl="0" w:tplc="A26C7C1A">
      <w:start w:val="3"/>
      <w:numFmt w:val="bullet"/>
      <w:lvlText w:val="-"/>
      <w:lvlJc w:val="left"/>
      <w:pPr>
        <w:ind w:left="360" w:hanging="360"/>
      </w:pPr>
      <w:rPr>
        <w:rFonts w:ascii="Calibri" w:eastAsiaTheme="minorEastAsia" w:hAnsi="Calibri" w:cs="Arial" w:hint="default"/>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5F46658"/>
    <w:multiLevelType w:val="hybridMultilevel"/>
    <w:tmpl w:val="F5623408"/>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F51580"/>
    <w:multiLevelType w:val="hybridMultilevel"/>
    <w:tmpl w:val="08144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B02DDD"/>
    <w:multiLevelType w:val="hybridMultilevel"/>
    <w:tmpl w:val="07BE5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CB6907"/>
    <w:multiLevelType w:val="hybridMultilevel"/>
    <w:tmpl w:val="3BF46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085F97"/>
    <w:multiLevelType w:val="multilevel"/>
    <w:tmpl w:val="96443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F9D0B87"/>
    <w:multiLevelType w:val="hybridMultilevel"/>
    <w:tmpl w:val="B7049D1E"/>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4"/>
  </w:num>
  <w:num w:numId="3">
    <w:abstractNumId w:val="14"/>
  </w:num>
  <w:num w:numId="4">
    <w:abstractNumId w:val="3"/>
  </w:num>
  <w:num w:numId="5">
    <w:abstractNumId w:val="41"/>
  </w:num>
  <w:num w:numId="6">
    <w:abstractNumId w:val="21"/>
  </w:num>
  <w:num w:numId="7">
    <w:abstractNumId w:val="34"/>
  </w:num>
  <w:num w:numId="8">
    <w:abstractNumId w:val="37"/>
  </w:num>
  <w:num w:numId="9">
    <w:abstractNumId w:val="28"/>
  </w:num>
  <w:num w:numId="10">
    <w:abstractNumId w:val="29"/>
  </w:num>
  <w:num w:numId="11">
    <w:abstractNumId w:val="7"/>
  </w:num>
  <w:num w:numId="12">
    <w:abstractNumId w:val="32"/>
  </w:num>
  <w:num w:numId="13">
    <w:abstractNumId w:val="1"/>
  </w:num>
  <w:num w:numId="14">
    <w:abstractNumId w:val="9"/>
  </w:num>
  <w:num w:numId="15">
    <w:abstractNumId w:val="8"/>
  </w:num>
  <w:num w:numId="16">
    <w:abstractNumId w:val="18"/>
  </w:num>
  <w:num w:numId="17">
    <w:abstractNumId w:val="6"/>
  </w:num>
  <w:num w:numId="18">
    <w:abstractNumId w:val="2"/>
  </w:num>
  <w:num w:numId="19">
    <w:abstractNumId w:val="11"/>
  </w:num>
  <w:num w:numId="20">
    <w:abstractNumId w:val="20"/>
  </w:num>
  <w:num w:numId="21">
    <w:abstractNumId w:val="16"/>
  </w:num>
  <w:num w:numId="22">
    <w:abstractNumId w:val="10"/>
  </w:num>
  <w:num w:numId="23">
    <w:abstractNumId w:val="15"/>
  </w:num>
  <w:num w:numId="24">
    <w:abstractNumId w:val="13"/>
  </w:num>
  <w:num w:numId="25">
    <w:abstractNumId w:val="0"/>
  </w:num>
  <w:num w:numId="26">
    <w:abstractNumId w:val="12"/>
  </w:num>
  <w:num w:numId="27">
    <w:abstractNumId w:val="39"/>
  </w:num>
  <w:num w:numId="28">
    <w:abstractNumId w:val="22"/>
  </w:num>
  <w:num w:numId="29">
    <w:abstractNumId w:val="17"/>
  </w:num>
  <w:num w:numId="30">
    <w:abstractNumId w:val="33"/>
  </w:num>
  <w:num w:numId="31">
    <w:abstractNumId w:val="30"/>
  </w:num>
  <w:num w:numId="32">
    <w:abstractNumId w:val="38"/>
  </w:num>
  <w:num w:numId="33">
    <w:abstractNumId w:val="23"/>
  </w:num>
  <w:num w:numId="34">
    <w:abstractNumId w:val="40"/>
  </w:num>
  <w:num w:numId="35">
    <w:abstractNumId w:val="4"/>
  </w:num>
  <w:num w:numId="36">
    <w:abstractNumId w:val="5"/>
  </w:num>
  <w:num w:numId="37">
    <w:abstractNumId w:val="31"/>
  </w:num>
  <w:num w:numId="38">
    <w:abstractNumId w:val="25"/>
  </w:num>
  <w:num w:numId="39">
    <w:abstractNumId w:val="27"/>
  </w:num>
  <w:num w:numId="40">
    <w:abstractNumId w:val="35"/>
  </w:num>
  <w:num w:numId="41">
    <w:abstractNumId w:val="36"/>
  </w:num>
  <w:num w:numId="42">
    <w:abstractNumId w:val="26"/>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32C"/>
    <w:rsid w:val="0003233F"/>
    <w:rsid w:val="0005529F"/>
    <w:rsid w:val="00067A9B"/>
    <w:rsid w:val="000853FE"/>
    <w:rsid w:val="000D7BD5"/>
    <w:rsid w:val="00150974"/>
    <w:rsid w:val="00156F7C"/>
    <w:rsid w:val="001A324A"/>
    <w:rsid w:val="001A4A68"/>
    <w:rsid w:val="001C39FE"/>
    <w:rsid w:val="001D0328"/>
    <w:rsid w:val="001D6DED"/>
    <w:rsid w:val="00296A48"/>
    <w:rsid w:val="00297462"/>
    <w:rsid w:val="002C3D68"/>
    <w:rsid w:val="002C71AD"/>
    <w:rsid w:val="002E149E"/>
    <w:rsid w:val="002F1DFF"/>
    <w:rsid w:val="00325F01"/>
    <w:rsid w:val="00325FD4"/>
    <w:rsid w:val="00326AEC"/>
    <w:rsid w:val="0033511F"/>
    <w:rsid w:val="00365527"/>
    <w:rsid w:val="00381349"/>
    <w:rsid w:val="004034BC"/>
    <w:rsid w:val="00435944"/>
    <w:rsid w:val="004C1A36"/>
    <w:rsid w:val="004E51C3"/>
    <w:rsid w:val="00501155"/>
    <w:rsid w:val="005B585B"/>
    <w:rsid w:val="005D5491"/>
    <w:rsid w:val="005D7FD2"/>
    <w:rsid w:val="005F643A"/>
    <w:rsid w:val="0062714B"/>
    <w:rsid w:val="00656D80"/>
    <w:rsid w:val="006B0F6E"/>
    <w:rsid w:val="006B26EA"/>
    <w:rsid w:val="007038BF"/>
    <w:rsid w:val="00724037"/>
    <w:rsid w:val="00856569"/>
    <w:rsid w:val="008E6D47"/>
    <w:rsid w:val="009124DA"/>
    <w:rsid w:val="009166DA"/>
    <w:rsid w:val="00937B49"/>
    <w:rsid w:val="00941326"/>
    <w:rsid w:val="00951C3D"/>
    <w:rsid w:val="00953648"/>
    <w:rsid w:val="00A43DAE"/>
    <w:rsid w:val="00A9584F"/>
    <w:rsid w:val="00AB31BA"/>
    <w:rsid w:val="00AD533F"/>
    <w:rsid w:val="00AE0D28"/>
    <w:rsid w:val="00B0072A"/>
    <w:rsid w:val="00B827F2"/>
    <w:rsid w:val="00B94AC7"/>
    <w:rsid w:val="00BA3D62"/>
    <w:rsid w:val="00C95DF6"/>
    <w:rsid w:val="00C97E59"/>
    <w:rsid w:val="00CA0091"/>
    <w:rsid w:val="00D16ED3"/>
    <w:rsid w:val="00D4090A"/>
    <w:rsid w:val="00D56A5B"/>
    <w:rsid w:val="00D802CD"/>
    <w:rsid w:val="00E02AA3"/>
    <w:rsid w:val="00E11EE7"/>
    <w:rsid w:val="00E4332C"/>
    <w:rsid w:val="00E45300"/>
    <w:rsid w:val="00E81C5B"/>
    <w:rsid w:val="00E85959"/>
    <w:rsid w:val="00F0021A"/>
    <w:rsid w:val="00F10D69"/>
    <w:rsid w:val="00F6140A"/>
    <w:rsid w:val="00F8129C"/>
    <w:rsid w:val="00F91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o:shapedefaults>
    <o:shapelayout v:ext="edit">
      <o:idmap v:ext="edit" data="1"/>
    </o:shapelayout>
  </w:shapeDefaults>
  <w:decimalSymbol w:val="."/>
  <w:listSeparator w:val=","/>
  <w14:docId w14:val="53A0CB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32C"/>
    <w:rPr>
      <w:rFonts w:ascii="Cambria" w:eastAsia="Cambria"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332C"/>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332C"/>
    <w:rPr>
      <w:rFonts w:ascii="Lucida Grande" w:hAnsi="Lucida Grande"/>
      <w:sz w:val="18"/>
      <w:szCs w:val="18"/>
    </w:rPr>
  </w:style>
  <w:style w:type="character" w:customStyle="1" w:styleId="BalloonTextChar">
    <w:name w:val="Balloon Text Char"/>
    <w:basedOn w:val="DefaultParagraphFont"/>
    <w:link w:val="BalloonText"/>
    <w:uiPriority w:val="99"/>
    <w:semiHidden/>
    <w:rsid w:val="00E4332C"/>
    <w:rPr>
      <w:rFonts w:ascii="Lucida Grande" w:eastAsia="Cambria" w:hAnsi="Lucida Grande" w:cs="Times New Roman"/>
      <w:sz w:val="18"/>
      <w:szCs w:val="18"/>
    </w:rPr>
  </w:style>
  <w:style w:type="paragraph" w:styleId="Footer">
    <w:name w:val="footer"/>
    <w:basedOn w:val="Normal"/>
    <w:link w:val="FooterChar"/>
    <w:uiPriority w:val="99"/>
    <w:unhideWhenUsed/>
    <w:rsid w:val="00E4332C"/>
    <w:pPr>
      <w:tabs>
        <w:tab w:val="center" w:pos="4320"/>
        <w:tab w:val="right" w:pos="8640"/>
      </w:tabs>
    </w:pPr>
  </w:style>
  <w:style w:type="character" w:customStyle="1" w:styleId="FooterChar">
    <w:name w:val="Footer Char"/>
    <w:basedOn w:val="DefaultParagraphFont"/>
    <w:link w:val="Footer"/>
    <w:uiPriority w:val="99"/>
    <w:rsid w:val="00E4332C"/>
    <w:rPr>
      <w:rFonts w:ascii="Cambria" w:eastAsia="Cambria" w:hAnsi="Cambria" w:cs="Times New Roman"/>
    </w:rPr>
  </w:style>
  <w:style w:type="character" w:styleId="PageNumber">
    <w:name w:val="page number"/>
    <w:basedOn w:val="DefaultParagraphFont"/>
    <w:uiPriority w:val="99"/>
    <w:semiHidden/>
    <w:unhideWhenUsed/>
    <w:rsid w:val="00E4332C"/>
  </w:style>
  <w:style w:type="paragraph" w:styleId="Header">
    <w:name w:val="header"/>
    <w:basedOn w:val="Normal"/>
    <w:link w:val="HeaderChar"/>
    <w:uiPriority w:val="99"/>
    <w:semiHidden/>
    <w:unhideWhenUsed/>
    <w:rsid w:val="00E4332C"/>
    <w:pPr>
      <w:tabs>
        <w:tab w:val="center" w:pos="4320"/>
        <w:tab w:val="right" w:pos="8640"/>
      </w:tabs>
    </w:pPr>
  </w:style>
  <w:style w:type="character" w:customStyle="1" w:styleId="HeaderChar">
    <w:name w:val="Header Char"/>
    <w:basedOn w:val="DefaultParagraphFont"/>
    <w:link w:val="Header"/>
    <w:uiPriority w:val="99"/>
    <w:semiHidden/>
    <w:rsid w:val="00E4332C"/>
    <w:rPr>
      <w:rFonts w:ascii="Cambria" w:eastAsia="Cambria" w:hAnsi="Cambria" w:cs="Times New Roman"/>
    </w:rPr>
  </w:style>
  <w:style w:type="character" w:styleId="Hyperlink">
    <w:name w:val="Hyperlink"/>
    <w:uiPriority w:val="99"/>
    <w:unhideWhenUsed/>
    <w:rsid w:val="00E4332C"/>
    <w:rPr>
      <w:color w:val="0000FF"/>
      <w:u w:val="single"/>
    </w:rPr>
  </w:style>
  <w:style w:type="paragraph" w:styleId="FootnoteText">
    <w:name w:val="footnote text"/>
    <w:basedOn w:val="Normal"/>
    <w:link w:val="FootnoteTextChar"/>
    <w:uiPriority w:val="99"/>
    <w:rsid w:val="00E4332C"/>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E4332C"/>
    <w:rPr>
      <w:rFonts w:ascii="Times New Roman" w:eastAsia="Times New Roman" w:hAnsi="Times New Roman" w:cs="Times New Roman"/>
      <w:sz w:val="20"/>
      <w:szCs w:val="20"/>
    </w:rPr>
  </w:style>
  <w:style w:type="character" w:styleId="FootnoteReference">
    <w:name w:val="footnote reference"/>
    <w:uiPriority w:val="99"/>
    <w:rsid w:val="00E4332C"/>
    <w:rPr>
      <w:vertAlign w:val="superscript"/>
    </w:rPr>
  </w:style>
  <w:style w:type="paragraph" w:customStyle="1" w:styleId="Default">
    <w:name w:val="Default"/>
    <w:rsid w:val="00E4332C"/>
    <w:pPr>
      <w:widowControl w:val="0"/>
      <w:autoSpaceDE w:val="0"/>
      <w:autoSpaceDN w:val="0"/>
      <w:adjustRightInd w:val="0"/>
    </w:pPr>
    <w:rPr>
      <w:rFonts w:ascii="Calibri" w:eastAsia="Cambria" w:hAnsi="Calibri" w:cs="Calibri"/>
      <w:color w:val="000000"/>
    </w:rPr>
  </w:style>
  <w:style w:type="paragraph" w:styleId="NormalWeb">
    <w:name w:val="Normal (Web)"/>
    <w:basedOn w:val="Normal"/>
    <w:uiPriority w:val="99"/>
    <w:unhideWhenUsed/>
    <w:rsid w:val="00E4332C"/>
    <w:pPr>
      <w:spacing w:before="100" w:beforeAutospacing="1" w:after="100" w:afterAutospacing="1"/>
    </w:pPr>
    <w:rPr>
      <w:rFonts w:ascii="Times" w:eastAsia="MS Mincho" w:hAnsi="Times"/>
      <w:sz w:val="20"/>
      <w:szCs w:val="20"/>
    </w:rPr>
  </w:style>
  <w:style w:type="paragraph" w:customStyle="1" w:styleId="normal0">
    <w:name w:val="normal"/>
    <w:rsid w:val="00E4332C"/>
    <w:pPr>
      <w:spacing w:line="276" w:lineRule="auto"/>
    </w:pPr>
    <w:rPr>
      <w:rFonts w:ascii="Arial" w:eastAsia="Arial" w:hAnsi="Arial" w:cs="Arial"/>
      <w:color w:val="000000"/>
      <w:sz w:val="22"/>
      <w:szCs w:val="20"/>
    </w:rPr>
  </w:style>
  <w:style w:type="character" w:styleId="FollowedHyperlink">
    <w:name w:val="FollowedHyperlink"/>
    <w:uiPriority w:val="99"/>
    <w:semiHidden/>
    <w:unhideWhenUsed/>
    <w:rsid w:val="00E4332C"/>
    <w:rPr>
      <w:color w:val="800080"/>
      <w:u w:val="single"/>
    </w:rPr>
  </w:style>
  <w:style w:type="character" w:styleId="CommentReference">
    <w:name w:val="annotation reference"/>
    <w:uiPriority w:val="99"/>
    <w:semiHidden/>
    <w:unhideWhenUsed/>
    <w:rsid w:val="00E4332C"/>
    <w:rPr>
      <w:sz w:val="16"/>
      <w:szCs w:val="16"/>
    </w:rPr>
  </w:style>
  <w:style w:type="paragraph" w:styleId="CommentText">
    <w:name w:val="annotation text"/>
    <w:basedOn w:val="Normal"/>
    <w:link w:val="CommentTextChar"/>
    <w:uiPriority w:val="99"/>
    <w:semiHidden/>
    <w:unhideWhenUsed/>
    <w:rsid w:val="00E4332C"/>
    <w:rPr>
      <w:sz w:val="20"/>
      <w:szCs w:val="20"/>
    </w:rPr>
  </w:style>
  <w:style w:type="character" w:customStyle="1" w:styleId="CommentTextChar">
    <w:name w:val="Comment Text Char"/>
    <w:basedOn w:val="DefaultParagraphFont"/>
    <w:link w:val="CommentText"/>
    <w:uiPriority w:val="99"/>
    <w:semiHidden/>
    <w:rsid w:val="00E4332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4332C"/>
    <w:rPr>
      <w:b/>
      <w:bCs/>
    </w:rPr>
  </w:style>
  <w:style w:type="character" w:customStyle="1" w:styleId="CommentSubjectChar">
    <w:name w:val="Comment Subject Char"/>
    <w:basedOn w:val="CommentTextChar"/>
    <w:link w:val="CommentSubject"/>
    <w:uiPriority w:val="99"/>
    <w:semiHidden/>
    <w:rsid w:val="00E4332C"/>
    <w:rPr>
      <w:rFonts w:ascii="Cambria" w:eastAsia="Cambria" w:hAnsi="Cambria" w:cs="Times New Roman"/>
      <w:b/>
      <w:bCs/>
      <w:sz w:val="20"/>
      <w:szCs w:val="20"/>
    </w:rPr>
  </w:style>
  <w:style w:type="character" w:customStyle="1" w:styleId="response-text">
    <w:name w:val="response-text"/>
    <w:rsid w:val="00E4332C"/>
  </w:style>
  <w:style w:type="paragraph" w:styleId="ListParagraph">
    <w:name w:val="List Paragraph"/>
    <w:basedOn w:val="Normal"/>
    <w:uiPriority w:val="34"/>
    <w:qFormat/>
    <w:rsid w:val="002C71AD"/>
    <w:pPr>
      <w:ind w:left="720"/>
      <w:contextualSpacing/>
    </w:pPr>
  </w:style>
  <w:style w:type="paragraph" w:styleId="HTMLPreformatted">
    <w:name w:val="HTML Preformatted"/>
    <w:basedOn w:val="Normal"/>
    <w:link w:val="HTMLPreformattedChar"/>
    <w:uiPriority w:val="99"/>
    <w:unhideWhenUsed/>
    <w:rsid w:val="0050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501155"/>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32C"/>
    <w:rPr>
      <w:rFonts w:ascii="Cambria" w:eastAsia="Cambria"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332C"/>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332C"/>
    <w:rPr>
      <w:rFonts w:ascii="Lucida Grande" w:hAnsi="Lucida Grande"/>
      <w:sz w:val="18"/>
      <w:szCs w:val="18"/>
    </w:rPr>
  </w:style>
  <w:style w:type="character" w:customStyle="1" w:styleId="BalloonTextChar">
    <w:name w:val="Balloon Text Char"/>
    <w:basedOn w:val="DefaultParagraphFont"/>
    <w:link w:val="BalloonText"/>
    <w:uiPriority w:val="99"/>
    <w:semiHidden/>
    <w:rsid w:val="00E4332C"/>
    <w:rPr>
      <w:rFonts w:ascii="Lucida Grande" w:eastAsia="Cambria" w:hAnsi="Lucida Grande" w:cs="Times New Roman"/>
      <w:sz w:val="18"/>
      <w:szCs w:val="18"/>
    </w:rPr>
  </w:style>
  <w:style w:type="paragraph" w:styleId="Footer">
    <w:name w:val="footer"/>
    <w:basedOn w:val="Normal"/>
    <w:link w:val="FooterChar"/>
    <w:uiPriority w:val="99"/>
    <w:unhideWhenUsed/>
    <w:rsid w:val="00E4332C"/>
    <w:pPr>
      <w:tabs>
        <w:tab w:val="center" w:pos="4320"/>
        <w:tab w:val="right" w:pos="8640"/>
      </w:tabs>
    </w:pPr>
  </w:style>
  <w:style w:type="character" w:customStyle="1" w:styleId="FooterChar">
    <w:name w:val="Footer Char"/>
    <w:basedOn w:val="DefaultParagraphFont"/>
    <w:link w:val="Footer"/>
    <w:uiPriority w:val="99"/>
    <w:rsid w:val="00E4332C"/>
    <w:rPr>
      <w:rFonts w:ascii="Cambria" w:eastAsia="Cambria" w:hAnsi="Cambria" w:cs="Times New Roman"/>
    </w:rPr>
  </w:style>
  <w:style w:type="character" w:styleId="PageNumber">
    <w:name w:val="page number"/>
    <w:basedOn w:val="DefaultParagraphFont"/>
    <w:uiPriority w:val="99"/>
    <w:semiHidden/>
    <w:unhideWhenUsed/>
    <w:rsid w:val="00E4332C"/>
  </w:style>
  <w:style w:type="paragraph" w:styleId="Header">
    <w:name w:val="header"/>
    <w:basedOn w:val="Normal"/>
    <w:link w:val="HeaderChar"/>
    <w:uiPriority w:val="99"/>
    <w:semiHidden/>
    <w:unhideWhenUsed/>
    <w:rsid w:val="00E4332C"/>
    <w:pPr>
      <w:tabs>
        <w:tab w:val="center" w:pos="4320"/>
        <w:tab w:val="right" w:pos="8640"/>
      </w:tabs>
    </w:pPr>
  </w:style>
  <w:style w:type="character" w:customStyle="1" w:styleId="HeaderChar">
    <w:name w:val="Header Char"/>
    <w:basedOn w:val="DefaultParagraphFont"/>
    <w:link w:val="Header"/>
    <w:uiPriority w:val="99"/>
    <w:semiHidden/>
    <w:rsid w:val="00E4332C"/>
    <w:rPr>
      <w:rFonts w:ascii="Cambria" w:eastAsia="Cambria" w:hAnsi="Cambria" w:cs="Times New Roman"/>
    </w:rPr>
  </w:style>
  <w:style w:type="character" w:styleId="Hyperlink">
    <w:name w:val="Hyperlink"/>
    <w:uiPriority w:val="99"/>
    <w:unhideWhenUsed/>
    <w:rsid w:val="00E4332C"/>
    <w:rPr>
      <w:color w:val="0000FF"/>
      <w:u w:val="single"/>
    </w:rPr>
  </w:style>
  <w:style w:type="paragraph" w:styleId="FootnoteText">
    <w:name w:val="footnote text"/>
    <w:basedOn w:val="Normal"/>
    <w:link w:val="FootnoteTextChar"/>
    <w:uiPriority w:val="99"/>
    <w:rsid w:val="00E4332C"/>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E4332C"/>
    <w:rPr>
      <w:rFonts w:ascii="Times New Roman" w:eastAsia="Times New Roman" w:hAnsi="Times New Roman" w:cs="Times New Roman"/>
      <w:sz w:val="20"/>
      <w:szCs w:val="20"/>
    </w:rPr>
  </w:style>
  <w:style w:type="character" w:styleId="FootnoteReference">
    <w:name w:val="footnote reference"/>
    <w:uiPriority w:val="99"/>
    <w:rsid w:val="00E4332C"/>
    <w:rPr>
      <w:vertAlign w:val="superscript"/>
    </w:rPr>
  </w:style>
  <w:style w:type="paragraph" w:customStyle="1" w:styleId="Default">
    <w:name w:val="Default"/>
    <w:rsid w:val="00E4332C"/>
    <w:pPr>
      <w:widowControl w:val="0"/>
      <w:autoSpaceDE w:val="0"/>
      <w:autoSpaceDN w:val="0"/>
      <w:adjustRightInd w:val="0"/>
    </w:pPr>
    <w:rPr>
      <w:rFonts w:ascii="Calibri" w:eastAsia="Cambria" w:hAnsi="Calibri" w:cs="Calibri"/>
      <w:color w:val="000000"/>
    </w:rPr>
  </w:style>
  <w:style w:type="paragraph" w:styleId="NormalWeb">
    <w:name w:val="Normal (Web)"/>
    <w:basedOn w:val="Normal"/>
    <w:uiPriority w:val="99"/>
    <w:unhideWhenUsed/>
    <w:rsid w:val="00E4332C"/>
    <w:pPr>
      <w:spacing w:before="100" w:beforeAutospacing="1" w:after="100" w:afterAutospacing="1"/>
    </w:pPr>
    <w:rPr>
      <w:rFonts w:ascii="Times" w:eastAsia="MS Mincho" w:hAnsi="Times"/>
      <w:sz w:val="20"/>
      <w:szCs w:val="20"/>
    </w:rPr>
  </w:style>
  <w:style w:type="paragraph" w:customStyle="1" w:styleId="normal0">
    <w:name w:val="normal"/>
    <w:rsid w:val="00E4332C"/>
    <w:pPr>
      <w:spacing w:line="276" w:lineRule="auto"/>
    </w:pPr>
    <w:rPr>
      <w:rFonts w:ascii="Arial" w:eastAsia="Arial" w:hAnsi="Arial" w:cs="Arial"/>
      <w:color w:val="000000"/>
      <w:sz w:val="22"/>
      <w:szCs w:val="20"/>
    </w:rPr>
  </w:style>
  <w:style w:type="character" w:styleId="FollowedHyperlink">
    <w:name w:val="FollowedHyperlink"/>
    <w:uiPriority w:val="99"/>
    <w:semiHidden/>
    <w:unhideWhenUsed/>
    <w:rsid w:val="00E4332C"/>
    <w:rPr>
      <w:color w:val="800080"/>
      <w:u w:val="single"/>
    </w:rPr>
  </w:style>
  <w:style w:type="character" w:styleId="CommentReference">
    <w:name w:val="annotation reference"/>
    <w:uiPriority w:val="99"/>
    <w:semiHidden/>
    <w:unhideWhenUsed/>
    <w:rsid w:val="00E4332C"/>
    <w:rPr>
      <w:sz w:val="16"/>
      <w:szCs w:val="16"/>
    </w:rPr>
  </w:style>
  <w:style w:type="paragraph" w:styleId="CommentText">
    <w:name w:val="annotation text"/>
    <w:basedOn w:val="Normal"/>
    <w:link w:val="CommentTextChar"/>
    <w:uiPriority w:val="99"/>
    <w:semiHidden/>
    <w:unhideWhenUsed/>
    <w:rsid w:val="00E4332C"/>
    <w:rPr>
      <w:sz w:val="20"/>
      <w:szCs w:val="20"/>
    </w:rPr>
  </w:style>
  <w:style w:type="character" w:customStyle="1" w:styleId="CommentTextChar">
    <w:name w:val="Comment Text Char"/>
    <w:basedOn w:val="DefaultParagraphFont"/>
    <w:link w:val="CommentText"/>
    <w:uiPriority w:val="99"/>
    <w:semiHidden/>
    <w:rsid w:val="00E4332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4332C"/>
    <w:rPr>
      <w:b/>
      <w:bCs/>
    </w:rPr>
  </w:style>
  <w:style w:type="character" w:customStyle="1" w:styleId="CommentSubjectChar">
    <w:name w:val="Comment Subject Char"/>
    <w:basedOn w:val="CommentTextChar"/>
    <w:link w:val="CommentSubject"/>
    <w:uiPriority w:val="99"/>
    <w:semiHidden/>
    <w:rsid w:val="00E4332C"/>
    <w:rPr>
      <w:rFonts w:ascii="Cambria" w:eastAsia="Cambria" w:hAnsi="Cambria" w:cs="Times New Roman"/>
      <w:b/>
      <w:bCs/>
      <w:sz w:val="20"/>
      <w:szCs w:val="20"/>
    </w:rPr>
  </w:style>
  <w:style w:type="character" w:customStyle="1" w:styleId="response-text">
    <w:name w:val="response-text"/>
    <w:rsid w:val="00E4332C"/>
  </w:style>
  <w:style w:type="paragraph" w:styleId="ListParagraph">
    <w:name w:val="List Paragraph"/>
    <w:basedOn w:val="Normal"/>
    <w:uiPriority w:val="34"/>
    <w:qFormat/>
    <w:rsid w:val="002C71AD"/>
    <w:pPr>
      <w:ind w:left="720"/>
      <w:contextualSpacing/>
    </w:pPr>
  </w:style>
  <w:style w:type="paragraph" w:styleId="HTMLPreformatted">
    <w:name w:val="HTML Preformatted"/>
    <w:basedOn w:val="Normal"/>
    <w:link w:val="HTMLPreformattedChar"/>
    <w:uiPriority w:val="99"/>
    <w:unhideWhenUsed/>
    <w:rsid w:val="0050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501155"/>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261">
      <w:bodyDiv w:val="1"/>
      <w:marLeft w:val="0"/>
      <w:marRight w:val="0"/>
      <w:marTop w:val="0"/>
      <w:marBottom w:val="0"/>
      <w:divBdr>
        <w:top w:val="none" w:sz="0" w:space="0" w:color="auto"/>
        <w:left w:val="none" w:sz="0" w:space="0" w:color="auto"/>
        <w:bottom w:val="none" w:sz="0" w:space="0" w:color="auto"/>
        <w:right w:val="none" w:sz="0" w:space="0" w:color="auto"/>
      </w:divBdr>
    </w:div>
    <w:div w:id="1128854">
      <w:bodyDiv w:val="1"/>
      <w:marLeft w:val="0"/>
      <w:marRight w:val="0"/>
      <w:marTop w:val="0"/>
      <w:marBottom w:val="0"/>
      <w:divBdr>
        <w:top w:val="none" w:sz="0" w:space="0" w:color="auto"/>
        <w:left w:val="none" w:sz="0" w:space="0" w:color="auto"/>
        <w:bottom w:val="none" w:sz="0" w:space="0" w:color="auto"/>
        <w:right w:val="none" w:sz="0" w:space="0" w:color="auto"/>
      </w:divBdr>
    </w:div>
    <w:div w:id="25913088">
      <w:bodyDiv w:val="1"/>
      <w:marLeft w:val="0"/>
      <w:marRight w:val="0"/>
      <w:marTop w:val="0"/>
      <w:marBottom w:val="0"/>
      <w:divBdr>
        <w:top w:val="none" w:sz="0" w:space="0" w:color="auto"/>
        <w:left w:val="none" w:sz="0" w:space="0" w:color="auto"/>
        <w:bottom w:val="none" w:sz="0" w:space="0" w:color="auto"/>
        <w:right w:val="none" w:sz="0" w:space="0" w:color="auto"/>
      </w:divBdr>
    </w:div>
    <w:div w:id="26177513">
      <w:bodyDiv w:val="1"/>
      <w:marLeft w:val="0"/>
      <w:marRight w:val="0"/>
      <w:marTop w:val="0"/>
      <w:marBottom w:val="0"/>
      <w:divBdr>
        <w:top w:val="none" w:sz="0" w:space="0" w:color="auto"/>
        <w:left w:val="none" w:sz="0" w:space="0" w:color="auto"/>
        <w:bottom w:val="none" w:sz="0" w:space="0" w:color="auto"/>
        <w:right w:val="none" w:sz="0" w:space="0" w:color="auto"/>
      </w:divBdr>
    </w:div>
    <w:div w:id="26220306">
      <w:bodyDiv w:val="1"/>
      <w:marLeft w:val="0"/>
      <w:marRight w:val="0"/>
      <w:marTop w:val="0"/>
      <w:marBottom w:val="0"/>
      <w:divBdr>
        <w:top w:val="none" w:sz="0" w:space="0" w:color="auto"/>
        <w:left w:val="none" w:sz="0" w:space="0" w:color="auto"/>
        <w:bottom w:val="none" w:sz="0" w:space="0" w:color="auto"/>
        <w:right w:val="none" w:sz="0" w:space="0" w:color="auto"/>
      </w:divBdr>
    </w:div>
    <w:div w:id="38213289">
      <w:bodyDiv w:val="1"/>
      <w:marLeft w:val="0"/>
      <w:marRight w:val="0"/>
      <w:marTop w:val="0"/>
      <w:marBottom w:val="0"/>
      <w:divBdr>
        <w:top w:val="none" w:sz="0" w:space="0" w:color="auto"/>
        <w:left w:val="none" w:sz="0" w:space="0" w:color="auto"/>
        <w:bottom w:val="none" w:sz="0" w:space="0" w:color="auto"/>
        <w:right w:val="none" w:sz="0" w:space="0" w:color="auto"/>
      </w:divBdr>
    </w:div>
    <w:div w:id="43867515">
      <w:bodyDiv w:val="1"/>
      <w:marLeft w:val="0"/>
      <w:marRight w:val="0"/>
      <w:marTop w:val="0"/>
      <w:marBottom w:val="0"/>
      <w:divBdr>
        <w:top w:val="none" w:sz="0" w:space="0" w:color="auto"/>
        <w:left w:val="none" w:sz="0" w:space="0" w:color="auto"/>
        <w:bottom w:val="none" w:sz="0" w:space="0" w:color="auto"/>
        <w:right w:val="none" w:sz="0" w:space="0" w:color="auto"/>
      </w:divBdr>
    </w:div>
    <w:div w:id="98304190">
      <w:bodyDiv w:val="1"/>
      <w:marLeft w:val="0"/>
      <w:marRight w:val="0"/>
      <w:marTop w:val="0"/>
      <w:marBottom w:val="0"/>
      <w:divBdr>
        <w:top w:val="none" w:sz="0" w:space="0" w:color="auto"/>
        <w:left w:val="none" w:sz="0" w:space="0" w:color="auto"/>
        <w:bottom w:val="none" w:sz="0" w:space="0" w:color="auto"/>
        <w:right w:val="none" w:sz="0" w:space="0" w:color="auto"/>
      </w:divBdr>
    </w:div>
    <w:div w:id="220167741">
      <w:bodyDiv w:val="1"/>
      <w:marLeft w:val="0"/>
      <w:marRight w:val="0"/>
      <w:marTop w:val="0"/>
      <w:marBottom w:val="0"/>
      <w:divBdr>
        <w:top w:val="none" w:sz="0" w:space="0" w:color="auto"/>
        <w:left w:val="none" w:sz="0" w:space="0" w:color="auto"/>
        <w:bottom w:val="none" w:sz="0" w:space="0" w:color="auto"/>
        <w:right w:val="none" w:sz="0" w:space="0" w:color="auto"/>
      </w:divBdr>
    </w:div>
    <w:div w:id="275017018">
      <w:bodyDiv w:val="1"/>
      <w:marLeft w:val="0"/>
      <w:marRight w:val="0"/>
      <w:marTop w:val="0"/>
      <w:marBottom w:val="0"/>
      <w:divBdr>
        <w:top w:val="none" w:sz="0" w:space="0" w:color="auto"/>
        <w:left w:val="none" w:sz="0" w:space="0" w:color="auto"/>
        <w:bottom w:val="none" w:sz="0" w:space="0" w:color="auto"/>
        <w:right w:val="none" w:sz="0" w:space="0" w:color="auto"/>
      </w:divBdr>
    </w:div>
    <w:div w:id="283660691">
      <w:bodyDiv w:val="1"/>
      <w:marLeft w:val="0"/>
      <w:marRight w:val="0"/>
      <w:marTop w:val="0"/>
      <w:marBottom w:val="0"/>
      <w:divBdr>
        <w:top w:val="none" w:sz="0" w:space="0" w:color="auto"/>
        <w:left w:val="none" w:sz="0" w:space="0" w:color="auto"/>
        <w:bottom w:val="none" w:sz="0" w:space="0" w:color="auto"/>
        <w:right w:val="none" w:sz="0" w:space="0" w:color="auto"/>
      </w:divBdr>
    </w:div>
    <w:div w:id="357780924">
      <w:bodyDiv w:val="1"/>
      <w:marLeft w:val="0"/>
      <w:marRight w:val="0"/>
      <w:marTop w:val="0"/>
      <w:marBottom w:val="0"/>
      <w:divBdr>
        <w:top w:val="none" w:sz="0" w:space="0" w:color="auto"/>
        <w:left w:val="none" w:sz="0" w:space="0" w:color="auto"/>
        <w:bottom w:val="none" w:sz="0" w:space="0" w:color="auto"/>
        <w:right w:val="none" w:sz="0" w:space="0" w:color="auto"/>
      </w:divBdr>
    </w:div>
    <w:div w:id="366226488">
      <w:bodyDiv w:val="1"/>
      <w:marLeft w:val="0"/>
      <w:marRight w:val="0"/>
      <w:marTop w:val="0"/>
      <w:marBottom w:val="0"/>
      <w:divBdr>
        <w:top w:val="none" w:sz="0" w:space="0" w:color="auto"/>
        <w:left w:val="none" w:sz="0" w:space="0" w:color="auto"/>
        <w:bottom w:val="none" w:sz="0" w:space="0" w:color="auto"/>
        <w:right w:val="none" w:sz="0" w:space="0" w:color="auto"/>
      </w:divBdr>
    </w:div>
    <w:div w:id="378095089">
      <w:bodyDiv w:val="1"/>
      <w:marLeft w:val="0"/>
      <w:marRight w:val="0"/>
      <w:marTop w:val="0"/>
      <w:marBottom w:val="0"/>
      <w:divBdr>
        <w:top w:val="none" w:sz="0" w:space="0" w:color="auto"/>
        <w:left w:val="none" w:sz="0" w:space="0" w:color="auto"/>
        <w:bottom w:val="none" w:sz="0" w:space="0" w:color="auto"/>
        <w:right w:val="none" w:sz="0" w:space="0" w:color="auto"/>
      </w:divBdr>
    </w:div>
    <w:div w:id="396515676">
      <w:bodyDiv w:val="1"/>
      <w:marLeft w:val="0"/>
      <w:marRight w:val="0"/>
      <w:marTop w:val="0"/>
      <w:marBottom w:val="0"/>
      <w:divBdr>
        <w:top w:val="none" w:sz="0" w:space="0" w:color="auto"/>
        <w:left w:val="none" w:sz="0" w:space="0" w:color="auto"/>
        <w:bottom w:val="none" w:sz="0" w:space="0" w:color="auto"/>
        <w:right w:val="none" w:sz="0" w:space="0" w:color="auto"/>
      </w:divBdr>
    </w:div>
    <w:div w:id="441220206">
      <w:bodyDiv w:val="1"/>
      <w:marLeft w:val="0"/>
      <w:marRight w:val="0"/>
      <w:marTop w:val="0"/>
      <w:marBottom w:val="0"/>
      <w:divBdr>
        <w:top w:val="none" w:sz="0" w:space="0" w:color="auto"/>
        <w:left w:val="none" w:sz="0" w:space="0" w:color="auto"/>
        <w:bottom w:val="none" w:sz="0" w:space="0" w:color="auto"/>
        <w:right w:val="none" w:sz="0" w:space="0" w:color="auto"/>
      </w:divBdr>
    </w:div>
    <w:div w:id="457067466">
      <w:bodyDiv w:val="1"/>
      <w:marLeft w:val="0"/>
      <w:marRight w:val="0"/>
      <w:marTop w:val="0"/>
      <w:marBottom w:val="0"/>
      <w:divBdr>
        <w:top w:val="none" w:sz="0" w:space="0" w:color="auto"/>
        <w:left w:val="none" w:sz="0" w:space="0" w:color="auto"/>
        <w:bottom w:val="none" w:sz="0" w:space="0" w:color="auto"/>
        <w:right w:val="none" w:sz="0" w:space="0" w:color="auto"/>
      </w:divBdr>
    </w:div>
    <w:div w:id="516961974">
      <w:bodyDiv w:val="1"/>
      <w:marLeft w:val="0"/>
      <w:marRight w:val="0"/>
      <w:marTop w:val="0"/>
      <w:marBottom w:val="0"/>
      <w:divBdr>
        <w:top w:val="none" w:sz="0" w:space="0" w:color="auto"/>
        <w:left w:val="none" w:sz="0" w:space="0" w:color="auto"/>
        <w:bottom w:val="none" w:sz="0" w:space="0" w:color="auto"/>
        <w:right w:val="none" w:sz="0" w:space="0" w:color="auto"/>
      </w:divBdr>
    </w:div>
    <w:div w:id="522208665">
      <w:bodyDiv w:val="1"/>
      <w:marLeft w:val="0"/>
      <w:marRight w:val="0"/>
      <w:marTop w:val="0"/>
      <w:marBottom w:val="0"/>
      <w:divBdr>
        <w:top w:val="none" w:sz="0" w:space="0" w:color="auto"/>
        <w:left w:val="none" w:sz="0" w:space="0" w:color="auto"/>
        <w:bottom w:val="none" w:sz="0" w:space="0" w:color="auto"/>
        <w:right w:val="none" w:sz="0" w:space="0" w:color="auto"/>
      </w:divBdr>
    </w:div>
    <w:div w:id="531770032">
      <w:bodyDiv w:val="1"/>
      <w:marLeft w:val="0"/>
      <w:marRight w:val="0"/>
      <w:marTop w:val="0"/>
      <w:marBottom w:val="0"/>
      <w:divBdr>
        <w:top w:val="none" w:sz="0" w:space="0" w:color="auto"/>
        <w:left w:val="none" w:sz="0" w:space="0" w:color="auto"/>
        <w:bottom w:val="none" w:sz="0" w:space="0" w:color="auto"/>
        <w:right w:val="none" w:sz="0" w:space="0" w:color="auto"/>
      </w:divBdr>
    </w:div>
    <w:div w:id="552154278">
      <w:bodyDiv w:val="1"/>
      <w:marLeft w:val="0"/>
      <w:marRight w:val="0"/>
      <w:marTop w:val="0"/>
      <w:marBottom w:val="0"/>
      <w:divBdr>
        <w:top w:val="none" w:sz="0" w:space="0" w:color="auto"/>
        <w:left w:val="none" w:sz="0" w:space="0" w:color="auto"/>
        <w:bottom w:val="none" w:sz="0" w:space="0" w:color="auto"/>
        <w:right w:val="none" w:sz="0" w:space="0" w:color="auto"/>
      </w:divBdr>
    </w:div>
    <w:div w:id="567956532">
      <w:bodyDiv w:val="1"/>
      <w:marLeft w:val="0"/>
      <w:marRight w:val="0"/>
      <w:marTop w:val="0"/>
      <w:marBottom w:val="0"/>
      <w:divBdr>
        <w:top w:val="none" w:sz="0" w:space="0" w:color="auto"/>
        <w:left w:val="none" w:sz="0" w:space="0" w:color="auto"/>
        <w:bottom w:val="none" w:sz="0" w:space="0" w:color="auto"/>
        <w:right w:val="none" w:sz="0" w:space="0" w:color="auto"/>
      </w:divBdr>
    </w:div>
    <w:div w:id="575018578">
      <w:bodyDiv w:val="1"/>
      <w:marLeft w:val="0"/>
      <w:marRight w:val="0"/>
      <w:marTop w:val="0"/>
      <w:marBottom w:val="0"/>
      <w:divBdr>
        <w:top w:val="none" w:sz="0" w:space="0" w:color="auto"/>
        <w:left w:val="none" w:sz="0" w:space="0" w:color="auto"/>
        <w:bottom w:val="none" w:sz="0" w:space="0" w:color="auto"/>
        <w:right w:val="none" w:sz="0" w:space="0" w:color="auto"/>
      </w:divBdr>
    </w:div>
    <w:div w:id="644163093">
      <w:bodyDiv w:val="1"/>
      <w:marLeft w:val="0"/>
      <w:marRight w:val="0"/>
      <w:marTop w:val="0"/>
      <w:marBottom w:val="0"/>
      <w:divBdr>
        <w:top w:val="none" w:sz="0" w:space="0" w:color="auto"/>
        <w:left w:val="none" w:sz="0" w:space="0" w:color="auto"/>
        <w:bottom w:val="none" w:sz="0" w:space="0" w:color="auto"/>
        <w:right w:val="none" w:sz="0" w:space="0" w:color="auto"/>
      </w:divBdr>
    </w:div>
    <w:div w:id="676810471">
      <w:bodyDiv w:val="1"/>
      <w:marLeft w:val="0"/>
      <w:marRight w:val="0"/>
      <w:marTop w:val="0"/>
      <w:marBottom w:val="0"/>
      <w:divBdr>
        <w:top w:val="none" w:sz="0" w:space="0" w:color="auto"/>
        <w:left w:val="none" w:sz="0" w:space="0" w:color="auto"/>
        <w:bottom w:val="none" w:sz="0" w:space="0" w:color="auto"/>
        <w:right w:val="none" w:sz="0" w:space="0" w:color="auto"/>
      </w:divBdr>
    </w:div>
    <w:div w:id="680474344">
      <w:bodyDiv w:val="1"/>
      <w:marLeft w:val="0"/>
      <w:marRight w:val="0"/>
      <w:marTop w:val="0"/>
      <w:marBottom w:val="0"/>
      <w:divBdr>
        <w:top w:val="none" w:sz="0" w:space="0" w:color="auto"/>
        <w:left w:val="none" w:sz="0" w:space="0" w:color="auto"/>
        <w:bottom w:val="none" w:sz="0" w:space="0" w:color="auto"/>
        <w:right w:val="none" w:sz="0" w:space="0" w:color="auto"/>
      </w:divBdr>
    </w:div>
    <w:div w:id="683476967">
      <w:bodyDiv w:val="1"/>
      <w:marLeft w:val="0"/>
      <w:marRight w:val="0"/>
      <w:marTop w:val="0"/>
      <w:marBottom w:val="0"/>
      <w:divBdr>
        <w:top w:val="none" w:sz="0" w:space="0" w:color="auto"/>
        <w:left w:val="none" w:sz="0" w:space="0" w:color="auto"/>
        <w:bottom w:val="none" w:sz="0" w:space="0" w:color="auto"/>
        <w:right w:val="none" w:sz="0" w:space="0" w:color="auto"/>
      </w:divBdr>
    </w:div>
    <w:div w:id="701591858">
      <w:bodyDiv w:val="1"/>
      <w:marLeft w:val="0"/>
      <w:marRight w:val="0"/>
      <w:marTop w:val="0"/>
      <w:marBottom w:val="0"/>
      <w:divBdr>
        <w:top w:val="none" w:sz="0" w:space="0" w:color="auto"/>
        <w:left w:val="none" w:sz="0" w:space="0" w:color="auto"/>
        <w:bottom w:val="none" w:sz="0" w:space="0" w:color="auto"/>
        <w:right w:val="none" w:sz="0" w:space="0" w:color="auto"/>
      </w:divBdr>
    </w:div>
    <w:div w:id="712341183">
      <w:bodyDiv w:val="1"/>
      <w:marLeft w:val="0"/>
      <w:marRight w:val="0"/>
      <w:marTop w:val="0"/>
      <w:marBottom w:val="0"/>
      <w:divBdr>
        <w:top w:val="none" w:sz="0" w:space="0" w:color="auto"/>
        <w:left w:val="none" w:sz="0" w:space="0" w:color="auto"/>
        <w:bottom w:val="none" w:sz="0" w:space="0" w:color="auto"/>
        <w:right w:val="none" w:sz="0" w:space="0" w:color="auto"/>
      </w:divBdr>
    </w:div>
    <w:div w:id="715082822">
      <w:bodyDiv w:val="1"/>
      <w:marLeft w:val="0"/>
      <w:marRight w:val="0"/>
      <w:marTop w:val="0"/>
      <w:marBottom w:val="0"/>
      <w:divBdr>
        <w:top w:val="none" w:sz="0" w:space="0" w:color="auto"/>
        <w:left w:val="none" w:sz="0" w:space="0" w:color="auto"/>
        <w:bottom w:val="none" w:sz="0" w:space="0" w:color="auto"/>
        <w:right w:val="none" w:sz="0" w:space="0" w:color="auto"/>
      </w:divBdr>
    </w:div>
    <w:div w:id="893740503">
      <w:bodyDiv w:val="1"/>
      <w:marLeft w:val="0"/>
      <w:marRight w:val="0"/>
      <w:marTop w:val="0"/>
      <w:marBottom w:val="0"/>
      <w:divBdr>
        <w:top w:val="none" w:sz="0" w:space="0" w:color="auto"/>
        <w:left w:val="none" w:sz="0" w:space="0" w:color="auto"/>
        <w:bottom w:val="none" w:sz="0" w:space="0" w:color="auto"/>
        <w:right w:val="none" w:sz="0" w:space="0" w:color="auto"/>
      </w:divBdr>
    </w:div>
    <w:div w:id="897396315">
      <w:bodyDiv w:val="1"/>
      <w:marLeft w:val="0"/>
      <w:marRight w:val="0"/>
      <w:marTop w:val="0"/>
      <w:marBottom w:val="0"/>
      <w:divBdr>
        <w:top w:val="none" w:sz="0" w:space="0" w:color="auto"/>
        <w:left w:val="none" w:sz="0" w:space="0" w:color="auto"/>
        <w:bottom w:val="none" w:sz="0" w:space="0" w:color="auto"/>
        <w:right w:val="none" w:sz="0" w:space="0" w:color="auto"/>
      </w:divBdr>
    </w:div>
    <w:div w:id="938945789">
      <w:bodyDiv w:val="1"/>
      <w:marLeft w:val="0"/>
      <w:marRight w:val="0"/>
      <w:marTop w:val="0"/>
      <w:marBottom w:val="0"/>
      <w:divBdr>
        <w:top w:val="none" w:sz="0" w:space="0" w:color="auto"/>
        <w:left w:val="none" w:sz="0" w:space="0" w:color="auto"/>
        <w:bottom w:val="none" w:sz="0" w:space="0" w:color="auto"/>
        <w:right w:val="none" w:sz="0" w:space="0" w:color="auto"/>
      </w:divBdr>
    </w:div>
    <w:div w:id="943419329">
      <w:bodyDiv w:val="1"/>
      <w:marLeft w:val="0"/>
      <w:marRight w:val="0"/>
      <w:marTop w:val="0"/>
      <w:marBottom w:val="0"/>
      <w:divBdr>
        <w:top w:val="none" w:sz="0" w:space="0" w:color="auto"/>
        <w:left w:val="none" w:sz="0" w:space="0" w:color="auto"/>
        <w:bottom w:val="none" w:sz="0" w:space="0" w:color="auto"/>
        <w:right w:val="none" w:sz="0" w:space="0" w:color="auto"/>
      </w:divBdr>
    </w:div>
    <w:div w:id="976958558">
      <w:bodyDiv w:val="1"/>
      <w:marLeft w:val="0"/>
      <w:marRight w:val="0"/>
      <w:marTop w:val="0"/>
      <w:marBottom w:val="0"/>
      <w:divBdr>
        <w:top w:val="none" w:sz="0" w:space="0" w:color="auto"/>
        <w:left w:val="none" w:sz="0" w:space="0" w:color="auto"/>
        <w:bottom w:val="none" w:sz="0" w:space="0" w:color="auto"/>
        <w:right w:val="none" w:sz="0" w:space="0" w:color="auto"/>
      </w:divBdr>
    </w:div>
    <w:div w:id="1024329430">
      <w:bodyDiv w:val="1"/>
      <w:marLeft w:val="0"/>
      <w:marRight w:val="0"/>
      <w:marTop w:val="0"/>
      <w:marBottom w:val="0"/>
      <w:divBdr>
        <w:top w:val="none" w:sz="0" w:space="0" w:color="auto"/>
        <w:left w:val="none" w:sz="0" w:space="0" w:color="auto"/>
        <w:bottom w:val="none" w:sz="0" w:space="0" w:color="auto"/>
        <w:right w:val="none" w:sz="0" w:space="0" w:color="auto"/>
      </w:divBdr>
    </w:div>
    <w:div w:id="1044872557">
      <w:bodyDiv w:val="1"/>
      <w:marLeft w:val="0"/>
      <w:marRight w:val="0"/>
      <w:marTop w:val="0"/>
      <w:marBottom w:val="0"/>
      <w:divBdr>
        <w:top w:val="none" w:sz="0" w:space="0" w:color="auto"/>
        <w:left w:val="none" w:sz="0" w:space="0" w:color="auto"/>
        <w:bottom w:val="none" w:sz="0" w:space="0" w:color="auto"/>
        <w:right w:val="none" w:sz="0" w:space="0" w:color="auto"/>
      </w:divBdr>
    </w:div>
    <w:div w:id="1046297026">
      <w:bodyDiv w:val="1"/>
      <w:marLeft w:val="0"/>
      <w:marRight w:val="0"/>
      <w:marTop w:val="0"/>
      <w:marBottom w:val="0"/>
      <w:divBdr>
        <w:top w:val="none" w:sz="0" w:space="0" w:color="auto"/>
        <w:left w:val="none" w:sz="0" w:space="0" w:color="auto"/>
        <w:bottom w:val="none" w:sz="0" w:space="0" w:color="auto"/>
        <w:right w:val="none" w:sz="0" w:space="0" w:color="auto"/>
      </w:divBdr>
    </w:div>
    <w:div w:id="1065568598">
      <w:bodyDiv w:val="1"/>
      <w:marLeft w:val="0"/>
      <w:marRight w:val="0"/>
      <w:marTop w:val="0"/>
      <w:marBottom w:val="0"/>
      <w:divBdr>
        <w:top w:val="none" w:sz="0" w:space="0" w:color="auto"/>
        <w:left w:val="none" w:sz="0" w:space="0" w:color="auto"/>
        <w:bottom w:val="none" w:sz="0" w:space="0" w:color="auto"/>
        <w:right w:val="none" w:sz="0" w:space="0" w:color="auto"/>
      </w:divBdr>
    </w:div>
    <w:div w:id="1071931582">
      <w:bodyDiv w:val="1"/>
      <w:marLeft w:val="0"/>
      <w:marRight w:val="0"/>
      <w:marTop w:val="0"/>
      <w:marBottom w:val="0"/>
      <w:divBdr>
        <w:top w:val="none" w:sz="0" w:space="0" w:color="auto"/>
        <w:left w:val="none" w:sz="0" w:space="0" w:color="auto"/>
        <w:bottom w:val="none" w:sz="0" w:space="0" w:color="auto"/>
        <w:right w:val="none" w:sz="0" w:space="0" w:color="auto"/>
      </w:divBdr>
    </w:div>
    <w:div w:id="1105926315">
      <w:bodyDiv w:val="1"/>
      <w:marLeft w:val="0"/>
      <w:marRight w:val="0"/>
      <w:marTop w:val="0"/>
      <w:marBottom w:val="0"/>
      <w:divBdr>
        <w:top w:val="none" w:sz="0" w:space="0" w:color="auto"/>
        <w:left w:val="none" w:sz="0" w:space="0" w:color="auto"/>
        <w:bottom w:val="none" w:sz="0" w:space="0" w:color="auto"/>
        <w:right w:val="none" w:sz="0" w:space="0" w:color="auto"/>
      </w:divBdr>
    </w:div>
    <w:div w:id="1108427026">
      <w:bodyDiv w:val="1"/>
      <w:marLeft w:val="0"/>
      <w:marRight w:val="0"/>
      <w:marTop w:val="0"/>
      <w:marBottom w:val="0"/>
      <w:divBdr>
        <w:top w:val="none" w:sz="0" w:space="0" w:color="auto"/>
        <w:left w:val="none" w:sz="0" w:space="0" w:color="auto"/>
        <w:bottom w:val="none" w:sz="0" w:space="0" w:color="auto"/>
        <w:right w:val="none" w:sz="0" w:space="0" w:color="auto"/>
      </w:divBdr>
    </w:div>
    <w:div w:id="1117720741">
      <w:bodyDiv w:val="1"/>
      <w:marLeft w:val="0"/>
      <w:marRight w:val="0"/>
      <w:marTop w:val="0"/>
      <w:marBottom w:val="0"/>
      <w:divBdr>
        <w:top w:val="none" w:sz="0" w:space="0" w:color="auto"/>
        <w:left w:val="none" w:sz="0" w:space="0" w:color="auto"/>
        <w:bottom w:val="none" w:sz="0" w:space="0" w:color="auto"/>
        <w:right w:val="none" w:sz="0" w:space="0" w:color="auto"/>
      </w:divBdr>
    </w:div>
    <w:div w:id="1125001388">
      <w:bodyDiv w:val="1"/>
      <w:marLeft w:val="0"/>
      <w:marRight w:val="0"/>
      <w:marTop w:val="0"/>
      <w:marBottom w:val="0"/>
      <w:divBdr>
        <w:top w:val="none" w:sz="0" w:space="0" w:color="auto"/>
        <w:left w:val="none" w:sz="0" w:space="0" w:color="auto"/>
        <w:bottom w:val="none" w:sz="0" w:space="0" w:color="auto"/>
        <w:right w:val="none" w:sz="0" w:space="0" w:color="auto"/>
      </w:divBdr>
    </w:div>
    <w:div w:id="1186822697">
      <w:bodyDiv w:val="1"/>
      <w:marLeft w:val="0"/>
      <w:marRight w:val="0"/>
      <w:marTop w:val="0"/>
      <w:marBottom w:val="0"/>
      <w:divBdr>
        <w:top w:val="none" w:sz="0" w:space="0" w:color="auto"/>
        <w:left w:val="none" w:sz="0" w:space="0" w:color="auto"/>
        <w:bottom w:val="none" w:sz="0" w:space="0" w:color="auto"/>
        <w:right w:val="none" w:sz="0" w:space="0" w:color="auto"/>
      </w:divBdr>
    </w:div>
    <w:div w:id="1250852187">
      <w:bodyDiv w:val="1"/>
      <w:marLeft w:val="0"/>
      <w:marRight w:val="0"/>
      <w:marTop w:val="0"/>
      <w:marBottom w:val="0"/>
      <w:divBdr>
        <w:top w:val="none" w:sz="0" w:space="0" w:color="auto"/>
        <w:left w:val="none" w:sz="0" w:space="0" w:color="auto"/>
        <w:bottom w:val="none" w:sz="0" w:space="0" w:color="auto"/>
        <w:right w:val="none" w:sz="0" w:space="0" w:color="auto"/>
      </w:divBdr>
    </w:div>
    <w:div w:id="1284071380">
      <w:bodyDiv w:val="1"/>
      <w:marLeft w:val="0"/>
      <w:marRight w:val="0"/>
      <w:marTop w:val="0"/>
      <w:marBottom w:val="0"/>
      <w:divBdr>
        <w:top w:val="none" w:sz="0" w:space="0" w:color="auto"/>
        <w:left w:val="none" w:sz="0" w:space="0" w:color="auto"/>
        <w:bottom w:val="none" w:sz="0" w:space="0" w:color="auto"/>
        <w:right w:val="none" w:sz="0" w:space="0" w:color="auto"/>
      </w:divBdr>
    </w:div>
    <w:div w:id="1287926216">
      <w:bodyDiv w:val="1"/>
      <w:marLeft w:val="0"/>
      <w:marRight w:val="0"/>
      <w:marTop w:val="0"/>
      <w:marBottom w:val="0"/>
      <w:divBdr>
        <w:top w:val="none" w:sz="0" w:space="0" w:color="auto"/>
        <w:left w:val="none" w:sz="0" w:space="0" w:color="auto"/>
        <w:bottom w:val="none" w:sz="0" w:space="0" w:color="auto"/>
        <w:right w:val="none" w:sz="0" w:space="0" w:color="auto"/>
      </w:divBdr>
    </w:div>
    <w:div w:id="1415274966">
      <w:bodyDiv w:val="1"/>
      <w:marLeft w:val="0"/>
      <w:marRight w:val="0"/>
      <w:marTop w:val="0"/>
      <w:marBottom w:val="0"/>
      <w:divBdr>
        <w:top w:val="none" w:sz="0" w:space="0" w:color="auto"/>
        <w:left w:val="none" w:sz="0" w:space="0" w:color="auto"/>
        <w:bottom w:val="none" w:sz="0" w:space="0" w:color="auto"/>
        <w:right w:val="none" w:sz="0" w:space="0" w:color="auto"/>
      </w:divBdr>
    </w:div>
    <w:div w:id="1474179952">
      <w:bodyDiv w:val="1"/>
      <w:marLeft w:val="0"/>
      <w:marRight w:val="0"/>
      <w:marTop w:val="0"/>
      <w:marBottom w:val="0"/>
      <w:divBdr>
        <w:top w:val="none" w:sz="0" w:space="0" w:color="auto"/>
        <w:left w:val="none" w:sz="0" w:space="0" w:color="auto"/>
        <w:bottom w:val="none" w:sz="0" w:space="0" w:color="auto"/>
        <w:right w:val="none" w:sz="0" w:space="0" w:color="auto"/>
      </w:divBdr>
    </w:div>
    <w:div w:id="1529484203">
      <w:bodyDiv w:val="1"/>
      <w:marLeft w:val="0"/>
      <w:marRight w:val="0"/>
      <w:marTop w:val="0"/>
      <w:marBottom w:val="0"/>
      <w:divBdr>
        <w:top w:val="none" w:sz="0" w:space="0" w:color="auto"/>
        <w:left w:val="none" w:sz="0" w:space="0" w:color="auto"/>
        <w:bottom w:val="none" w:sz="0" w:space="0" w:color="auto"/>
        <w:right w:val="none" w:sz="0" w:space="0" w:color="auto"/>
      </w:divBdr>
    </w:div>
    <w:div w:id="1555579939">
      <w:bodyDiv w:val="1"/>
      <w:marLeft w:val="0"/>
      <w:marRight w:val="0"/>
      <w:marTop w:val="0"/>
      <w:marBottom w:val="0"/>
      <w:divBdr>
        <w:top w:val="none" w:sz="0" w:space="0" w:color="auto"/>
        <w:left w:val="none" w:sz="0" w:space="0" w:color="auto"/>
        <w:bottom w:val="none" w:sz="0" w:space="0" w:color="auto"/>
        <w:right w:val="none" w:sz="0" w:space="0" w:color="auto"/>
      </w:divBdr>
    </w:div>
    <w:div w:id="1573154248">
      <w:bodyDiv w:val="1"/>
      <w:marLeft w:val="0"/>
      <w:marRight w:val="0"/>
      <w:marTop w:val="0"/>
      <w:marBottom w:val="0"/>
      <w:divBdr>
        <w:top w:val="none" w:sz="0" w:space="0" w:color="auto"/>
        <w:left w:val="none" w:sz="0" w:space="0" w:color="auto"/>
        <w:bottom w:val="none" w:sz="0" w:space="0" w:color="auto"/>
        <w:right w:val="none" w:sz="0" w:space="0" w:color="auto"/>
      </w:divBdr>
    </w:div>
    <w:div w:id="1615165306">
      <w:bodyDiv w:val="1"/>
      <w:marLeft w:val="0"/>
      <w:marRight w:val="0"/>
      <w:marTop w:val="0"/>
      <w:marBottom w:val="0"/>
      <w:divBdr>
        <w:top w:val="none" w:sz="0" w:space="0" w:color="auto"/>
        <w:left w:val="none" w:sz="0" w:space="0" w:color="auto"/>
        <w:bottom w:val="none" w:sz="0" w:space="0" w:color="auto"/>
        <w:right w:val="none" w:sz="0" w:space="0" w:color="auto"/>
      </w:divBdr>
    </w:div>
    <w:div w:id="1652126870">
      <w:bodyDiv w:val="1"/>
      <w:marLeft w:val="0"/>
      <w:marRight w:val="0"/>
      <w:marTop w:val="0"/>
      <w:marBottom w:val="0"/>
      <w:divBdr>
        <w:top w:val="none" w:sz="0" w:space="0" w:color="auto"/>
        <w:left w:val="none" w:sz="0" w:space="0" w:color="auto"/>
        <w:bottom w:val="none" w:sz="0" w:space="0" w:color="auto"/>
        <w:right w:val="none" w:sz="0" w:space="0" w:color="auto"/>
      </w:divBdr>
    </w:div>
    <w:div w:id="1675959845">
      <w:bodyDiv w:val="1"/>
      <w:marLeft w:val="0"/>
      <w:marRight w:val="0"/>
      <w:marTop w:val="0"/>
      <w:marBottom w:val="0"/>
      <w:divBdr>
        <w:top w:val="none" w:sz="0" w:space="0" w:color="auto"/>
        <w:left w:val="none" w:sz="0" w:space="0" w:color="auto"/>
        <w:bottom w:val="none" w:sz="0" w:space="0" w:color="auto"/>
        <w:right w:val="none" w:sz="0" w:space="0" w:color="auto"/>
      </w:divBdr>
    </w:div>
    <w:div w:id="1715541942">
      <w:bodyDiv w:val="1"/>
      <w:marLeft w:val="0"/>
      <w:marRight w:val="0"/>
      <w:marTop w:val="0"/>
      <w:marBottom w:val="0"/>
      <w:divBdr>
        <w:top w:val="none" w:sz="0" w:space="0" w:color="auto"/>
        <w:left w:val="none" w:sz="0" w:space="0" w:color="auto"/>
        <w:bottom w:val="none" w:sz="0" w:space="0" w:color="auto"/>
        <w:right w:val="none" w:sz="0" w:space="0" w:color="auto"/>
      </w:divBdr>
    </w:div>
    <w:div w:id="1737240724">
      <w:bodyDiv w:val="1"/>
      <w:marLeft w:val="0"/>
      <w:marRight w:val="0"/>
      <w:marTop w:val="0"/>
      <w:marBottom w:val="0"/>
      <w:divBdr>
        <w:top w:val="none" w:sz="0" w:space="0" w:color="auto"/>
        <w:left w:val="none" w:sz="0" w:space="0" w:color="auto"/>
        <w:bottom w:val="none" w:sz="0" w:space="0" w:color="auto"/>
        <w:right w:val="none" w:sz="0" w:space="0" w:color="auto"/>
      </w:divBdr>
    </w:div>
    <w:div w:id="1740901171">
      <w:bodyDiv w:val="1"/>
      <w:marLeft w:val="0"/>
      <w:marRight w:val="0"/>
      <w:marTop w:val="0"/>
      <w:marBottom w:val="0"/>
      <w:divBdr>
        <w:top w:val="none" w:sz="0" w:space="0" w:color="auto"/>
        <w:left w:val="none" w:sz="0" w:space="0" w:color="auto"/>
        <w:bottom w:val="none" w:sz="0" w:space="0" w:color="auto"/>
        <w:right w:val="none" w:sz="0" w:space="0" w:color="auto"/>
      </w:divBdr>
    </w:div>
    <w:div w:id="1741058619">
      <w:bodyDiv w:val="1"/>
      <w:marLeft w:val="0"/>
      <w:marRight w:val="0"/>
      <w:marTop w:val="0"/>
      <w:marBottom w:val="0"/>
      <w:divBdr>
        <w:top w:val="none" w:sz="0" w:space="0" w:color="auto"/>
        <w:left w:val="none" w:sz="0" w:space="0" w:color="auto"/>
        <w:bottom w:val="none" w:sz="0" w:space="0" w:color="auto"/>
        <w:right w:val="none" w:sz="0" w:space="0" w:color="auto"/>
      </w:divBdr>
    </w:div>
    <w:div w:id="1760640991">
      <w:bodyDiv w:val="1"/>
      <w:marLeft w:val="0"/>
      <w:marRight w:val="0"/>
      <w:marTop w:val="0"/>
      <w:marBottom w:val="0"/>
      <w:divBdr>
        <w:top w:val="none" w:sz="0" w:space="0" w:color="auto"/>
        <w:left w:val="none" w:sz="0" w:space="0" w:color="auto"/>
        <w:bottom w:val="none" w:sz="0" w:space="0" w:color="auto"/>
        <w:right w:val="none" w:sz="0" w:space="0" w:color="auto"/>
      </w:divBdr>
    </w:div>
    <w:div w:id="1764304537">
      <w:bodyDiv w:val="1"/>
      <w:marLeft w:val="0"/>
      <w:marRight w:val="0"/>
      <w:marTop w:val="0"/>
      <w:marBottom w:val="0"/>
      <w:divBdr>
        <w:top w:val="none" w:sz="0" w:space="0" w:color="auto"/>
        <w:left w:val="none" w:sz="0" w:space="0" w:color="auto"/>
        <w:bottom w:val="none" w:sz="0" w:space="0" w:color="auto"/>
        <w:right w:val="none" w:sz="0" w:space="0" w:color="auto"/>
      </w:divBdr>
    </w:div>
    <w:div w:id="1790927746">
      <w:bodyDiv w:val="1"/>
      <w:marLeft w:val="0"/>
      <w:marRight w:val="0"/>
      <w:marTop w:val="0"/>
      <w:marBottom w:val="0"/>
      <w:divBdr>
        <w:top w:val="none" w:sz="0" w:space="0" w:color="auto"/>
        <w:left w:val="none" w:sz="0" w:space="0" w:color="auto"/>
        <w:bottom w:val="none" w:sz="0" w:space="0" w:color="auto"/>
        <w:right w:val="none" w:sz="0" w:space="0" w:color="auto"/>
      </w:divBdr>
    </w:div>
    <w:div w:id="1802651167">
      <w:bodyDiv w:val="1"/>
      <w:marLeft w:val="0"/>
      <w:marRight w:val="0"/>
      <w:marTop w:val="0"/>
      <w:marBottom w:val="0"/>
      <w:divBdr>
        <w:top w:val="none" w:sz="0" w:space="0" w:color="auto"/>
        <w:left w:val="none" w:sz="0" w:space="0" w:color="auto"/>
        <w:bottom w:val="none" w:sz="0" w:space="0" w:color="auto"/>
        <w:right w:val="none" w:sz="0" w:space="0" w:color="auto"/>
      </w:divBdr>
    </w:div>
    <w:div w:id="1835298933">
      <w:bodyDiv w:val="1"/>
      <w:marLeft w:val="0"/>
      <w:marRight w:val="0"/>
      <w:marTop w:val="0"/>
      <w:marBottom w:val="0"/>
      <w:divBdr>
        <w:top w:val="none" w:sz="0" w:space="0" w:color="auto"/>
        <w:left w:val="none" w:sz="0" w:space="0" w:color="auto"/>
        <w:bottom w:val="none" w:sz="0" w:space="0" w:color="auto"/>
        <w:right w:val="none" w:sz="0" w:space="0" w:color="auto"/>
      </w:divBdr>
    </w:div>
    <w:div w:id="1870071345">
      <w:bodyDiv w:val="1"/>
      <w:marLeft w:val="0"/>
      <w:marRight w:val="0"/>
      <w:marTop w:val="0"/>
      <w:marBottom w:val="0"/>
      <w:divBdr>
        <w:top w:val="none" w:sz="0" w:space="0" w:color="auto"/>
        <w:left w:val="none" w:sz="0" w:space="0" w:color="auto"/>
        <w:bottom w:val="none" w:sz="0" w:space="0" w:color="auto"/>
        <w:right w:val="none" w:sz="0" w:space="0" w:color="auto"/>
      </w:divBdr>
    </w:div>
    <w:div w:id="1872105149">
      <w:bodyDiv w:val="1"/>
      <w:marLeft w:val="0"/>
      <w:marRight w:val="0"/>
      <w:marTop w:val="0"/>
      <w:marBottom w:val="0"/>
      <w:divBdr>
        <w:top w:val="none" w:sz="0" w:space="0" w:color="auto"/>
        <w:left w:val="none" w:sz="0" w:space="0" w:color="auto"/>
        <w:bottom w:val="none" w:sz="0" w:space="0" w:color="auto"/>
        <w:right w:val="none" w:sz="0" w:space="0" w:color="auto"/>
      </w:divBdr>
    </w:div>
    <w:div w:id="1893694189">
      <w:bodyDiv w:val="1"/>
      <w:marLeft w:val="0"/>
      <w:marRight w:val="0"/>
      <w:marTop w:val="0"/>
      <w:marBottom w:val="0"/>
      <w:divBdr>
        <w:top w:val="none" w:sz="0" w:space="0" w:color="auto"/>
        <w:left w:val="none" w:sz="0" w:space="0" w:color="auto"/>
        <w:bottom w:val="none" w:sz="0" w:space="0" w:color="auto"/>
        <w:right w:val="none" w:sz="0" w:space="0" w:color="auto"/>
      </w:divBdr>
    </w:div>
    <w:div w:id="1900289038">
      <w:bodyDiv w:val="1"/>
      <w:marLeft w:val="0"/>
      <w:marRight w:val="0"/>
      <w:marTop w:val="0"/>
      <w:marBottom w:val="0"/>
      <w:divBdr>
        <w:top w:val="none" w:sz="0" w:space="0" w:color="auto"/>
        <w:left w:val="none" w:sz="0" w:space="0" w:color="auto"/>
        <w:bottom w:val="none" w:sz="0" w:space="0" w:color="auto"/>
        <w:right w:val="none" w:sz="0" w:space="0" w:color="auto"/>
      </w:divBdr>
    </w:div>
    <w:div w:id="1903979179">
      <w:bodyDiv w:val="1"/>
      <w:marLeft w:val="0"/>
      <w:marRight w:val="0"/>
      <w:marTop w:val="0"/>
      <w:marBottom w:val="0"/>
      <w:divBdr>
        <w:top w:val="none" w:sz="0" w:space="0" w:color="auto"/>
        <w:left w:val="none" w:sz="0" w:space="0" w:color="auto"/>
        <w:bottom w:val="none" w:sz="0" w:space="0" w:color="auto"/>
        <w:right w:val="none" w:sz="0" w:space="0" w:color="auto"/>
      </w:divBdr>
    </w:div>
    <w:div w:id="1922448042">
      <w:bodyDiv w:val="1"/>
      <w:marLeft w:val="0"/>
      <w:marRight w:val="0"/>
      <w:marTop w:val="0"/>
      <w:marBottom w:val="0"/>
      <w:divBdr>
        <w:top w:val="none" w:sz="0" w:space="0" w:color="auto"/>
        <w:left w:val="none" w:sz="0" w:space="0" w:color="auto"/>
        <w:bottom w:val="none" w:sz="0" w:space="0" w:color="auto"/>
        <w:right w:val="none" w:sz="0" w:space="0" w:color="auto"/>
      </w:divBdr>
    </w:div>
    <w:div w:id="1924026200">
      <w:bodyDiv w:val="1"/>
      <w:marLeft w:val="0"/>
      <w:marRight w:val="0"/>
      <w:marTop w:val="0"/>
      <w:marBottom w:val="0"/>
      <w:divBdr>
        <w:top w:val="none" w:sz="0" w:space="0" w:color="auto"/>
        <w:left w:val="none" w:sz="0" w:space="0" w:color="auto"/>
        <w:bottom w:val="none" w:sz="0" w:space="0" w:color="auto"/>
        <w:right w:val="none" w:sz="0" w:space="0" w:color="auto"/>
      </w:divBdr>
    </w:div>
    <w:div w:id="1986004290">
      <w:bodyDiv w:val="1"/>
      <w:marLeft w:val="0"/>
      <w:marRight w:val="0"/>
      <w:marTop w:val="0"/>
      <w:marBottom w:val="0"/>
      <w:divBdr>
        <w:top w:val="none" w:sz="0" w:space="0" w:color="auto"/>
        <w:left w:val="none" w:sz="0" w:space="0" w:color="auto"/>
        <w:bottom w:val="none" w:sz="0" w:space="0" w:color="auto"/>
        <w:right w:val="none" w:sz="0" w:space="0" w:color="auto"/>
      </w:divBdr>
    </w:div>
    <w:div w:id="2010326954">
      <w:bodyDiv w:val="1"/>
      <w:marLeft w:val="0"/>
      <w:marRight w:val="0"/>
      <w:marTop w:val="0"/>
      <w:marBottom w:val="0"/>
      <w:divBdr>
        <w:top w:val="none" w:sz="0" w:space="0" w:color="auto"/>
        <w:left w:val="none" w:sz="0" w:space="0" w:color="auto"/>
        <w:bottom w:val="none" w:sz="0" w:space="0" w:color="auto"/>
        <w:right w:val="none" w:sz="0" w:space="0" w:color="auto"/>
      </w:divBdr>
    </w:div>
    <w:div w:id="2030178342">
      <w:bodyDiv w:val="1"/>
      <w:marLeft w:val="0"/>
      <w:marRight w:val="0"/>
      <w:marTop w:val="0"/>
      <w:marBottom w:val="0"/>
      <w:divBdr>
        <w:top w:val="none" w:sz="0" w:space="0" w:color="auto"/>
        <w:left w:val="none" w:sz="0" w:space="0" w:color="auto"/>
        <w:bottom w:val="none" w:sz="0" w:space="0" w:color="auto"/>
        <w:right w:val="none" w:sz="0" w:space="0" w:color="auto"/>
      </w:divBdr>
    </w:div>
    <w:div w:id="2064940547">
      <w:bodyDiv w:val="1"/>
      <w:marLeft w:val="0"/>
      <w:marRight w:val="0"/>
      <w:marTop w:val="0"/>
      <w:marBottom w:val="0"/>
      <w:divBdr>
        <w:top w:val="none" w:sz="0" w:space="0" w:color="auto"/>
        <w:left w:val="none" w:sz="0" w:space="0" w:color="auto"/>
        <w:bottom w:val="none" w:sz="0" w:space="0" w:color="auto"/>
        <w:right w:val="none" w:sz="0" w:space="0" w:color="auto"/>
      </w:divBdr>
    </w:div>
    <w:div w:id="20860240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forum.icann.org/lists/comments-ppsai-initial-05may15/" TargetMode="External"/><Relationship Id="rId9" Type="http://schemas.openxmlformats.org/officeDocument/2006/relationships/hyperlink" Target="https://community.icann.org/x/KIFCAw" TargetMode="External"/><Relationship Id="rId10" Type="http://schemas.openxmlformats.org/officeDocument/2006/relationships/hyperlink" Target="http://www.inta.org/Advocacy/Documents/November202009Who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47</Pages>
  <Words>7685</Words>
  <Characters>43808</Characters>
  <Application>Microsoft Macintosh Word</Application>
  <DocSecurity>0</DocSecurity>
  <Lines>365</Lines>
  <Paragraphs>102</Paragraphs>
  <ScaleCrop>false</ScaleCrop>
  <Company>ICANN</Company>
  <LinksUpToDate>false</LinksUpToDate>
  <CharactersWithSpaces>51391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2015-07-30T23:10:00Z</dcterms:created>
  <dcterms:modified xsi:type="dcterms:W3CDTF">2015-07-30T23:10:00Z</dcterms:modified>
</cp:coreProperties>
</file>