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15" w:rsidRPr="006A4215" w:rsidRDefault="006A4215">
      <w:pPr>
        <w:rPr>
          <w:rFonts w:asciiTheme="majorHAnsi" w:hAnsiTheme="majorHAnsi"/>
          <w:b/>
          <w:sz w:val="22"/>
          <w:szCs w:val="22"/>
        </w:rPr>
      </w:pPr>
      <w:r w:rsidRPr="006A4215">
        <w:rPr>
          <w:rFonts w:asciiTheme="majorHAnsi" w:hAnsiTheme="majorHAnsi"/>
          <w:b/>
          <w:sz w:val="22"/>
          <w:szCs w:val="22"/>
        </w:rPr>
        <w:t>ADDITIONAL COMMENTS THAT MAY BE RELEVANT TO SUB TEAM CONSIDERATIONS AND REVIEW</w:t>
      </w:r>
      <w:r>
        <w:rPr>
          <w:rFonts w:asciiTheme="majorHAnsi" w:hAnsiTheme="majorHAnsi"/>
          <w:b/>
          <w:sz w:val="22"/>
          <w:szCs w:val="22"/>
        </w:rPr>
        <w:t xml:space="preserve"> (EXTRACTED FROM PPSAI WG PUBLIC COMMENT REVIEW TOOL PART 4, 2 SEPTEMBER 2015)</w:t>
      </w:r>
    </w:p>
    <w:p w:rsidR="006A4215" w:rsidRDefault="006A4215"/>
    <w:tbl>
      <w:tblPr>
        <w:tblStyle w:val="TableGrid"/>
        <w:tblW w:w="0" w:type="auto"/>
        <w:tblLook w:val="04A0" w:firstRow="1" w:lastRow="0" w:firstColumn="1" w:lastColumn="0" w:noHBand="0" w:noVBand="1"/>
      </w:tblPr>
      <w:tblGrid>
        <w:gridCol w:w="7685"/>
        <w:gridCol w:w="2140"/>
        <w:gridCol w:w="1268"/>
        <w:gridCol w:w="2083"/>
      </w:tblGrid>
      <w:tr w:rsidR="006A4215" w:rsidRPr="00576772" w:rsidTr="006A4215">
        <w:tc>
          <w:tcPr>
            <w:tcW w:w="0" w:type="auto"/>
          </w:tcPr>
          <w:p w:rsidR="00576772" w:rsidRPr="006A4215" w:rsidRDefault="00576772">
            <w:pPr>
              <w:rPr>
                <w:rFonts w:asciiTheme="majorHAnsi" w:hAnsiTheme="majorHAnsi"/>
                <w:b/>
                <w:sz w:val="22"/>
                <w:szCs w:val="22"/>
              </w:rPr>
            </w:pPr>
            <w:r w:rsidRPr="006A4215">
              <w:rPr>
                <w:rFonts w:asciiTheme="majorHAnsi" w:hAnsiTheme="majorHAnsi"/>
                <w:b/>
                <w:sz w:val="22"/>
                <w:szCs w:val="22"/>
              </w:rPr>
              <w:t>COMMENT</w:t>
            </w:r>
          </w:p>
        </w:tc>
        <w:tc>
          <w:tcPr>
            <w:tcW w:w="0" w:type="auto"/>
          </w:tcPr>
          <w:p w:rsidR="00576772" w:rsidRPr="006A4215" w:rsidRDefault="00576772">
            <w:pPr>
              <w:rPr>
                <w:rFonts w:asciiTheme="majorHAnsi" w:hAnsiTheme="majorHAnsi"/>
                <w:b/>
                <w:sz w:val="22"/>
                <w:szCs w:val="22"/>
              </w:rPr>
            </w:pPr>
            <w:r w:rsidRPr="006A4215">
              <w:rPr>
                <w:rFonts w:asciiTheme="majorHAnsi" w:hAnsiTheme="majorHAnsi"/>
                <w:b/>
                <w:sz w:val="22"/>
                <w:szCs w:val="22"/>
              </w:rPr>
              <w:t>COMMENTER</w:t>
            </w:r>
          </w:p>
        </w:tc>
        <w:tc>
          <w:tcPr>
            <w:tcW w:w="0" w:type="auto"/>
          </w:tcPr>
          <w:p w:rsidR="00576772" w:rsidRPr="006A4215" w:rsidRDefault="00576772">
            <w:pPr>
              <w:rPr>
                <w:rFonts w:asciiTheme="majorHAnsi" w:hAnsiTheme="majorHAnsi"/>
                <w:b/>
                <w:sz w:val="22"/>
                <w:szCs w:val="22"/>
              </w:rPr>
            </w:pPr>
            <w:r w:rsidRPr="006A4215">
              <w:rPr>
                <w:rFonts w:asciiTheme="majorHAnsi" w:hAnsiTheme="majorHAnsi"/>
                <w:b/>
                <w:sz w:val="22"/>
                <w:szCs w:val="22"/>
              </w:rPr>
              <w:t>NOTES</w:t>
            </w:r>
          </w:p>
        </w:tc>
        <w:tc>
          <w:tcPr>
            <w:tcW w:w="0" w:type="auto"/>
          </w:tcPr>
          <w:p w:rsidR="00576772" w:rsidRPr="006A4215" w:rsidRDefault="00576772">
            <w:pPr>
              <w:rPr>
                <w:rFonts w:asciiTheme="majorHAnsi" w:hAnsiTheme="majorHAnsi"/>
                <w:b/>
                <w:sz w:val="22"/>
                <w:szCs w:val="22"/>
              </w:rPr>
            </w:pPr>
            <w:r w:rsidRPr="006A4215">
              <w:rPr>
                <w:rFonts w:asciiTheme="majorHAnsi" w:hAnsiTheme="majorHAnsi"/>
                <w:b/>
                <w:sz w:val="22"/>
                <w:szCs w:val="22"/>
              </w:rPr>
              <w:t>RECOMMENDATION</w:t>
            </w:r>
          </w:p>
        </w:tc>
      </w:tr>
      <w:tr w:rsidR="006A4215" w:rsidRPr="00576772" w:rsidTr="006A4215">
        <w:tc>
          <w:tcPr>
            <w:tcW w:w="0" w:type="auto"/>
          </w:tcPr>
          <w:p w:rsidR="00576772" w:rsidRPr="00576772" w:rsidRDefault="00576772" w:rsidP="00576772">
            <w:pPr>
              <w:rPr>
                <w:rFonts w:asciiTheme="majorHAnsi" w:hAnsiTheme="majorHAnsi"/>
                <w:sz w:val="22"/>
                <w:szCs w:val="22"/>
              </w:rPr>
            </w:pPr>
            <w:r w:rsidRPr="00576772">
              <w:rPr>
                <w:rFonts w:asciiTheme="majorHAnsi" w:hAnsiTheme="majorHAnsi"/>
                <w:sz w:val="22"/>
                <w:szCs w:val="22"/>
              </w:rPr>
              <w:t xml:space="preserve">No existing privacy/proxy service participating in or reviewed by the Working Group, and probably no such service in existence, could function under the standard called </w:t>
            </w:r>
            <w:r>
              <w:rPr>
                <w:rFonts w:asciiTheme="majorHAnsi" w:hAnsiTheme="majorHAnsi"/>
                <w:sz w:val="22"/>
                <w:szCs w:val="22"/>
              </w:rPr>
              <w:t>for by [respectyourprivacy.com].</w:t>
            </w:r>
          </w:p>
          <w:p w:rsidR="00576772" w:rsidRDefault="00576772" w:rsidP="00576772">
            <w:pPr>
              <w:rPr>
                <w:rFonts w:asciiTheme="majorHAnsi" w:hAnsiTheme="majorHAnsi"/>
                <w:sz w:val="22"/>
                <w:szCs w:val="22"/>
              </w:rPr>
            </w:pPr>
          </w:p>
          <w:p w:rsidR="00576772" w:rsidRPr="00576772" w:rsidRDefault="00576772" w:rsidP="00576772">
            <w:pPr>
              <w:rPr>
                <w:rFonts w:asciiTheme="majorHAnsi" w:hAnsiTheme="majorHAnsi"/>
                <w:sz w:val="22"/>
                <w:szCs w:val="22"/>
              </w:rPr>
            </w:pPr>
            <w:r w:rsidRPr="00576772">
              <w:rPr>
                <w:rFonts w:asciiTheme="majorHAnsi" w:hAnsiTheme="majorHAnsi"/>
                <w:sz w:val="22"/>
                <w:szCs w:val="22"/>
              </w:rPr>
              <w:t>On the [call by savedomainprivacy.org for “verifiable evidence of wrongdoing”] the Initial Report reserves to providers considerable discretion about when to reject a request for disclosure in general; and in the sole area in which the Initial Report proposes more detailed standards, the Illustrative Disclosure Framework applicable to intellectual property complaints specifically contemplates that P/P Providers will only be required to disclose P/P Customer contact details when presented with “verifiable evidence of wrongdoing”.</w:t>
            </w:r>
          </w:p>
          <w:p w:rsidR="00576772" w:rsidRPr="00576772" w:rsidRDefault="00576772" w:rsidP="00576772">
            <w:pPr>
              <w:rPr>
                <w:rFonts w:asciiTheme="majorHAnsi" w:hAnsiTheme="majorHAnsi"/>
                <w:sz w:val="22"/>
                <w:szCs w:val="22"/>
              </w:rPr>
            </w:pPr>
          </w:p>
          <w:p w:rsidR="00576772" w:rsidRPr="00576772" w:rsidRDefault="00576772" w:rsidP="00576772">
            <w:pPr>
              <w:rPr>
                <w:rFonts w:asciiTheme="majorHAnsi" w:hAnsiTheme="majorHAnsi"/>
                <w:sz w:val="22"/>
                <w:szCs w:val="22"/>
              </w:rPr>
            </w:pPr>
            <w:r w:rsidRPr="00576772">
              <w:rPr>
                <w:rFonts w:asciiTheme="majorHAnsi" w:hAnsiTheme="majorHAnsi"/>
                <w:sz w:val="22"/>
                <w:szCs w:val="22"/>
              </w:rPr>
              <w:t>[</w:t>
            </w:r>
            <w:proofErr w:type="gramStart"/>
            <w:r w:rsidRPr="00576772">
              <w:rPr>
                <w:rFonts w:asciiTheme="majorHAnsi" w:hAnsiTheme="majorHAnsi"/>
                <w:sz w:val="22"/>
                <w:szCs w:val="22"/>
              </w:rPr>
              <w:t>I]t</w:t>
            </w:r>
            <w:proofErr w:type="gramEnd"/>
            <w:r w:rsidRPr="00576772">
              <w:rPr>
                <w:rFonts w:asciiTheme="majorHAnsi" w:hAnsiTheme="majorHAnsi"/>
                <w:sz w:val="22"/>
                <w:szCs w:val="22"/>
              </w:rPr>
              <w:t xml:space="preserve"> is not clear what exactly those who sign the savedomainprivacy.org petition would change about the Initial Report. For that reason, any petitions submitted through the campaign must presumably be understood by the WG as supporting the Initial Report. [</w:t>
            </w:r>
            <w:proofErr w:type="gramStart"/>
            <w:r w:rsidRPr="00576772">
              <w:rPr>
                <w:rFonts w:asciiTheme="majorHAnsi" w:hAnsiTheme="majorHAnsi"/>
                <w:sz w:val="22"/>
                <w:szCs w:val="22"/>
              </w:rPr>
              <w:t>M]any</w:t>
            </w:r>
            <w:proofErr w:type="gramEnd"/>
            <w:r w:rsidRPr="00576772">
              <w:rPr>
                <w:rFonts w:asciiTheme="majorHAnsi" w:hAnsiTheme="majorHAnsi"/>
                <w:sz w:val="22"/>
                <w:szCs w:val="22"/>
              </w:rPr>
              <w:t xml:space="preserve"> of the statements made on these website about key aspects of the Initial Report are misleading and incomplete, and in some cases simply false. The resulting comments should be evaluated in this context</w:t>
            </w:r>
          </w:p>
        </w:tc>
        <w:tc>
          <w:tcPr>
            <w:tcW w:w="0" w:type="auto"/>
          </w:tcPr>
          <w:p w:rsidR="00576772" w:rsidRPr="00576772" w:rsidRDefault="00576772">
            <w:pPr>
              <w:rPr>
                <w:rFonts w:asciiTheme="majorHAnsi" w:hAnsiTheme="majorHAnsi"/>
                <w:sz w:val="22"/>
                <w:szCs w:val="22"/>
              </w:rPr>
            </w:pPr>
            <w:r w:rsidRPr="00576772">
              <w:rPr>
                <w:rFonts w:asciiTheme="majorHAnsi" w:hAnsiTheme="majorHAnsi"/>
                <w:sz w:val="22"/>
                <w:szCs w:val="22"/>
              </w:rPr>
              <w:t>Coalition for Online Accountability</w:t>
            </w:r>
          </w:p>
        </w:tc>
        <w:tc>
          <w:tcPr>
            <w:tcW w:w="0" w:type="auto"/>
          </w:tcPr>
          <w:p w:rsidR="00576772" w:rsidRPr="00576772" w:rsidRDefault="00576772">
            <w:pPr>
              <w:rPr>
                <w:rFonts w:asciiTheme="majorHAnsi" w:hAnsiTheme="majorHAnsi"/>
                <w:sz w:val="22"/>
                <w:szCs w:val="22"/>
              </w:rPr>
            </w:pPr>
          </w:p>
        </w:tc>
        <w:tc>
          <w:tcPr>
            <w:tcW w:w="0" w:type="auto"/>
          </w:tcPr>
          <w:p w:rsidR="00576772" w:rsidRPr="00576772" w:rsidRDefault="00576772">
            <w:pPr>
              <w:rPr>
                <w:rFonts w:asciiTheme="majorHAnsi" w:hAnsiTheme="majorHAnsi"/>
                <w:sz w:val="22"/>
                <w:szCs w:val="22"/>
              </w:rPr>
            </w:pPr>
          </w:p>
        </w:tc>
      </w:tr>
      <w:tr w:rsidR="006A4215" w:rsidRPr="00576772" w:rsidTr="006A4215">
        <w:tc>
          <w:tcPr>
            <w:tcW w:w="0" w:type="auto"/>
          </w:tcPr>
          <w:p w:rsidR="00576772" w:rsidRPr="00F001F0" w:rsidRDefault="00576772" w:rsidP="00576772">
            <w:pPr>
              <w:rPr>
                <w:rFonts w:asciiTheme="majorHAnsi" w:hAnsiTheme="majorHAnsi"/>
                <w:sz w:val="22"/>
                <w:szCs w:val="22"/>
              </w:rPr>
            </w:pPr>
            <w:r w:rsidRPr="00F001F0">
              <w:rPr>
                <w:rFonts w:asciiTheme="majorHAnsi" w:hAnsiTheme="majorHAnsi"/>
                <w:sz w:val="22"/>
                <w:szCs w:val="22"/>
              </w:rPr>
              <w:t>[</w:t>
            </w:r>
            <w:proofErr w:type="gramStart"/>
            <w:r w:rsidRPr="00F001F0">
              <w:rPr>
                <w:rFonts w:asciiTheme="majorHAnsi" w:hAnsiTheme="majorHAnsi"/>
                <w:sz w:val="22"/>
                <w:szCs w:val="22"/>
              </w:rPr>
              <w:t>S]</w:t>
            </w:r>
            <w:proofErr w:type="spellStart"/>
            <w:r w:rsidRPr="00F001F0">
              <w:rPr>
                <w:rFonts w:asciiTheme="majorHAnsi" w:hAnsiTheme="majorHAnsi"/>
                <w:sz w:val="22"/>
                <w:szCs w:val="22"/>
              </w:rPr>
              <w:t>uggest</w:t>
            </w:r>
            <w:proofErr w:type="spellEnd"/>
            <w:proofErr w:type="gramEnd"/>
            <w:r w:rsidRPr="00F001F0">
              <w:rPr>
                <w:rFonts w:asciiTheme="majorHAnsi" w:hAnsiTheme="majorHAnsi"/>
                <w:sz w:val="22"/>
                <w:szCs w:val="22"/>
              </w:rPr>
              <w:t xml:space="preserve"> that the Working Group look to established policies around disclosure that are already used by some country code managers, such as CIRA, who run the Canadian (.</w:t>
            </w:r>
            <w:proofErr w:type="spellStart"/>
            <w:r w:rsidRPr="00F001F0">
              <w:rPr>
                <w:rFonts w:asciiTheme="majorHAnsi" w:hAnsiTheme="majorHAnsi"/>
                <w:sz w:val="22"/>
                <w:szCs w:val="22"/>
              </w:rPr>
              <w:t>ca</w:t>
            </w:r>
            <w:proofErr w:type="spellEnd"/>
            <w:r w:rsidRPr="00F001F0">
              <w:rPr>
                <w:rFonts w:asciiTheme="majorHAnsi" w:hAnsiTheme="majorHAnsi"/>
                <w:sz w:val="22"/>
                <w:szCs w:val="22"/>
              </w:rPr>
              <w:t>) country code.</w:t>
            </w:r>
          </w:p>
        </w:tc>
        <w:tc>
          <w:tcPr>
            <w:tcW w:w="0" w:type="auto"/>
          </w:tcPr>
          <w:p w:rsidR="00576772" w:rsidRPr="00F001F0" w:rsidRDefault="00576772" w:rsidP="00576772">
            <w:pPr>
              <w:rPr>
                <w:rFonts w:asciiTheme="majorHAnsi" w:hAnsiTheme="majorHAnsi"/>
                <w:sz w:val="22"/>
                <w:szCs w:val="22"/>
              </w:rPr>
            </w:pPr>
            <w:proofErr w:type="spellStart"/>
            <w:r w:rsidRPr="00F001F0">
              <w:rPr>
                <w:rFonts w:asciiTheme="majorHAnsi" w:hAnsiTheme="majorHAnsi"/>
                <w:sz w:val="22"/>
                <w:szCs w:val="22"/>
              </w:rPr>
              <w:t>Blacknight</w:t>
            </w:r>
            <w:proofErr w:type="spellEnd"/>
          </w:p>
        </w:tc>
        <w:tc>
          <w:tcPr>
            <w:tcW w:w="0" w:type="auto"/>
          </w:tcPr>
          <w:p w:rsidR="00576772" w:rsidRPr="00576772" w:rsidRDefault="006A4215">
            <w:pPr>
              <w:rPr>
                <w:rFonts w:asciiTheme="majorHAnsi" w:hAnsiTheme="majorHAnsi"/>
                <w:sz w:val="22"/>
                <w:szCs w:val="22"/>
              </w:rPr>
            </w:pPr>
            <w:r>
              <w:rPr>
                <w:rFonts w:asciiTheme="majorHAnsi" w:hAnsiTheme="majorHAnsi"/>
                <w:sz w:val="22"/>
                <w:szCs w:val="22"/>
              </w:rPr>
              <w:t>Also referred to Sub Team 1</w:t>
            </w:r>
            <w:bookmarkStart w:id="0" w:name="_GoBack"/>
            <w:bookmarkEnd w:id="0"/>
          </w:p>
        </w:tc>
        <w:tc>
          <w:tcPr>
            <w:tcW w:w="0" w:type="auto"/>
          </w:tcPr>
          <w:p w:rsidR="00576772" w:rsidRPr="00576772" w:rsidRDefault="00576772">
            <w:pPr>
              <w:rPr>
                <w:rFonts w:asciiTheme="majorHAnsi" w:hAnsiTheme="majorHAnsi"/>
                <w:sz w:val="22"/>
                <w:szCs w:val="22"/>
              </w:rPr>
            </w:pPr>
          </w:p>
        </w:tc>
      </w:tr>
      <w:tr w:rsidR="006A4215" w:rsidRPr="00576772" w:rsidTr="006A4215">
        <w:tc>
          <w:tcPr>
            <w:tcW w:w="0" w:type="auto"/>
          </w:tcPr>
          <w:p w:rsidR="00576772" w:rsidRPr="00F001F0" w:rsidRDefault="00576772" w:rsidP="00576772">
            <w:pPr>
              <w:rPr>
                <w:rFonts w:asciiTheme="majorHAnsi" w:hAnsiTheme="majorHAnsi"/>
                <w:sz w:val="22"/>
                <w:szCs w:val="22"/>
              </w:rPr>
            </w:pPr>
            <w:r w:rsidRPr="00F001F0">
              <w:rPr>
                <w:rFonts w:asciiTheme="majorHAnsi" w:hAnsiTheme="majorHAnsi"/>
                <w:sz w:val="22"/>
                <w:szCs w:val="22"/>
              </w:rPr>
              <w:t>[</w:t>
            </w:r>
            <w:proofErr w:type="gramStart"/>
            <w:r w:rsidRPr="00F001F0">
              <w:rPr>
                <w:rFonts w:asciiTheme="majorHAnsi" w:hAnsiTheme="majorHAnsi"/>
                <w:sz w:val="22"/>
                <w:szCs w:val="22"/>
              </w:rPr>
              <w:t>W]</w:t>
            </w:r>
            <w:proofErr w:type="spellStart"/>
            <w:r w:rsidRPr="00F001F0">
              <w:rPr>
                <w:rFonts w:asciiTheme="majorHAnsi" w:hAnsiTheme="majorHAnsi"/>
                <w:sz w:val="22"/>
                <w:szCs w:val="22"/>
              </w:rPr>
              <w:t>ithin</w:t>
            </w:r>
            <w:proofErr w:type="spellEnd"/>
            <w:proofErr w:type="gramEnd"/>
            <w:r w:rsidRPr="00F001F0">
              <w:rPr>
                <w:rFonts w:asciiTheme="majorHAnsi" w:hAnsiTheme="majorHAnsi"/>
                <w:sz w:val="22"/>
                <w:szCs w:val="22"/>
              </w:rPr>
              <w:t xml:space="preserve"> a short period after adoption and implementation of the final rules, ICANN should implement a mandatory review process to survey customers to understand the impact of disclosures made pursuant to the requirements ICANN has imposed. In addition, ICANN should seek to assess on a continuing basis whether these rules create a chilling effect on online speech.</w:t>
            </w:r>
          </w:p>
        </w:tc>
        <w:tc>
          <w:tcPr>
            <w:tcW w:w="0" w:type="auto"/>
          </w:tcPr>
          <w:p w:rsidR="00576772" w:rsidRPr="00F001F0" w:rsidRDefault="00576772" w:rsidP="00576772">
            <w:pPr>
              <w:rPr>
                <w:rFonts w:asciiTheme="majorHAnsi" w:hAnsiTheme="majorHAnsi"/>
                <w:sz w:val="22"/>
                <w:szCs w:val="22"/>
              </w:rPr>
            </w:pPr>
            <w:r w:rsidRPr="00F001F0">
              <w:rPr>
                <w:rFonts w:asciiTheme="majorHAnsi" w:hAnsiTheme="majorHAnsi"/>
                <w:sz w:val="22"/>
                <w:szCs w:val="22"/>
              </w:rPr>
              <w:t xml:space="preserve">CDT/Open Technology Institute/Public Knowledge </w:t>
            </w:r>
          </w:p>
        </w:tc>
        <w:tc>
          <w:tcPr>
            <w:tcW w:w="0" w:type="auto"/>
          </w:tcPr>
          <w:p w:rsidR="00576772" w:rsidRPr="00576772" w:rsidRDefault="00576772">
            <w:pPr>
              <w:rPr>
                <w:rFonts w:asciiTheme="majorHAnsi" w:hAnsiTheme="majorHAnsi"/>
                <w:sz w:val="22"/>
                <w:szCs w:val="22"/>
              </w:rPr>
            </w:pPr>
          </w:p>
        </w:tc>
        <w:tc>
          <w:tcPr>
            <w:tcW w:w="0" w:type="auto"/>
          </w:tcPr>
          <w:p w:rsidR="00576772" w:rsidRPr="00576772" w:rsidRDefault="00576772">
            <w:pPr>
              <w:rPr>
                <w:rFonts w:asciiTheme="majorHAnsi" w:hAnsiTheme="majorHAnsi"/>
                <w:sz w:val="22"/>
                <w:szCs w:val="22"/>
              </w:rPr>
            </w:pPr>
          </w:p>
        </w:tc>
      </w:tr>
      <w:tr w:rsidR="006A4215" w:rsidRPr="00576772" w:rsidTr="006A4215">
        <w:tc>
          <w:tcPr>
            <w:tcW w:w="0" w:type="auto"/>
          </w:tcPr>
          <w:p w:rsidR="00576772" w:rsidRPr="00576772" w:rsidRDefault="00576772">
            <w:pPr>
              <w:rPr>
                <w:rFonts w:asciiTheme="majorHAnsi" w:hAnsiTheme="majorHAnsi"/>
                <w:sz w:val="22"/>
                <w:szCs w:val="22"/>
              </w:rPr>
            </w:pPr>
            <w:r w:rsidRPr="00576772">
              <w:rPr>
                <w:rFonts w:asciiTheme="majorHAnsi" w:hAnsiTheme="majorHAnsi"/>
                <w:sz w:val="22"/>
                <w:szCs w:val="22"/>
              </w:rPr>
              <w:t xml:space="preserve">We recommend that a specific retention period should be developed by the </w:t>
            </w:r>
            <w:r w:rsidRPr="00576772">
              <w:rPr>
                <w:rFonts w:asciiTheme="majorHAnsi" w:hAnsiTheme="majorHAnsi"/>
                <w:sz w:val="22"/>
                <w:szCs w:val="22"/>
              </w:rPr>
              <w:lastRenderedPageBreak/>
              <w:t>working group and incorporated into the disclosure framework. We also note that for registrants who are located within the European Union (EU) the transfer of registration data between parties constitutes a transmission of personal information under the EU Data Protection Directive 95/46/EC. This being the case, for reveal requests where the address of the registrant is located within the EU, the requestor must be able to provide evidence of compliance with the directive or the relevant compliant national law, including but not limited to identification of the Data Controller and technical security safeguards for the information once received.</w:t>
            </w:r>
          </w:p>
        </w:tc>
        <w:tc>
          <w:tcPr>
            <w:tcW w:w="0" w:type="auto"/>
          </w:tcPr>
          <w:p w:rsidR="00576772" w:rsidRPr="00576772" w:rsidRDefault="00576772">
            <w:pPr>
              <w:rPr>
                <w:rFonts w:asciiTheme="majorHAnsi" w:hAnsiTheme="majorHAnsi"/>
                <w:sz w:val="22"/>
                <w:szCs w:val="22"/>
              </w:rPr>
            </w:pPr>
            <w:r>
              <w:rPr>
                <w:rFonts w:asciiTheme="majorHAnsi" w:hAnsiTheme="majorHAnsi"/>
                <w:sz w:val="22"/>
                <w:szCs w:val="22"/>
              </w:rPr>
              <w:lastRenderedPageBreak/>
              <w:t>NCSG</w:t>
            </w:r>
          </w:p>
        </w:tc>
        <w:tc>
          <w:tcPr>
            <w:tcW w:w="0" w:type="auto"/>
          </w:tcPr>
          <w:p w:rsidR="00576772" w:rsidRPr="00576772" w:rsidRDefault="00576772">
            <w:pPr>
              <w:rPr>
                <w:rFonts w:asciiTheme="majorHAnsi" w:hAnsiTheme="majorHAnsi"/>
                <w:sz w:val="22"/>
                <w:szCs w:val="22"/>
              </w:rPr>
            </w:pPr>
          </w:p>
        </w:tc>
        <w:tc>
          <w:tcPr>
            <w:tcW w:w="0" w:type="auto"/>
          </w:tcPr>
          <w:p w:rsidR="00576772" w:rsidRPr="00576772" w:rsidRDefault="00576772">
            <w:pPr>
              <w:rPr>
                <w:rFonts w:asciiTheme="majorHAnsi" w:hAnsiTheme="majorHAnsi"/>
                <w:sz w:val="22"/>
                <w:szCs w:val="22"/>
              </w:rPr>
            </w:pPr>
          </w:p>
        </w:tc>
      </w:tr>
      <w:tr w:rsidR="006A4215" w:rsidRPr="00576772" w:rsidTr="006A4215">
        <w:tc>
          <w:tcPr>
            <w:tcW w:w="0" w:type="auto"/>
          </w:tcPr>
          <w:p w:rsidR="00576772" w:rsidRPr="00576772" w:rsidRDefault="00576772">
            <w:pPr>
              <w:rPr>
                <w:rFonts w:asciiTheme="majorHAnsi" w:hAnsiTheme="majorHAnsi"/>
                <w:sz w:val="22"/>
                <w:szCs w:val="22"/>
              </w:rPr>
            </w:pPr>
            <w:r w:rsidRPr="00576772">
              <w:rPr>
                <w:rFonts w:asciiTheme="majorHAnsi" w:hAnsiTheme="majorHAnsi"/>
                <w:sz w:val="22"/>
                <w:szCs w:val="22"/>
              </w:rPr>
              <w:lastRenderedPageBreak/>
              <w:t>P/P services should be prohibited from disclosing information to any third party, unless compelled by a court order or similar legal document, and even in that circumstance not without notifying the user, unless specifically prohibited by the order.</w:t>
            </w:r>
          </w:p>
        </w:tc>
        <w:tc>
          <w:tcPr>
            <w:tcW w:w="0" w:type="auto"/>
          </w:tcPr>
          <w:p w:rsidR="00576772" w:rsidRDefault="00576772">
            <w:pPr>
              <w:rPr>
                <w:rFonts w:asciiTheme="majorHAnsi" w:hAnsiTheme="majorHAnsi"/>
                <w:sz w:val="22"/>
                <w:szCs w:val="22"/>
              </w:rPr>
            </w:pPr>
            <w:r>
              <w:rPr>
                <w:rFonts w:asciiTheme="majorHAnsi" w:hAnsiTheme="majorHAnsi"/>
                <w:sz w:val="22"/>
                <w:szCs w:val="22"/>
              </w:rPr>
              <w:t xml:space="preserve">Hugo </w:t>
            </w:r>
            <w:proofErr w:type="spellStart"/>
            <w:r>
              <w:rPr>
                <w:rFonts w:asciiTheme="majorHAnsi" w:hAnsiTheme="majorHAnsi"/>
                <w:sz w:val="22"/>
                <w:szCs w:val="22"/>
              </w:rPr>
              <w:t>Jobling</w:t>
            </w:r>
            <w:proofErr w:type="spellEnd"/>
          </w:p>
        </w:tc>
        <w:tc>
          <w:tcPr>
            <w:tcW w:w="0" w:type="auto"/>
          </w:tcPr>
          <w:p w:rsidR="00576772" w:rsidRPr="00576772" w:rsidRDefault="00576772">
            <w:pPr>
              <w:rPr>
                <w:rFonts w:asciiTheme="majorHAnsi" w:hAnsiTheme="majorHAnsi"/>
                <w:sz w:val="22"/>
                <w:szCs w:val="22"/>
              </w:rPr>
            </w:pPr>
          </w:p>
        </w:tc>
        <w:tc>
          <w:tcPr>
            <w:tcW w:w="0" w:type="auto"/>
          </w:tcPr>
          <w:p w:rsidR="00576772" w:rsidRPr="00576772" w:rsidRDefault="00576772">
            <w:pPr>
              <w:rPr>
                <w:rFonts w:asciiTheme="majorHAnsi" w:hAnsiTheme="majorHAnsi"/>
                <w:sz w:val="22"/>
                <w:szCs w:val="22"/>
              </w:rPr>
            </w:pPr>
          </w:p>
        </w:tc>
      </w:tr>
    </w:tbl>
    <w:p w:rsidR="00A9584F" w:rsidRPr="00576772" w:rsidRDefault="00A9584F">
      <w:pPr>
        <w:rPr>
          <w:rFonts w:asciiTheme="majorHAnsi" w:hAnsiTheme="majorHAnsi"/>
          <w:sz w:val="22"/>
          <w:szCs w:val="22"/>
        </w:rPr>
      </w:pPr>
    </w:p>
    <w:sectPr w:rsidR="00A9584F" w:rsidRPr="00576772" w:rsidSect="006A4215">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B5131"/>
    <w:multiLevelType w:val="hybridMultilevel"/>
    <w:tmpl w:val="70421B70"/>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72"/>
    <w:rsid w:val="00576772"/>
    <w:rsid w:val="006A4215"/>
    <w:rsid w:val="00A9584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460</Words>
  <Characters>2628</Characters>
  <Application>Microsoft Macintosh Word</Application>
  <DocSecurity>0</DocSecurity>
  <Lines>21</Lines>
  <Paragraphs>6</Paragraphs>
  <ScaleCrop>false</ScaleCrop>
  <Company>ICANN</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2015-09-02T08:59:00Z</dcterms:created>
  <dcterms:modified xsi:type="dcterms:W3CDTF">2015-09-02T09:44:00Z</dcterms:modified>
</cp:coreProperties>
</file>