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20402" w14:textId="77777777" w:rsidR="00166F0E" w:rsidRPr="00AE4D59" w:rsidRDefault="00166F0E" w:rsidP="00166F0E">
      <w:pPr>
        <w:jc w:val="center"/>
        <w:rPr>
          <w:b/>
        </w:rPr>
      </w:pPr>
      <w:bookmarkStart w:id="0" w:name="_GoBack"/>
      <w:bookmarkEnd w:id="0"/>
      <w:r w:rsidRPr="00AE4D59">
        <w:rPr>
          <w:b/>
        </w:rPr>
        <w:t>PPSAI Working Group</w:t>
      </w:r>
    </w:p>
    <w:p w14:paraId="17F0B22C" w14:textId="77777777" w:rsidR="00166F0E" w:rsidRPr="00AE4D59" w:rsidRDefault="00166F0E" w:rsidP="00166F0E">
      <w:pPr>
        <w:jc w:val="center"/>
        <w:rPr>
          <w:b/>
        </w:rPr>
      </w:pPr>
    </w:p>
    <w:p w14:paraId="07EFF59D" w14:textId="43FCC64B" w:rsidR="00D704AA" w:rsidRPr="00AE4D59" w:rsidRDefault="00166F0E" w:rsidP="00166F0E">
      <w:pPr>
        <w:jc w:val="center"/>
        <w:rPr>
          <w:b/>
        </w:rPr>
      </w:pPr>
      <w:r w:rsidRPr="00AE4D59">
        <w:rPr>
          <w:b/>
        </w:rPr>
        <w:t>Re</w:t>
      </w:r>
      <w:r w:rsidR="000408D6" w:rsidRPr="00AE4D59">
        <w:rPr>
          <w:b/>
        </w:rPr>
        <w:t>view and Analysis for Question 2</w:t>
      </w:r>
      <w:r w:rsidR="00AE4D59">
        <w:rPr>
          <w:b/>
        </w:rPr>
        <w:t xml:space="preserve"> (updated 31 August 2015)</w:t>
      </w:r>
    </w:p>
    <w:p w14:paraId="1BAE4148" w14:textId="77777777" w:rsidR="00166F0E" w:rsidRPr="00AE4D59" w:rsidRDefault="00166F0E" w:rsidP="00166F0E">
      <w:pPr>
        <w:jc w:val="center"/>
        <w:rPr>
          <w:b/>
        </w:rPr>
      </w:pPr>
    </w:p>
    <w:p w14:paraId="070B384F" w14:textId="5543AE54" w:rsidR="00166F0E" w:rsidRPr="00AE4D59" w:rsidRDefault="00166F0E" w:rsidP="00166F0E">
      <w:pPr>
        <w:jc w:val="center"/>
        <w:rPr>
          <w:b/>
        </w:rPr>
      </w:pPr>
      <w:r w:rsidRPr="00AE4D59">
        <w:rPr>
          <w:b/>
        </w:rPr>
        <w:t>Sub-</w:t>
      </w:r>
      <w:r w:rsidR="00AE4D59">
        <w:rPr>
          <w:b/>
        </w:rPr>
        <w:t>T</w:t>
      </w:r>
      <w:r w:rsidRPr="00AE4D59">
        <w:rPr>
          <w:b/>
        </w:rPr>
        <w:t xml:space="preserve">eam </w:t>
      </w:r>
      <w:r w:rsidR="00C04EB5" w:rsidRPr="00AE4D59">
        <w:rPr>
          <w:b/>
        </w:rPr>
        <w:t xml:space="preserve">2 </w:t>
      </w:r>
      <w:r w:rsidRPr="00AE4D59">
        <w:rPr>
          <w:b/>
        </w:rPr>
        <w:t>for Section 1.3.3</w:t>
      </w:r>
    </w:p>
    <w:p w14:paraId="2DFFDCC6" w14:textId="77777777" w:rsidR="00166F0E" w:rsidRDefault="00166F0E" w:rsidP="00AE4D59"/>
    <w:p w14:paraId="4BC5610F" w14:textId="77777777" w:rsidR="00166F0E" w:rsidRDefault="00166F0E" w:rsidP="00166F0E"/>
    <w:p w14:paraId="6E296113" w14:textId="0E4DE307" w:rsidR="00166F0E" w:rsidRPr="00AE4D59" w:rsidRDefault="00166F0E" w:rsidP="00166F0E">
      <w:pPr>
        <w:rPr>
          <w:rFonts w:ascii="Helvetica" w:hAnsi="Helvetica" w:cs="Helvetica"/>
          <w:b/>
          <w:i/>
          <w:sz w:val="22"/>
          <w:szCs w:val="22"/>
        </w:rPr>
      </w:pPr>
      <w:r>
        <w:t>The below information is a summary of the public comments received</w:t>
      </w:r>
      <w:r w:rsidR="00CE709C">
        <w:rPr>
          <w:rStyle w:val="FootnoteReference"/>
        </w:rPr>
        <w:footnoteReference w:id="1"/>
      </w:r>
      <w:r>
        <w:t>, Nos. 1-</w:t>
      </w:r>
      <w:r w:rsidR="00E24C39">
        <w:t>30</w:t>
      </w:r>
      <w:r w:rsidR="000408D6">
        <w:t>, in response to Question 2</w:t>
      </w:r>
      <w:r w:rsidR="00AE4D59">
        <w:t xml:space="preserve"> that the Sub Team was asked to review</w:t>
      </w:r>
      <w:r>
        <w:t xml:space="preserve">:  </w:t>
      </w:r>
      <w:r w:rsidR="000408D6" w:rsidRPr="00AE4D59">
        <w:rPr>
          <w:b/>
          <w:i/>
        </w:rPr>
        <w:t>If you agree with this position, do you think it would be useful to adopt a definition of “commercial” or “transactional” to define those domains for which P/P service registrations sho</w:t>
      </w:r>
      <w:r w:rsidR="000C7DF2" w:rsidRPr="00AE4D59">
        <w:rPr>
          <w:b/>
          <w:i/>
        </w:rPr>
        <w:t>uld be disallowed? If so, what w</w:t>
      </w:r>
      <w:r w:rsidR="000408D6" w:rsidRPr="00AE4D59">
        <w:rPr>
          <w:b/>
          <w:i/>
        </w:rPr>
        <w:t>ould the definition(s) be?</w:t>
      </w:r>
    </w:p>
    <w:p w14:paraId="447E13EF" w14:textId="77777777" w:rsidR="00166F0E" w:rsidRDefault="00166F0E" w:rsidP="00166F0E"/>
    <w:p w14:paraId="084529FF" w14:textId="25BD5768" w:rsidR="008B26AC" w:rsidRPr="00AE4D59" w:rsidRDefault="000408D6" w:rsidP="00166F0E">
      <w:pPr>
        <w:rPr>
          <w:u w:val="single"/>
        </w:rPr>
      </w:pPr>
      <w:r w:rsidRPr="00AE4D59">
        <w:rPr>
          <w:u w:val="single"/>
        </w:rPr>
        <w:t xml:space="preserve">Fourteen (14) </w:t>
      </w:r>
      <w:r w:rsidR="00166F0E" w:rsidRPr="00AE4D59">
        <w:rPr>
          <w:u w:val="single"/>
        </w:rPr>
        <w:t>of the responses received</w:t>
      </w:r>
      <w:r w:rsidRPr="00AE4D59">
        <w:rPr>
          <w:u w:val="single"/>
        </w:rPr>
        <w:t xml:space="preserve"> agreed that a definition is necessary; however, the comments included statements of disagreement with the intended/proposed use of the definition</w:t>
      </w:r>
      <w:r w:rsidR="000C7DF2" w:rsidRPr="00AE4D59">
        <w:rPr>
          <w:u w:val="single"/>
        </w:rPr>
        <w:t xml:space="preserve"> in relation to commercial and transactional websites being prohibited from using PP services</w:t>
      </w:r>
      <w:r w:rsidRPr="00AE4D59">
        <w:rPr>
          <w:u w:val="single"/>
        </w:rPr>
        <w:t xml:space="preserve">. </w:t>
      </w:r>
    </w:p>
    <w:p w14:paraId="3017DA9F" w14:textId="77777777" w:rsidR="008B26AC" w:rsidRDefault="008B26AC" w:rsidP="00166F0E"/>
    <w:p w14:paraId="33CF7F62" w14:textId="6068D09C" w:rsidR="00166F0E" w:rsidRDefault="00C04EB5" w:rsidP="00166F0E">
      <w:r>
        <w:t>Specific comments and suggestions within the affirmative responses that should be noted by the Working Group</w:t>
      </w:r>
      <w:r w:rsidR="00431301">
        <w:t>,</w:t>
      </w:r>
      <w:r w:rsidR="005744AE">
        <w:t xml:space="preserve"> </w:t>
      </w:r>
      <w:r w:rsidR="00DC5539">
        <w:t xml:space="preserve">and considered for discussion, </w:t>
      </w:r>
      <w:r w:rsidR="005572D5">
        <w:t>are as follows:</w:t>
      </w:r>
    </w:p>
    <w:p w14:paraId="3A5697FC" w14:textId="77777777" w:rsidR="00C04EB5" w:rsidRDefault="00C04EB5" w:rsidP="00166F0E"/>
    <w:p w14:paraId="27118008" w14:textId="3956ABFB" w:rsidR="00C04EB5" w:rsidRDefault="000408D6" w:rsidP="00C04EB5">
      <w:pPr>
        <w:pStyle w:val="ListParagraph"/>
        <w:numPr>
          <w:ilvl w:val="0"/>
          <w:numId w:val="1"/>
        </w:numPr>
      </w:pPr>
      <w:r>
        <w:t>Further work is necessary to define types of activities which may be ineligible for PP services, thereby enabling the protection of consumers while maintaining privacy</w:t>
      </w:r>
      <w:r w:rsidR="00C04EB5">
        <w:t>;</w:t>
      </w:r>
      <w:r w:rsidR="00FE373D">
        <w:t xml:space="preserve"> </w:t>
      </w:r>
      <w:r w:rsidR="00EB06EC">
        <w:rPr>
          <w:color w:val="FF0000"/>
        </w:rPr>
        <w:t xml:space="preserve">Commenter: </w:t>
      </w:r>
      <w:r w:rsidR="00FE373D" w:rsidRPr="00FE373D">
        <w:rPr>
          <w:color w:val="FF0000"/>
        </w:rPr>
        <w:t>BC</w:t>
      </w:r>
    </w:p>
    <w:p w14:paraId="49F2855F" w14:textId="7513486B" w:rsidR="00431301" w:rsidRDefault="000408D6" w:rsidP="00C04EB5">
      <w:pPr>
        <w:pStyle w:val="ListParagraph"/>
        <w:numPr>
          <w:ilvl w:val="0"/>
          <w:numId w:val="1"/>
        </w:numPr>
      </w:pPr>
      <w:r>
        <w:t>Definition of commercial should be that used in the European Directive on Electronic Commerce. Any site which accepts payments, offers items for sale, or engages in transactions of value should be considered commercial. Whether advertising sites should be considered comm</w:t>
      </w:r>
      <w:r w:rsidR="00B26807">
        <w:t>ercial remains an open question;</w:t>
      </w:r>
      <w:r w:rsidR="00FE373D">
        <w:t xml:space="preserve"> </w:t>
      </w:r>
      <w:r w:rsidR="00FE373D">
        <w:rPr>
          <w:color w:val="FF0000"/>
        </w:rPr>
        <w:t>Commenter: John Na</w:t>
      </w:r>
      <w:r w:rsidR="00AE4D59">
        <w:rPr>
          <w:color w:val="FF0000"/>
        </w:rPr>
        <w:t>g</w:t>
      </w:r>
      <w:r w:rsidR="00FE373D">
        <w:rPr>
          <w:color w:val="FF0000"/>
        </w:rPr>
        <w:t>le (Sitetruth)</w:t>
      </w:r>
    </w:p>
    <w:p w14:paraId="5F06AACA" w14:textId="4BED41C3" w:rsidR="00431301" w:rsidRDefault="000408D6" w:rsidP="00C04EB5">
      <w:pPr>
        <w:pStyle w:val="ListParagraph"/>
        <w:numPr>
          <w:ilvl w:val="0"/>
          <w:numId w:val="1"/>
        </w:numPr>
      </w:pPr>
      <w:r>
        <w:t>It would be useful to adopt a definition to define which domains should not be allowed to use P/P services. Domain owners should be given the option to provide limited information publicly if the site can be labeled for commercial purposes without being tied to a company name or generic structure to prevent harassment</w:t>
      </w:r>
      <w:r w:rsidR="00431301">
        <w:t>;</w:t>
      </w:r>
      <w:r w:rsidR="00FE373D">
        <w:t xml:space="preserve"> </w:t>
      </w:r>
      <w:r w:rsidR="00FE373D">
        <w:rPr>
          <w:color w:val="FF0000"/>
        </w:rPr>
        <w:t>Commenter: William (“roguewolftamer”)</w:t>
      </w:r>
    </w:p>
    <w:p w14:paraId="0501098A" w14:textId="7FFB59E0" w:rsidR="00AA0254" w:rsidRDefault="000408D6" w:rsidP="00C04EB5">
      <w:pPr>
        <w:pStyle w:val="ListParagraph"/>
        <w:numPr>
          <w:ilvl w:val="0"/>
          <w:numId w:val="1"/>
        </w:numPr>
      </w:pPr>
      <w:r>
        <w:t>Target definition at what sort of activities are acceptable and still allow use of P/P services. All existing domains should be grandfathered in</w:t>
      </w:r>
      <w:r w:rsidR="00AA0254">
        <w:t>;</w:t>
      </w:r>
      <w:r w:rsidR="00FE373D">
        <w:t xml:space="preserve"> </w:t>
      </w:r>
      <w:r w:rsidR="00FE373D">
        <w:rPr>
          <w:color w:val="FF0000"/>
        </w:rPr>
        <w:t>Commenter: Mark Maszak</w:t>
      </w:r>
    </w:p>
    <w:p w14:paraId="51D50636" w14:textId="5903491D" w:rsidR="00AA0254" w:rsidRDefault="00C175D0" w:rsidP="00C04EB5">
      <w:pPr>
        <w:pStyle w:val="ListParagraph"/>
        <w:numPr>
          <w:ilvl w:val="0"/>
          <w:numId w:val="1"/>
        </w:numPr>
      </w:pPr>
      <w:r>
        <w:t xml:space="preserve">The definition is too vague. The clause could potentially be used by oppressive regimes to identify administrators of dissident organizations if the said organization accepted donations or sold merchandises. Setting a dollar amount limit would also open it to abuse since the registrant would </w:t>
      </w:r>
      <w:r>
        <w:lastRenderedPageBreak/>
        <w:t>have to provide financial details to prove he or she has gone over the limit</w:t>
      </w:r>
      <w:r w:rsidR="00AA0254">
        <w:t>;</w:t>
      </w:r>
      <w:r w:rsidR="00FE373D">
        <w:t xml:space="preserve"> </w:t>
      </w:r>
      <w:r w:rsidR="00FE373D">
        <w:rPr>
          <w:color w:val="FF0000"/>
        </w:rPr>
        <w:t>Commenter: Byunghoon Choi</w:t>
      </w:r>
    </w:p>
    <w:p w14:paraId="4603B4B3" w14:textId="0E2E1BD0" w:rsidR="00D414F5" w:rsidRDefault="00C175D0" w:rsidP="00C175D0">
      <w:pPr>
        <w:pStyle w:val="ListParagraph"/>
        <w:numPr>
          <w:ilvl w:val="0"/>
          <w:numId w:val="1"/>
        </w:numPr>
      </w:pPr>
      <w:r>
        <w:t>Upon registration, terms must remain immutable until the next registration cycle;</w:t>
      </w:r>
      <w:r w:rsidR="00B26807">
        <w:t xml:space="preserve"> and,</w:t>
      </w:r>
      <w:r w:rsidR="00FE373D">
        <w:t xml:space="preserve"> </w:t>
      </w:r>
      <w:r w:rsidR="00FE373D">
        <w:rPr>
          <w:color w:val="FF0000"/>
        </w:rPr>
        <w:t>Commenter: Andrew Merenbach</w:t>
      </w:r>
    </w:p>
    <w:p w14:paraId="44E22E18" w14:textId="5B0EFEBF" w:rsidR="00C175D0" w:rsidRDefault="00C175D0" w:rsidP="00C175D0">
      <w:pPr>
        <w:pStyle w:val="ListParagraph"/>
        <w:numPr>
          <w:ilvl w:val="0"/>
          <w:numId w:val="1"/>
        </w:numPr>
      </w:pPr>
      <w:r>
        <w:t>Explicitly exclude donations from the definition of commercial, put a floor on the amount of money process to be used for financial transactions; i.e., PP services will still be allowed if a website sees less than $10,000 per year in transactions. Exclude non-monetary types of transactions from the definition of transacti</w:t>
      </w:r>
      <w:r w:rsidR="00B26807">
        <w:t>on (e.g. database transactions).</w:t>
      </w:r>
      <w:r w:rsidR="00FE373D">
        <w:t xml:space="preserve"> </w:t>
      </w:r>
      <w:r w:rsidR="00FE373D">
        <w:rPr>
          <w:color w:val="FF0000"/>
        </w:rPr>
        <w:t>Commenter: Nick O’Dell</w:t>
      </w:r>
    </w:p>
    <w:p w14:paraId="340F1EAB" w14:textId="77777777" w:rsidR="00C175D0" w:rsidRDefault="00C175D0" w:rsidP="000F20AC">
      <w:pPr>
        <w:pStyle w:val="ListParagraph"/>
      </w:pPr>
    </w:p>
    <w:p w14:paraId="67439CBC" w14:textId="77777777" w:rsidR="00604871" w:rsidRDefault="00604871" w:rsidP="00604871"/>
    <w:p w14:paraId="1A616EE8" w14:textId="155356FE" w:rsidR="00604871" w:rsidRDefault="000F20AC" w:rsidP="00604871">
      <w:r w:rsidRPr="00AE4D59">
        <w:rPr>
          <w:u w:val="single"/>
        </w:rPr>
        <w:t>S</w:t>
      </w:r>
      <w:r w:rsidR="00965CCC" w:rsidRPr="00AE4D59">
        <w:rPr>
          <w:u w:val="single"/>
        </w:rPr>
        <w:t>eventeen (17</w:t>
      </w:r>
      <w:r w:rsidRPr="00AE4D59">
        <w:rPr>
          <w:u w:val="single"/>
        </w:rPr>
        <w:t>)</w:t>
      </w:r>
      <w:r w:rsidR="00604871" w:rsidRPr="00AE4D59">
        <w:rPr>
          <w:u w:val="single"/>
        </w:rPr>
        <w:t xml:space="preserve"> of the responses received </w:t>
      </w:r>
      <w:r w:rsidRPr="00AE4D59">
        <w:rPr>
          <w:u w:val="single"/>
        </w:rPr>
        <w:t xml:space="preserve">did not agree that adopting a definition of </w:t>
      </w:r>
      <w:r w:rsidR="00965CCC" w:rsidRPr="00AE4D59">
        <w:rPr>
          <w:u w:val="single"/>
        </w:rPr>
        <w:t xml:space="preserve">the terms </w:t>
      </w:r>
      <w:r w:rsidRPr="00AE4D59">
        <w:rPr>
          <w:u w:val="single"/>
        </w:rPr>
        <w:t>commercial and transactional would be useful. Note: one of the responses included +3 for negative responses</w:t>
      </w:r>
      <w:r w:rsidR="008B26AC">
        <w:t xml:space="preserve">. </w:t>
      </w:r>
    </w:p>
    <w:p w14:paraId="1E2AD976" w14:textId="77777777" w:rsidR="008B26AC" w:rsidRDefault="008B26AC" w:rsidP="00604871"/>
    <w:p w14:paraId="6CE53338" w14:textId="759F13E9" w:rsidR="008B26AC" w:rsidRDefault="008B26AC" w:rsidP="00604871">
      <w:r>
        <w:t>Specific comments and suggestions within the negative responses that should be noted by the Working Group, and considered for discussion, are as follows:</w:t>
      </w:r>
    </w:p>
    <w:p w14:paraId="70D9FBD5" w14:textId="77777777" w:rsidR="008B26AC" w:rsidRDefault="008B26AC" w:rsidP="00604871"/>
    <w:p w14:paraId="2575B4B7" w14:textId="38F125C9" w:rsidR="00C1364A" w:rsidRDefault="000F20AC" w:rsidP="00166F0E">
      <w:pPr>
        <w:pStyle w:val="ListParagraph"/>
        <w:numPr>
          <w:ilvl w:val="0"/>
          <w:numId w:val="1"/>
        </w:numPr>
      </w:pPr>
      <w:r>
        <w:t>How will advertisements, accepting donations, material donations, a member who chooses to post a notice that they are selling their cd collection</w:t>
      </w:r>
      <w:r w:rsidR="000C7DF2">
        <w:t xml:space="preserve"> be classified</w:t>
      </w:r>
      <w:r>
        <w:t>;</w:t>
      </w:r>
      <w:r w:rsidR="00FE373D">
        <w:t xml:space="preserve"> </w:t>
      </w:r>
      <w:r w:rsidR="00EB06EC">
        <w:rPr>
          <w:color w:val="FF0000"/>
        </w:rPr>
        <w:t>Commenter: Sven Slootweg</w:t>
      </w:r>
    </w:p>
    <w:p w14:paraId="423A0331" w14:textId="6897C19D" w:rsidR="00B25C50" w:rsidRDefault="000F20AC" w:rsidP="00166F0E">
      <w:pPr>
        <w:pStyle w:val="ListParagraph"/>
        <w:numPr>
          <w:ilvl w:val="0"/>
          <w:numId w:val="1"/>
        </w:numPr>
      </w:pPr>
      <w:r>
        <w:t>Commercial must exclude small businesses</w:t>
      </w:r>
      <w:r w:rsidR="00B25C50">
        <w:t>;</w:t>
      </w:r>
      <w:r w:rsidR="00965CCC">
        <w:t xml:space="preserve"> and,</w:t>
      </w:r>
      <w:r w:rsidR="00FE373D">
        <w:t xml:space="preserve"> </w:t>
      </w:r>
      <w:r w:rsidR="00FE373D">
        <w:rPr>
          <w:color w:val="FF0000"/>
        </w:rPr>
        <w:t>Commenter: Phil Crooker</w:t>
      </w:r>
    </w:p>
    <w:p w14:paraId="7B7D8A1B" w14:textId="33F60672" w:rsidR="00CE7FED" w:rsidRDefault="000F20AC" w:rsidP="00166F0E">
      <w:pPr>
        <w:pStyle w:val="ListParagraph"/>
        <w:numPr>
          <w:ilvl w:val="0"/>
          <w:numId w:val="1"/>
        </w:numPr>
      </w:pPr>
      <w:r>
        <w:t>Impractical to enforce any accurate definition of transactional, how will sites be monitored for changes, what if a site just links to a payment gateway, what about a site that iframes a transactional site</w:t>
      </w:r>
      <w:r w:rsidR="00CE7FED">
        <w:t>;</w:t>
      </w:r>
      <w:r w:rsidR="00965CCC">
        <w:t xml:space="preserve"> what about sites which do not have navigable web pages but which expose a REST API</w:t>
      </w:r>
      <w:r w:rsidR="00B26807">
        <w:t xml:space="preserve"> capable of processing payments</w:t>
      </w:r>
      <w:r w:rsidR="00965CCC">
        <w:t>.</w:t>
      </w:r>
      <w:r w:rsidR="00EB06EC">
        <w:t xml:space="preserve"> </w:t>
      </w:r>
      <w:r w:rsidR="00EB06EC">
        <w:rPr>
          <w:color w:val="FF0000"/>
        </w:rPr>
        <w:t>Commenter: Jeff Kiser</w:t>
      </w:r>
    </w:p>
    <w:p w14:paraId="2E94F4FD" w14:textId="77777777" w:rsidR="00E24C39" w:rsidRDefault="00E24C39" w:rsidP="00E24C39"/>
    <w:p w14:paraId="7FCE2621" w14:textId="77777777" w:rsidR="00AE4D59" w:rsidRDefault="00AE4D59" w:rsidP="00E24C39">
      <w:pPr>
        <w:rPr>
          <w:u w:val="single"/>
        </w:rPr>
      </w:pPr>
    </w:p>
    <w:p w14:paraId="23874DC0" w14:textId="39FA4FA2" w:rsidR="00E24C39" w:rsidRDefault="00E24C39" w:rsidP="00E24C39">
      <w:r w:rsidRPr="00AE4D59">
        <w:rPr>
          <w:u w:val="single"/>
        </w:rPr>
        <w:t>Two of the comments received do not respond with a yes or no</w:t>
      </w:r>
      <w:r>
        <w:t>, but rather, one comment states commercial definition is way too vague</w:t>
      </w:r>
      <w:r w:rsidR="00EB06EC">
        <w:t xml:space="preserve"> </w:t>
      </w:r>
      <w:r w:rsidR="00EB06EC" w:rsidRPr="00EB06EC">
        <w:rPr>
          <w:color w:val="FF0000"/>
        </w:rPr>
        <w:t>(</w:t>
      </w:r>
      <w:r w:rsidR="00EB06EC">
        <w:rPr>
          <w:color w:val="FF0000"/>
        </w:rPr>
        <w:t>Commenter: Alissa Harris)</w:t>
      </w:r>
      <w:r>
        <w:t>, and the other poses questions for consideration: A blog has ads, does that count – constitute commercial purposes? I sell physical goods over the phone and ship them to buyers and use a website strictly to deliver invoices and allow payment online – does that count</w:t>
      </w:r>
      <w:r w:rsidR="00EB06EC">
        <w:t xml:space="preserve"> </w:t>
      </w:r>
      <w:r w:rsidR="00EB06EC" w:rsidRPr="00EB06EC">
        <w:rPr>
          <w:color w:val="FF0000"/>
        </w:rPr>
        <w:t>(</w:t>
      </w:r>
      <w:r w:rsidR="00EB06EC">
        <w:rPr>
          <w:color w:val="FF0000"/>
        </w:rPr>
        <w:t>Commenter: Justin Steele)</w:t>
      </w:r>
      <w:r>
        <w:t>?</w:t>
      </w:r>
    </w:p>
    <w:p w14:paraId="426556D6" w14:textId="77777777" w:rsidR="00E93DE2" w:rsidRDefault="00E93DE2" w:rsidP="00E93DE2"/>
    <w:p w14:paraId="4CA04125" w14:textId="00FB97B4" w:rsidR="00A36EF0" w:rsidRPr="00AE4D59" w:rsidRDefault="00AE4D59" w:rsidP="00E93DE2">
      <w:pPr>
        <w:rPr>
          <w:b/>
        </w:rPr>
      </w:pPr>
      <w:r w:rsidRPr="00AE4D59">
        <w:rPr>
          <w:b/>
        </w:rPr>
        <w:t>CONCLUSION:</w:t>
      </w:r>
    </w:p>
    <w:p w14:paraId="2299CA88" w14:textId="77777777" w:rsidR="00AE4D59" w:rsidRDefault="00AE4D59" w:rsidP="00E93DE2"/>
    <w:p w14:paraId="326FBEBE" w14:textId="0E426613" w:rsidR="000C7DF2" w:rsidRDefault="00383EC1" w:rsidP="00166F0E">
      <w:r>
        <w:t xml:space="preserve">Based upon review of the </w:t>
      </w:r>
      <w:r w:rsidR="00E24C39">
        <w:t>33</w:t>
      </w:r>
      <w:r w:rsidR="00B26807">
        <w:t xml:space="preserve"> responses to Question 2</w:t>
      </w:r>
      <w:r>
        <w:t xml:space="preserve">, </w:t>
      </w:r>
      <w:r w:rsidR="00B26807">
        <w:t xml:space="preserve">which </w:t>
      </w:r>
      <w:r w:rsidR="000C7DF2">
        <w:t xml:space="preserve">was posed in </w:t>
      </w:r>
      <w:r w:rsidR="00B26807">
        <w:t xml:space="preserve">correlated to Question 1, the overall responses indicate that </w:t>
      </w:r>
      <w:r w:rsidR="00B26807" w:rsidRPr="00AE4D59">
        <w:rPr>
          <w:b/>
          <w:i/>
        </w:rPr>
        <w:t xml:space="preserve">should it be determined the issue moves forward, a definition of commercial and transactional is critical. Many believe that defining commercial and transactional will be difficult at best, and some believe impossible. </w:t>
      </w:r>
      <w:r w:rsidR="000C7DF2" w:rsidRPr="00AE4D59">
        <w:rPr>
          <w:b/>
          <w:i/>
        </w:rPr>
        <w:t xml:space="preserve"> The results from review of Question 2 (as well as Question 1) indicate the community does not support prohibiting the availability of PP services for websites engaged in commercial </w:t>
      </w:r>
      <w:r w:rsidR="001A1905" w:rsidRPr="00AE4D59">
        <w:rPr>
          <w:b/>
          <w:i/>
        </w:rPr>
        <w:t>and/</w:t>
      </w:r>
      <w:r w:rsidR="000C7DF2" w:rsidRPr="00AE4D59">
        <w:rPr>
          <w:b/>
          <w:i/>
        </w:rPr>
        <w:t>or financial transactions, and further that PP services should be available to all domain holders</w:t>
      </w:r>
      <w:r w:rsidR="000C7DF2">
        <w:t>.</w:t>
      </w:r>
    </w:p>
    <w:p w14:paraId="6D92E237" w14:textId="3C70D892" w:rsidR="00C04EB5" w:rsidRDefault="000C7DF2" w:rsidP="00166F0E">
      <w:r>
        <w:t xml:space="preserve"> </w:t>
      </w:r>
    </w:p>
    <w:sectPr w:rsidR="00C04EB5" w:rsidSect="004B72F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EBC51" w14:textId="77777777" w:rsidR="00CE709C" w:rsidRDefault="00CE709C" w:rsidP="00CE709C">
      <w:r>
        <w:separator/>
      </w:r>
    </w:p>
  </w:endnote>
  <w:endnote w:type="continuationSeparator" w:id="0">
    <w:p w14:paraId="2D121C9F" w14:textId="77777777" w:rsidR="00CE709C" w:rsidRDefault="00CE709C" w:rsidP="00CE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964BF" w14:textId="77777777" w:rsidR="00A429EB" w:rsidRDefault="00A429EB" w:rsidP="00B70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04D8AF" w14:textId="77777777" w:rsidR="00A429EB" w:rsidRDefault="00A429EB" w:rsidP="00A429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9DBDD" w14:textId="77777777" w:rsidR="00A429EB" w:rsidRDefault="00A429EB" w:rsidP="00B70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D8D5AB" w14:textId="77777777" w:rsidR="00A429EB" w:rsidRDefault="00A429EB" w:rsidP="00A429E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DE308" w14:textId="77777777" w:rsidR="00CE709C" w:rsidRDefault="00CE709C" w:rsidP="00CE709C">
      <w:r>
        <w:separator/>
      </w:r>
    </w:p>
  </w:footnote>
  <w:footnote w:type="continuationSeparator" w:id="0">
    <w:p w14:paraId="3810B127" w14:textId="77777777" w:rsidR="00CE709C" w:rsidRDefault="00CE709C" w:rsidP="00CE709C">
      <w:r>
        <w:continuationSeparator/>
      </w:r>
    </w:p>
  </w:footnote>
  <w:footnote w:id="1">
    <w:p w14:paraId="5D0B35E5" w14:textId="3BAAA335" w:rsidR="00CE709C" w:rsidRPr="00CE709C" w:rsidRDefault="00CE709C">
      <w:pPr>
        <w:pStyle w:val="FootnoteText"/>
        <w:rPr>
          <w:sz w:val="20"/>
          <w:szCs w:val="20"/>
        </w:rPr>
      </w:pPr>
      <w:r>
        <w:rPr>
          <w:rStyle w:val="FootnoteReference"/>
        </w:rPr>
        <w:footnoteRef/>
      </w:r>
      <w:r>
        <w:t xml:space="preserve"> </w:t>
      </w:r>
      <w:r w:rsidRPr="00CE709C">
        <w:rPr>
          <w:sz w:val="20"/>
          <w:szCs w:val="20"/>
        </w:rPr>
        <w:t xml:space="preserve">For the full set of public comments reviewed for this and the other questions on the topic that were reviewed by this Sub Team as well as recordings and transcripts of all the Sub Team’s calls on the matter, see the Sub Team’s wiki page at </w:t>
      </w:r>
      <w:hyperlink r:id="rId1" w:history="1">
        <w:r w:rsidRPr="00CE709C">
          <w:rPr>
            <w:rStyle w:val="Hyperlink"/>
            <w:sz w:val="20"/>
            <w:szCs w:val="20"/>
          </w:rPr>
          <w:t>https://community.icann.org/x/0YZCAw</w:t>
        </w:r>
      </w:hyperlink>
      <w:r w:rsidRPr="00CE709C">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6512"/>
    <w:multiLevelType w:val="hybridMultilevel"/>
    <w:tmpl w:val="61765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0E"/>
    <w:rsid w:val="000408D6"/>
    <w:rsid w:val="000C7DF2"/>
    <w:rsid w:val="000E0548"/>
    <w:rsid w:val="000F20AC"/>
    <w:rsid w:val="00166F0E"/>
    <w:rsid w:val="001A1905"/>
    <w:rsid w:val="00383EC1"/>
    <w:rsid w:val="00431301"/>
    <w:rsid w:val="004922E7"/>
    <w:rsid w:val="004B72F5"/>
    <w:rsid w:val="004E7938"/>
    <w:rsid w:val="005572D5"/>
    <w:rsid w:val="005744AE"/>
    <w:rsid w:val="005C4A5D"/>
    <w:rsid w:val="00604871"/>
    <w:rsid w:val="006761AC"/>
    <w:rsid w:val="006F496B"/>
    <w:rsid w:val="007553DB"/>
    <w:rsid w:val="00790A2C"/>
    <w:rsid w:val="008801A3"/>
    <w:rsid w:val="008B26AC"/>
    <w:rsid w:val="00965CCC"/>
    <w:rsid w:val="00A36EF0"/>
    <w:rsid w:val="00A429EB"/>
    <w:rsid w:val="00AA0254"/>
    <w:rsid w:val="00AE4D59"/>
    <w:rsid w:val="00B25C50"/>
    <w:rsid w:val="00B26807"/>
    <w:rsid w:val="00B517EA"/>
    <w:rsid w:val="00C04EB5"/>
    <w:rsid w:val="00C10043"/>
    <w:rsid w:val="00C1364A"/>
    <w:rsid w:val="00C175D0"/>
    <w:rsid w:val="00CB0331"/>
    <w:rsid w:val="00CE709C"/>
    <w:rsid w:val="00CE7FED"/>
    <w:rsid w:val="00D414F5"/>
    <w:rsid w:val="00D704AA"/>
    <w:rsid w:val="00DC5539"/>
    <w:rsid w:val="00DC6936"/>
    <w:rsid w:val="00E24C39"/>
    <w:rsid w:val="00E65557"/>
    <w:rsid w:val="00E93DE2"/>
    <w:rsid w:val="00EB06EC"/>
    <w:rsid w:val="00EB34CB"/>
    <w:rsid w:val="00FE373D"/>
    <w:rsid w:val="00FE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F9C5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B5"/>
    <w:pPr>
      <w:ind w:left="720"/>
      <w:contextualSpacing/>
    </w:pPr>
  </w:style>
  <w:style w:type="paragraph" w:styleId="FootnoteText">
    <w:name w:val="footnote text"/>
    <w:basedOn w:val="Normal"/>
    <w:link w:val="FootnoteTextChar"/>
    <w:uiPriority w:val="99"/>
    <w:unhideWhenUsed/>
    <w:rsid w:val="00CE709C"/>
  </w:style>
  <w:style w:type="character" w:customStyle="1" w:styleId="FootnoteTextChar">
    <w:name w:val="Footnote Text Char"/>
    <w:basedOn w:val="DefaultParagraphFont"/>
    <w:link w:val="FootnoteText"/>
    <w:uiPriority w:val="99"/>
    <w:rsid w:val="00CE709C"/>
  </w:style>
  <w:style w:type="character" w:styleId="FootnoteReference">
    <w:name w:val="footnote reference"/>
    <w:basedOn w:val="DefaultParagraphFont"/>
    <w:uiPriority w:val="99"/>
    <w:unhideWhenUsed/>
    <w:rsid w:val="00CE709C"/>
    <w:rPr>
      <w:vertAlign w:val="superscript"/>
    </w:rPr>
  </w:style>
  <w:style w:type="character" w:styleId="Hyperlink">
    <w:name w:val="Hyperlink"/>
    <w:basedOn w:val="DefaultParagraphFont"/>
    <w:uiPriority w:val="99"/>
    <w:unhideWhenUsed/>
    <w:rsid w:val="00CE709C"/>
    <w:rPr>
      <w:color w:val="0000FF" w:themeColor="hyperlink"/>
      <w:u w:val="single"/>
    </w:rPr>
  </w:style>
  <w:style w:type="paragraph" w:styleId="Footer">
    <w:name w:val="footer"/>
    <w:basedOn w:val="Normal"/>
    <w:link w:val="FooterChar"/>
    <w:uiPriority w:val="99"/>
    <w:unhideWhenUsed/>
    <w:rsid w:val="00A429EB"/>
    <w:pPr>
      <w:tabs>
        <w:tab w:val="center" w:pos="4320"/>
        <w:tab w:val="right" w:pos="8640"/>
      </w:tabs>
    </w:pPr>
  </w:style>
  <w:style w:type="character" w:customStyle="1" w:styleId="FooterChar">
    <w:name w:val="Footer Char"/>
    <w:basedOn w:val="DefaultParagraphFont"/>
    <w:link w:val="Footer"/>
    <w:uiPriority w:val="99"/>
    <w:rsid w:val="00A429EB"/>
  </w:style>
  <w:style w:type="character" w:styleId="PageNumber">
    <w:name w:val="page number"/>
    <w:basedOn w:val="DefaultParagraphFont"/>
    <w:uiPriority w:val="99"/>
    <w:semiHidden/>
    <w:unhideWhenUsed/>
    <w:rsid w:val="00A429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B5"/>
    <w:pPr>
      <w:ind w:left="720"/>
      <w:contextualSpacing/>
    </w:pPr>
  </w:style>
  <w:style w:type="paragraph" w:styleId="FootnoteText">
    <w:name w:val="footnote text"/>
    <w:basedOn w:val="Normal"/>
    <w:link w:val="FootnoteTextChar"/>
    <w:uiPriority w:val="99"/>
    <w:unhideWhenUsed/>
    <w:rsid w:val="00CE709C"/>
  </w:style>
  <w:style w:type="character" w:customStyle="1" w:styleId="FootnoteTextChar">
    <w:name w:val="Footnote Text Char"/>
    <w:basedOn w:val="DefaultParagraphFont"/>
    <w:link w:val="FootnoteText"/>
    <w:uiPriority w:val="99"/>
    <w:rsid w:val="00CE709C"/>
  </w:style>
  <w:style w:type="character" w:styleId="FootnoteReference">
    <w:name w:val="footnote reference"/>
    <w:basedOn w:val="DefaultParagraphFont"/>
    <w:uiPriority w:val="99"/>
    <w:unhideWhenUsed/>
    <w:rsid w:val="00CE709C"/>
    <w:rPr>
      <w:vertAlign w:val="superscript"/>
    </w:rPr>
  </w:style>
  <w:style w:type="character" w:styleId="Hyperlink">
    <w:name w:val="Hyperlink"/>
    <w:basedOn w:val="DefaultParagraphFont"/>
    <w:uiPriority w:val="99"/>
    <w:unhideWhenUsed/>
    <w:rsid w:val="00CE709C"/>
    <w:rPr>
      <w:color w:val="0000FF" w:themeColor="hyperlink"/>
      <w:u w:val="single"/>
    </w:rPr>
  </w:style>
  <w:style w:type="paragraph" w:styleId="Footer">
    <w:name w:val="footer"/>
    <w:basedOn w:val="Normal"/>
    <w:link w:val="FooterChar"/>
    <w:uiPriority w:val="99"/>
    <w:unhideWhenUsed/>
    <w:rsid w:val="00A429EB"/>
    <w:pPr>
      <w:tabs>
        <w:tab w:val="center" w:pos="4320"/>
        <w:tab w:val="right" w:pos="8640"/>
      </w:tabs>
    </w:pPr>
  </w:style>
  <w:style w:type="character" w:customStyle="1" w:styleId="FooterChar">
    <w:name w:val="Footer Char"/>
    <w:basedOn w:val="DefaultParagraphFont"/>
    <w:link w:val="Footer"/>
    <w:uiPriority w:val="99"/>
    <w:rsid w:val="00A429EB"/>
  </w:style>
  <w:style w:type="character" w:styleId="PageNumber">
    <w:name w:val="page number"/>
    <w:basedOn w:val="DefaultParagraphFont"/>
    <w:uiPriority w:val="99"/>
    <w:semiHidden/>
    <w:unhideWhenUsed/>
    <w:rsid w:val="00A42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x/0YZC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4218</Characters>
  <Application>Microsoft Macintosh Word</Application>
  <DocSecurity>0</DocSecurity>
  <Lines>35</Lines>
  <Paragraphs>9</Paragraphs>
  <ScaleCrop>false</ScaleCrop>
  <Company>LegitScript</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Stumme</dc:creator>
  <cp:keywords/>
  <dc:description/>
  <cp:lastModifiedBy>Mary Wong</cp:lastModifiedBy>
  <cp:revision>3</cp:revision>
  <cp:lastPrinted>2015-09-01T13:22:00Z</cp:lastPrinted>
  <dcterms:created xsi:type="dcterms:W3CDTF">2015-09-01T13:22:00Z</dcterms:created>
  <dcterms:modified xsi:type="dcterms:W3CDTF">2015-09-01T13:22:00Z</dcterms:modified>
</cp:coreProperties>
</file>