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05E81" w14:textId="48198E9A" w:rsidR="00AD6859" w:rsidRDefault="00AD6859">
      <w:r>
        <w:t xml:space="preserve">Steve </w:t>
      </w:r>
      <w:r w:rsidR="00F31FB7">
        <w:t>Crocker’s Comments and Objections re the</w:t>
      </w:r>
      <w:r>
        <w:t xml:space="preserve"> draft report</w:t>
      </w:r>
    </w:p>
    <w:p w14:paraId="4BF82C56" w14:textId="17807AB9" w:rsidR="002C41D1" w:rsidRPr="00AD6859" w:rsidRDefault="00F31FB7">
      <w:r w:rsidRPr="00AD6859">
        <w:t xml:space="preserve"> RDRS Standing Committee </w:t>
      </w:r>
      <w:r w:rsidR="00AD6859" w:rsidRPr="00AD6859">
        <w:t>Recommendations and Considerations to the GNSO Council</w:t>
      </w:r>
    </w:p>
    <w:p w14:paraId="42FD4F3D" w14:textId="77777777" w:rsidR="00F31FB7" w:rsidRDefault="00F31FB7"/>
    <w:p w14:paraId="447DECF4" w14:textId="328FB371" w:rsidR="00F31FB7" w:rsidRDefault="00F31FB7">
      <w:r>
        <w:t>15 August 2025</w:t>
      </w:r>
    </w:p>
    <w:p w14:paraId="38AB03FE" w14:textId="77777777" w:rsidR="00F31FB7" w:rsidRDefault="00F31FB7"/>
    <w:p w14:paraId="047E4D1A" w14:textId="714CC182" w:rsidR="00F31FB7" w:rsidRDefault="00F31FB7" w:rsidP="00AD6859">
      <w:pPr>
        <w:pStyle w:val="ListParagraph"/>
        <w:numPr>
          <w:ilvl w:val="0"/>
          <w:numId w:val="2"/>
        </w:numPr>
        <w:ind w:left="360" w:hanging="360"/>
      </w:pPr>
      <w:r>
        <w:t>Instructions from SC leadership team</w:t>
      </w:r>
    </w:p>
    <w:p w14:paraId="3B1D535E" w14:textId="77777777" w:rsidR="00F31FB7" w:rsidRDefault="00F31FB7"/>
    <w:p w14:paraId="387992BF" w14:textId="77777777" w:rsidR="00F31FB7" w:rsidRDefault="00F31FB7" w:rsidP="00F31FB7">
      <w:pPr>
        <w:pStyle w:val="NormalWeb"/>
        <w:shd w:val="clear" w:color="auto" w:fill="FFFFFF"/>
        <w:spacing w:before="0" w:beforeAutospacing="0" w:after="0" w:afterAutospacing="0"/>
        <w:rPr>
          <w:rFonts w:ascii="Arial" w:hAnsi="Arial" w:cs="Arial"/>
          <w:color w:val="222222"/>
        </w:rPr>
      </w:pPr>
      <w:r>
        <w:rPr>
          <w:rFonts w:ascii="Calibri" w:hAnsi="Calibri" w:cs="Calibri"/>
          <w:color w:val="000000"/>
          <w:sz w:val="22"/>
          <w:szCs w:val="22"/>
        </w:rPr>
        <w:t>The RDRS SC leadership team has proposed a consensus designation for every recommendation that the SC has finalized. These consensus designations are contained in the attached document entitled, “</w:t>
      </w:r>
      <w:r>
        <w:rPr>
          <w:rFonts w:ascii="Calibri" w:hAnsi="Calibri" w:cs="Calibri"/>
          <w:i/>
          <w:iCs/>
          <w:color w:val="000000"/>
          <w:sz w:val="22"/>
          <w:szCs w:val="22"/>
        </w:rPr>
        <w:t>RDRS SC Consensus Call - Leadership Proposed Consensus Designations</w:t>
      </w:r>
      <w:r>
        <w:rPr>
          <w:rFonts w:ascii="Calibri" w:hAnsi="Calibri" w:cs="Calibri"/>
          <w:color w:val="000000"/>
          <w:sz w:val="22"/>
          <w:szCs w:val="22"/>
        </w:rPr>
        <w:t>.”</w:t>
      </w:r>
    </w:p>
    <w:p w14:paraId="2AFF7C1C" w14:textId="77777777" w:rsidR="00F31FB7" w:rsidRDefault="00F31FB7" w:rsidP="00F31FB7">
      <w:pPr>
        <w:pStyle w:val="NormalWeb"/>
        <w:shd w:val="clear" w:color="auto" w:fill="FFFFFF"/>
        <w:spacing w:before="0" w:beforeAutospacing="0" w:after="0" w:afterAutospacing="0"/>
        <w:rPr>
          <w:rFonts w:ascii="Arial" w:hAnsi="Arial" w:cs="Arial"/>
          <w:color w:val="222222"/>
        </w:rPr>
      </w:pPr>
      <w:r>
        <w:rPr>
          <w:rFonts w:ascii="Calibri" w:hAnsi="Calibri" w:cs="Calibri"/>
          <w:color w:val="000000"/>
          <w:sz w:val="22"/>
          <w:szCs w:val="22"/>
        </w:rPr>
        <w:t> </w:t>
      </w:r>
    </w:p>
    <w:p w14:paraId="26490608" w14:textId="77777777" w:rsidR="00F31FB7" w:rsidRDefault="00F31FB7" w:rsidP="00F31FB7">
      <w:pPr>
        <w:pStyle w:val="NormalWeb"/>
        <w:shd w:val="clear" w:color="auto" w:fill="FFFFFF"/>
        <w:spacing w:before="0" w:beforeAutospacing="0" w:after="0" w:afterAutospacing="0"/>
        <w:rPr>
          <w:rFonts w:ascii="Arial" w:hAnsi="Arial" w:cs="Arial"/>
          <w:color w:val="222222"/>
        </w:rPr>
      </w:pPr>
      <w:r>
        <w:rPr>
          <w:rFonts w:ascii="Calibri" w:hAnsi="Calibri" w:cs="Calibri"/>
          <w:color w:val="000000"/>
          <w:sz w:val="22"/>
          <w:szCs w:val="22"/>
        </w:rPr>
        <w:t>This Consensus Call process opens today, </w:t>
      </w:r>
      <w:r>
        <w:rPr>
          <w:rFonts w:ascii="Calibri" w:hAnsi="Calibri" w:cs="Calibri"/>
          <w:color w:val="EE0000"/>
          <w:sz w:val="22"/>
          <w:szCs w:val="22"/>
        </w:rPr>
        <w:t>11 August and closes on 15 August at 23:59 UTC. </w:t>
      </w:r>
      <w:r>
        <w:rPr>
          <w:rFonts w:ascii="Calibri" w:hAnsi="Calibri" w:cs="Calibri"/>
          <w:color w:val="000000"/>
          <w:sz w:val="22"/>
          <w:szCs w:val="22"/>
        </w:rPr>
        <w:t>In accordance with the </w:t>
      </w:r>
      <w:hyperlink r:id="rId7" w:tgtFrame="_blank" w:tooltip="https://urldefense.com/v3/__https:/gnso.icann.org/sites/default/files/file/field-file-attach/annex-1-gnso-wg-guidelines-15mar23-en.pdf__;!!PtGJab4!7TZRDe61kFXvVwl3EMbVeWXeMLmd9RP6ajeQ0Ou4A5-nlU0ZAUIycNq74fCD5pZlGUZx4k-FjCFuWdRmGfvl0zwm1NZ7$" w:history="1">
        <w:r>
          <w:rPr>
            <w:rStyle w:val="Hyperlink"/>
            <w:rFonts w:ascii="Calibri" w:eastAsiaTheme="majorEastAsia" w:hAnsi="Calibri" w:cs="Calibri"/>
            <w:color w:val="1155CC"/>
            <w:sz w:val="22"/>
            <w:szCs w:val="22"/>
          </w:rPr>
          <w:t>GNSO Working Group Guidelines [gnso.icann.org]</w:t>
        </w:r>
      </w:hyperlink>
      <w:r>
        <w:rPr>
          <w:rFonts w:ascii="Calibri" w:hAnsi="Calibri" w:cs="Calibri"/>
          <w:color w:val="000000"/>
          <w:sz w:val="22"/>
          <w:szCs w:val="22"/>
        </w:rPr>
        <w:t>, SC members are required to indicate via reply to this message whether they accept, or do not accept, the leadership team’s proposed consensus designations. If no objection is raised by any member, the consensus designation is considered accepted by that SC member. If you do not respond before </w:t>
      </w:r>
      <w:r>
        <w:rPr>
          <w:rFonts w:ascii="Calibri" w:hAnsi="Calibri" w:cs="Calibri"/>
          <w:color w:val="EE0000"/>
          <w:sz w:val="22"/>
          <w:szCs w:val="22"/>
        </w:rPr>
        <w:t>15 August at 23:59 UTC, </w:t>
      </w:r>
      <w:r>
        <w:rPr>
          <w:rFonts w:ascii="Calibri" w:hAnsi="Calibri" w:cs="Calibri"/>
          <w:color w:val="000000"/>
          <w:sz w:val="22"/>
          <w:szCs w:val="22"/>
        </w:rPr>
        <w:t>the leadership team will take this as acceptance of the consensus designations. If any objection is raised for any specific recommendation, the leadership team is expected to reevaluate the consensus designation of such recommendation and publish an updated designation to be reviewed by the working group.</w:t>
      </w:r>
    </w:p>
    <w:p w14:paraId="5A791BCC" w14:textId="77777777" w:rsidR="00F31FB7" w:rsidRDefault="00F31FB7" w:rsidP="00F31FB7">
      <w:pPr>
        <w:pStyle w:val="NormalWeb"/>
        <w:shd w:val="clear" w:color="auto" w:fill="FFFFFF"/>
        <w:spacing w:before="0" w:beforeAutospacing="0" w:after="0" w:afterAutospacing="0"/>
        <w:rPr>
          <w:rFonts w:ascii="Arial" w:hAnsi="Arial" w:cs="Arial"/>
          <w:color w:val="222222"/>
        </w:rPr>
      </w:pPr>
      <w:r>
        <w:rPr>
          <w:rFonts w:ascii="Calibri" w:hAnsi="Calibri" w:cs="Calibri"/>
          <w:color w:val="000000"/>
          <w:sz w:val="22"/>
          <w:szCs w:val="22"/>
        </w:rPr>
        <w:t> </w:t>
      </w:r>
    </w:p>
    <w:p w14:paraId="732C5878" w14:textId="77777777" w:rsidR="00F31FB7" w:rsidRDefault="00F31FB7" w:rsidP="00F31FB7">
      <w:pPr>
        <w:pStyle w:val="NormalWeb"/>
        <w:shd w:val="clear" w:color="auto" w:fill="FFFFFF"/>
        <w:spacing w:before="0" w:beforeAutospacing="0" w:after="0" w:afterAutospacing="0"/>
        <w:rPr>
          <w:rFonts w:ascii="Arial" w:hAnsi="Arial" w:cs="Arial"/>
          <w:color w:val="222222"/>
        </w:rPr>
      </w:pPr>
      <w:r>
        <w:rPr>
          <w:rFonts w:ascii="Calibri" w:hAnsi="Calibri" w:cs="Calibri"/>
          <w:color w:val="000000"/>
          <w:sz w:val="22"/>
          <w:szCs w:val="22"/>
        </w:rPr>
        <w:t>In the event there is no disagreement by the SC with the proposed consensus designations, Support Staff will incorporate the designations into the RDRS SC Report to GNSO Council.</w:t>
      </w:r>
    </w:p>
    <w:p w14:paraId="074ADB00" w14:textId="77777777" w:rsidR="00F31FB7" w:rsidRDefault="00F31FB7" w:rsidP="00F31FB7">
      <w:pPr>
        <w:pStyle w:val="NormalWeb"/>
        <w:shd w:val="clear" w:color="auto" w:fill="FFFFFF"/>
        <w:spacing w:before="0" w:beforeAutospacing="0" w:after="0" w:afterAutospacing="0"/>
        <w:rPr>
          <w:rFonts w:ascii="Arial" w:hAnsi="Arial" w:cs="Arial"/>
          <w:color w:val="222222"/>
        </w:rPr>
      </w:pPr>
      <w:r>
        <w:rPr>
          <w:rFonts w:ascii="Calibri" w:hAnsi="Calibri" w:cs="Calibri"/>
          <w:color w:val="000000"/>
          <w:sz w:val="22"/>
          <w:szCs w:val="22"/>
        </w:rPr>
        <w:t> </w:t>
      </w:r>
    </w:p>
    <w:p w14:paraId="5DC03596" w14:textId="77777777" w:rsidR="00F31FB7" w:rsidRDefault="00F31FB7" w:rsidP="00F31FB7">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As set out in the RDRS SC Charter, only Members appointed by their representative groups are expected to participate in the Consensus Call process. Participants and observers will not be able to participate.</w:t>
      </w:r>
    </w:p>
    <w:p w14:paraId="33A1B722" w14:textId="77777777" w:rsidR="00F31FB7" w:rsidRDefault="00F31FB7" w:rsidP="00F31FB7">
      <w:pPr>
        <w:pStyle w:val="NormalWeb"/>
        <w:shd w:val="clear" w:color="auto" w:fill="FFFFFF"/>
        <w:spacing w:before="0" w:beforeAutospacing="0" w:after="0" w:afterAutospacing="0"/>
        <w:rPr>
          <w:rFonts w:ascii="Calibri" w:hAnsi="Calibri" w:cs="Calibri"/>
          <w:color w:val="000000"/>
          <w:sz w:val="22"/>
          <w:szCs w:val="22"/>
        </w:rPr>
      </w:pPr>
    </w:p>
    <w:p w14:paraId="1053F117" w14:textId="0A2C6A8F" w:rsidR="00F31FB7" w:rsidRDefault="00F31FB7" w:rsidP="00AD6859">
      <w:pPr>
        <w:pStyle w:val="ListParagraph"/>
        <w:numPr>
          <w:ilvl w:val="0"/>
          <w:numId w:val="2"/>
        </w:numPr>
        <w:ind w:left="360" w:hanging="360"/>
      </w:pPr>
      <w:r w:rsidRPr="00F31FB7">
        <w:t>Summary of Steve Crocker’s position on the Recommendations</w:t>
      </w:r>
    </w:p>
    <w:p w14:paraId="10F205DD" w14:textId="77777777" w:rsidR="00F31FB7" w:rsidRDefault="00F31FB7" w:rsidP="00F31FB7"/>
    <w:p w14:paraId="7539F57F" w14:textId="680AA448" w:rsidR="00F31FB7" w:rsidRDefault="00F31FB7" w:rsidP="00F31FB7">
      <w:r>
        <w:t>The following are the leadership team’s Proposed Consensus Designations</w:t>
      </w:r>
    </w:p>
    <w:p w14:paraId="4B8C0CEF" w14:textId="77777777" w:rsidR="00F31FB7" w:rsidRDefault="00F31FB7" w:rsidP="00F31FB7"/>
    <w:tbl>
      <w:tblPr>
        <w:tblStyle w:val="TableGrid"/>
        <w:tblW w:w="0" w:type="auto"/>
        <w:tblLook w:val="04A0" w:firstRow="1" w:lastRow="0" w:firstColumn="1" w:lastColumn="0" w:noHBand="0" w:noVBand="1"/>
      </w:tblPr>
      <w:tblGrid>
        <w:gridCol w:w="614"/>
        <w:gridCol w:w="3791"/>
        <w:gridCol w:w="2610"/>
        <w:gridCol w:w="2335"/>
      </w:tblGrid>
      <w:tr w:rsidR="00942A5B" w:rsidRPr="00F31FB7" w14:paraId="347B369B" w14:textId="42E4B404" w:rsidTr="00942A5B">
        <w:tc>
          <w:tcPr>
            <w:tcW w:w="614" w:type="dxa"/>
          </w:tcPr>
          <w:p w14:paraId="014320DE" w14:textId="2B8434FA" w:rsidR="00942A5B" w:rsidRPr="00F31FB7" w:rsidRDefault="00942A5B" w:rsidP="00942A5B">
            <w:pPr>
              <w:jc w:val="center"/>
            </w:pPr>
            <w:r>
              <w:t xml:space="preserve">Rec </w:t>
            </w:r>
          </w:p>
        </w:tc>
        <w:tc>
          <w:tcPr>
            <w:tcW w:w="3791" w:type="dxa"/>
          </w:tcPr>
          <w:p w14:paraId="33119532" w14:textId="3078F60E" w:rsidR="00942A5B" w:rsidRPr="00F31FB7" w:rsidRDefault="00942A5B" w:rsidP="00580CFB">
            <w:r>
              <w:t>Recommendation</w:t>
            </w:r>
          </w:p>
        </w:tc>
        <w:tc>
          <w:tcPr>
            <w:tcW w:w="2610" w:type="dxa"/>
            <w:vAlign w:val="center"/>
          </w:tcPr>
          <w:p w14:paraId="44957375" w14:textId="4BBF41E9" w:rsidR="00942A5B" w:rsidRPr="00F31FB7" w:rsidRDefault="00942A5B" w:rsidP="00942A5B">
            <w:pPr>
              <w:jc w:val="center"/>
            </w:pPr>
            <w:r w:rsidRPr="00F31FB7">
              <w:t>Leadership Team’s Proposed Designation</w:t>
            </w:r>
          </w:p>
        </w:tc>
        <w:tc>
          <w:tcPr>
            <w:tcW w:w="2335" w:type="dxa"/>
          </w:tcPr>
          <w:p w14:paraId="5ADAC5C2" w14:textId="013A376B" w:rsidR="00942A5B" w:rsidRPr="00F31FB7" w:rsidRDefault="00942A5B" w:rsidP="00942A5B">
            <w:pPr>
              <w:jc w:val="center"/>
            </w:pPr>
            <w:r>
              <w:t>Steve Crocker’s Position</w:t>
            </w:r>
          </w:p>
        </w:tc>
      </w:tr>
      <w:tr w:rsidR="00942A5B" w:rsidRPr="00F31FB7" w14:paraId="181B0D96" w14:textId="15E1882F" w:rsidTr="002B44A7">
        <w:tc>
          <w:tcPr>
            <w:tcW w:w="614" w:type="dxa"/>
            <w:vAlign w:val="center"/>
          </w:tcPr>
          <w:p w14:paraId="09623C82" w14:textId="643A331F" w:rsidR="00942A5B" w:rsidRPr="00F31FB7" w:rsidRDefault="00942A5B" w:rsidP="00942A5B">
            <w:pPr>
              <w:jc w:val="center"/>
            </w:pPr>
            <w:r>
              <w:t>1</w:t>
            </w:r>
          </w:p>
        </w:tc>
        <w:tc>
          <w:tcPr>
            <w:tcW w:w="3791" w:type="dxa"/>
          </w:tcPr>
          <w:p w14:paraId="32BE1F99" w14:textId="34FF0ADC" w:rsidR="00942A5B" w:rsidRPr="00F31FB7" w:rsidRDefault="00942A5B" w:rsidP="00580CFB">
            <w:r w:rsidRPr="00F31FB7">
              <w:t>Continue the RDRS beyond the pilot period</w:t>
            </w:r>
          </w:p>
        </w:tc>
        <w:tc>
          <w:tcPr>
            <w:tcW w:w="2610" w:type="dxa"/>
            <w:vAlign w:val="center"/>
          </w:tcPr>
          <w:p w14:paraId="42CEF1B2" w14:textId="1748F0BB" w:rsidR="00942A5B" w:rsidRPr="00F31FB7" w:rsidRDefault="00942A5B" w:rsidP="00942A5B">
            <w:pPr>
              <w:jc w:val="center"/>
            </w:pPr>
            <w:r w:rsidRPr="00F31FB7">
              <w:t>Full Consensus</w:t>
            </w:r>
          </w:p>
        </w:tc>
        <w:tc>
          <w:tcPr>
            <w:tcW w:w="2335" w:type="dxa"/>
            <w:vAlign w:val="center"/>
          </w:tcPr>
          <w:p w14:paraId="08322B59" w14:textId="5C3A5E85" w:rsidR="00942A5B" w:rsidRPr="00F31FB7" w:rsidRDefault="00942A5B" w:rsidP="002B44A7">
            <w:pPr>
              <w:jc w:val="center"/>
            </w:pPr>
            <w:r>
              <w:t>Agree</w:t>
            </w:r>
          </w:p>
        </w:tc>
      </w:tr>
      <w:tr w:rsidR="00942A5B" w:rsidRPr="00F31FB7" w14:paraId="78EE73B6" w14:textId="07B5B89F" w:rsidTr="002B44A7">
        <w:tc>
          <w:tcPr>
            <w:tcW w:w="614" w:type="dxa"/>
            <w:vAlign w:val="center"/>
          </w:tcPr>
          <w:p w14:paraId="6392AEA6" w14:textId="27C82100" w:rsidR="00942A5B" w:rsidRPr="00F31FB7" w:rsidRDefault="00942A5B" w:rsidP="00942A5B">
            <w:pPr>
              <w:jc w:val="center"/>
            </w:pPr>
            <w:r>
              <w:t>2</w:t>
            </w:r>
          </w:p>
        </w:tc>
        <w:tc>
          <w:tcPr>
            <w:tcW w:w="3791" w:type="dxa"/>
          </w:tcPr>
          <w:p w14:paraId="7045ABDC" w14:textId="10A8C0F4" w:rsidR="00942A5B" w:rsidRPr="00F31FB7" w:rsidRDefault="00942A5B" w:rsidP="00580CFB">
            <w:r w:rsidRPr="00F31FB7">
              <w:t>Allow for authentication of interested requestor groups,</w:t>
            </w:r>
            <w:r>
              <w:t xml:space="preserve"> </w:t>
            </w:r>
            <w:r w:rsidRPr="00F31FB7">
              <w:t>beginning with law enforc</w:t>
            </w:r>
            <w:r w:rsidRPr="00CD47BE">
              <w:rPr>
                <w:color w:val="EE0000"/>
              </w:rPr>
              <w:t>e</w:t>
            </w:r>
            <w:r w:rsidRPr="00F31FB7">
              <w:t>ment</w:t>
            </w:r>
          </w:p>
        </w:tc>
        <w:tc>
          <w:tcPr>
            <w:tcW w:w="2610" w:type="dxa"/>
            <w:vAlign w:val="center"/>
          </w:tcPr>
          <w:p w14:paraId="3BDF19D2" w14:textId="77777777" w:rsidR="00942A5B" w:rsidRPr="00F31FB7" w:rsidRDefault="00942A5B" w:rsidP="00942A5B">
            <w:pPr>
              <w:jc w:val="center"/>
            </w:pPr>
            <w:r w:rsidRPr="00F31FB7">
              <w:t>Full Consensus</w:t>
            </w:r>
          </w:p>
        </w:tc>
        <w:tc>
          <w:tcPr>
            <w:tcW w:w="2335" w:type="dxa"/>
            <w:vAlign w:val="center"/>
          </w:tcPr>
          <w:p w14:paraId="61786395" w14:textId="1EDFAA02" w:rsidR="00942A5B" w:rsidRPr="00F31FB7" w:rsidRDefault="002B44A7" w:rsidP="002B44A7">
            <w:pPr>
              <w:jc w:val="center"/>
            </w:pPr>
            <w:r>
              <w:t>Agree</w:t>
            </w:r>
          </w:p>
        </w:tc>
      </w:tr>
      <w:tr w:rsidR="00942A5B" w:rsidRPr="00F31FB7" w14:paraId="6537035B" w14:textId="62913154" w:rsidTr="002B44A7">
        <w:tc>
          <w:tcPr>
            <w:tcW w:w="614" w:type="dxa"/>
            <w:vAlign w:val="center"/>
          </w:tcPr>
          <w:p w14:paraId="7FCFB25E" w14:textId="43A6D6B0" w:rsidR="00942A5B" w:rsidRDefault="00942A5B" w:rsidP="00942A5B">
            <w:pPr>
              <w:jc w:val="center"/>
            </w:pPr>
            <w:r>
              <w:t>3</w:t>
            </w:r>
          </w:p>
        </w:tc>
        <w:tc>
          <w:tcPr>
            <w:tcW w:w="3791" w:type="dxa"/>
          </w:tcPr>
          <w:p w14:paraId="0931D149" w14:textId="2DEDA391" w:rsidR="00942A5B" w:rsidRPr="00F31FB7" w:rsidRDefault="00942A5B" w:rsidP="00580CFB">
            <w:r>
              <w:t xml:space="preserve">Implement Key System Enhancements </w:t>
            </w:r>
            <w:proofErr w:type="gramStart"/>
            <w:r>
              <w:t xml:space="preserve">so </w:t>
            </w:r>
            <w:r w:rsidRPr="00CD47BE">
              <w:rPr>
                <w:color w:val="EE0000"/>
              </w:rPr>
              <w:t>as to</w:t>
            </w:r>
            <w:proofErr w:type="gramEnd"/>
            <w:r>
              <w:t xml:space="preserve"> sustain and evolve RDRS post-pilot while more policy work is underway. (API, UX Redesign, optional ccTLD </w:t>
            </w:r>
            <w:proofErr w:type="spellStart"/>
            <w:r>
              <w:t>partici</w:t>
            </w:r>
            <w:r w:rsidRPr="00CD47BE">
              <w:rPr>
                <w:strike/>
              </w:rPr>
              <w:t>a</w:t>
            </w:r>
            <w:r>
              <w:t>p</w:t>
            </w:r>
            <w:r w:rsidRPr="00CD47BE">
              <w:rPr>
                <w:color w:val="EE0000"/>
              </w:rPr>
              <w:t>a</w:t>
            </w:r>
            <w:r>
              <w:t>tion</w:t>
            </w:r>
            <w:proofErr w:type="spellEnd"/>
            <w:r w:rsidRPr="00CD47BE">
              <w:rPr>
                <w:color w:val="EE0000"/>
              </w:rPr>
              <w:t>)</w:t>
            </w:r>
          </w:p>
        </w:tc>
        <w:tc>
          <w:tcPr>
            <w:tcW w:w="2610" w:type="dxa"/>
            <w:vAlign w:val="center"/>
          </w:tcPr>
          <w:p w14:paraId="57369D22" w14:textId="170DE741" w:rsidR="00942A5B" w:rsidRPr="00F31FB7" w:rsidRDefault="00942A5B" w:rsidP="00942A5B">
            <w:pPr>
              <w:jc w:val="center"/>
            </w:pPr>
            <w:r>
              <w:t>Full Consensus</w:t>
            </w:r>
          </w:p>
        </w:tc>
        <w:tc>
          <w:tcPr>
            <w:tcW w:w="2335" w:type="dxa"/>
            <w:vAlign w:val="center"/>
          </w:tcPr>
          <w:p w14:paraId="771E5A6C" w14:textId="1D5D9409" w:rsidR="00942A5B" w:rsidRDefault="002B44A7" w:rsidP="002B44A7">
            <w:pPr>
              <w:jc w:val="center"/>
            </w:pPr>
            <w:r>
              <w:t>Agree</w:t>
            </w:r>
          </w:p>
        </w:tc>
      </w:tr>
      <w:tr w:rsidR="00942A5B" w:rsidRPr="00F31FB7" w14:paraId="036F7C57" w14:textId="627FEB8D" w:rsidTr="002B44A7">
        <w:tc>
          <w:tcPr>
            <w:tcW w:w="614" w:type="dxa"/>
            <w:vAlign w:val="center"/>
          </w:tcPr>
          <w:p w14:paraId="75116CB4" w14:textId="72870808" w:rsidR="00942A5B" w:rsidRPr="00F31FB7" w:rsidRDefault="00942A5B" w:rsidP="00942A5B">
            <w:pPr>
              <w:jc w:val="center"/>
            </w:pPr>
            <w:r>
              <w:t>4</w:t>
            </w:r>
          </w:p>
        </w:tc>
        <w:tc>
          <w:tcPr>
            <w:tcW w:w="3791" w:type="dxa"/>
          </w:tcPr>
          <w:p w14:paraId="07DB5456" w14:textId="54828322" w:rsidR="00942A5B" w:rsidRPr="00F31FB7" w:rsidRDefault="00942A5B" w:rsidP="00F31FB7">
            <w:r w:rsidRPr="00F31FB7">
              <w:t>Consider further policy work in the following areas:</w:t>
            </w:r>
            <w:r>
              <w:t xml:space="preserve"> </w:t>
            </w:r>
            <w:r w:rsidRPr="00F31FB7">
              <w:t xml:space="preserve">Privacy/Proxy </w:t>
            </w:r>
            <w:r w:rsidRPr="00F31FB7">
              <w:lastRenderedPageBreak/>
              <w:t>Data, Inclusion of RDRS links in the RDAP responses.</w:t>
            </w:r>
          </w:p>
        </w:tc>
        <w:tc>
          <w:tcPr>
            <w:tcW w:w="2610" w:type="dxa"/>
            <w:vAlign w:val="center"/>
          </w:tcPr>
          <w:p w14:paraId="043F175A" w14:textId="70418519" w:rsidR="00942A5B" w:rsidRPr="00F31FB7" w:rsidRDefault="00942A5B" w:rsidP="00942A5B">
            <w:pPr>
              <w:jc w:val="center"/>
            </w:pPr>
            <w:r w:rsidRPr="00F31FB7">
              <w:lastRenderedPageBreak/>
              <w:t>Full Consensus</w:t>
            </w:r>
          </w:p>
        </w:tc>
        <w:tc>
          <w:tcPr>
            <w:tcW w:w="2335" w:type="dxa"/>
            <w:vAlign w:val="center"/>
          </w:tcPr>
          <w:p w14:paraId="607C660C" w14:textId="53454758" w:rsidR="00942A5B" w:rsidRPr="00F31FB7" w:rsidRDefault="002B44A7" w:rsidP="002B44A7">
            <w:pPr>
              <w:jc w:val="center"/>
            </w:pPr>
            <w:r>
              <w:t>Agree</w:t>
            </w:r>
          </w:p>
        </w:tc>
      </w:tr>
      <w:tr w:rsidR="00942A5B" w:rsidRPr="00F31FB7" w14:paraId="44534B50" w14:textId="1F63D4CB" w:rsidTr="002B44A7">
        <w:tc>
          <w:tcPr>
            <w:tcW w:w="614" w:type="dxa"/>
            <w:vAlign w:val="center"/>
          </w:tcPr>
          <w:p w14:paraId="3F0C67CD" w14:textId="414C22E7" w:rsidR="00942A5B" w:rsidRPr="00F31FB7" w:rsidRDefault="00942A5B" w:rsidP="00942A5B">
            <w:pPr>
              <w:jc w:val="center"/>
            </w:pPr>
            <w:r>
              <w:t>5</w:t>
            </w:r>
          </w:p>
        </w:tc>
        <w:tc>
          <w:tcPr>
            <w:tcW w:w="3791" w:type="dxa"/>
          </w:tcPr>
          <w:p w14:paraId="6701C243" w14:textId="5D1B665B" w:rsidR="00942A5B" w:rsidRPr="00F31FB7" w:rsidRDefault="00942A5B" w:rsidP="00F31FB7">
            <w:r w:rsidRPr="00F31FB7">
              <w:t>Consideration regarding next steps on EPDP Phase</w:t>
            </w:r>
            <w:r>
              <w:t> </w:t>
            </w:r>
            <w:r w:rsidRPr="00F31FB7">
              <w:t>2/SSAD</w:t>
            </w:r>
            <w:r>
              <w:t xml:space="preserve"> Policy Recommendations.</w:t>
            </w:r>
          </w:p>
        </w:tc>
        <w:tc>
          <w:tcPr>
            <w:tcW w:w="2610" w:type="dxa"/>
            <w:vAlign w:val="center"/>
          </w:tcPr>
          <w:p w14:paraId="49866812" w14:textId="04015A24" w:rsidR="00942A5B" w:rsidRPr="00F31FB7" w:rsidRDefault="00942A5B" w:rsidP="00942A5B">
            <w:pPr>
              <w:jc w:val="center"/>
            </w:pPr>
            <w:r w:rsidRPr="00F31FB7">
              <w:t>Full Consensus</w:t>
            </w:r>
          </w:p>
        </w:tc>
        <w:tc>
          <w:tcPr>
            <w:tcW w:w="2335" w:type="dxa"/>
            <w:vAlign w:val="center"/>
          </w:tcPr>
          <w:p w14:paraId="53E741F1" w14:textId="38DA2E91" w:rsidR="00942A5B" w:rsidRPr="00F31FB7" w:rsidRDefault="002B44A7" w:rsidP="002B44A7">
            <w:pPr>
              <w:jc w:val="center"/>
            </w:pPr>
            <w:r>
              <w:t>Disagree</w:t>
            </w:r>
          </w:p>
        </w:tc>
      </w:tr>
      <w:tr w:rsidR="00942A5B" w:rsidRPr="00F31FB7" w14:paraId="4E9AC0F6" w14:textId="69D99E5A" w:rsidTr="002B44A7">
        <w:tc>
          <w:tcPr>
            <w:tcW w:w="614" w:type="dxa"/>
            <w:vAlign w:val="center"/>
          </w:tcPr>
          <w:p w14:paraId="7415CF95" w14:textId="20E3C579" w:rsidR="00942A5B" w:rsidRPr="00F31FB7" w:rsidRDefault="00942A5B" w:rsidP="00942A5B">
            <w:pPr>
              <w:jc w:val="center"/>
            </w:pPr>
            <w:r>
              <w:t>6</w:t>
            </w:r>
          </w:p>
        </w:tc>
        <w:tc>
          <w:tcPr>
            <w:tcW w:w="3791" w:type="dxa"/>
          </w:tcPr>
          <w:p w14:paraId="4A7D0E8F" w14:textId="7F32A21F" w:rsidR="00942A5B" w:rsidRPr="00F31FB7" w:rsidRDefault="00942A5B" w:rsidP="00F31FB7">
            <w:r w:rsidRPr="00F31FB7">
              <w:t>Maintain the current Standing Committee with narrowed</w:t>
            </w:r>
            <w:r>
              <w:t xml:space="preserve"> Scope.</w:t>
            </w:r>
          </w:p>
        </w:tc>
        <w:tc>
          <w:tcPr>
            <w:tcW w:w="2610" w:type="dxa"/>
            <w:vAlign w:val="center"/>
          </w:tcPr>
          <w:p w14:paraId="3AA45D44" w14:textId="6817249D" w:rsidR="00942A5B" w:rsidRPr="00F31FB7" w:rsidRDefault="00942A5B" w:rsidP="00942A5B">
            <w:pPr>
              <w:jc w:val="center"/>
            </w:pPr>
            <w:r w:rsidRPr="00F31FB7">
              <w:t>Full Consensus</w:t>
            </w:r>
          </w:p>
        </w:tc>
        <w:tc>
          <w:tcPr>
            <w:tcW w:w="2335" w:type="dxa"/>
            <w:vAlign w:val="center"/>
          </w:tcPr>
          <w:p w14:paraId="5C9CE0CC" w14:textId="799202E6" w:rsidR="00942A5B" w:rsidRPr="00F31FB7" w:rsidRDefault="002B44A7" w:rsidP="002B44A7">
            <w:pPr>
              <w:jc w:val="center"/>
            </w:pPr>
            <w:r>
              <w:t>Agree</w:t>
            </w:r>
          </w:p>
        </w:tc>
      </w:tr>
    </w:tbl>
    <w:p w14:paraId="31D4AA3D" w14:textId="77777777" w:rsidR="00F31FB7" w:rsidRDefault="00F31FB7" w:rsidP="00F31FB7">
      <w:pPr>
        <w:pStyle w:val="NormalWeb"/>
        <w:shd w:val="clear" w:color="auto" w:fill="FFFFFF"/>
        <w:spacing w:before="0" w:beforeAutospacing="0" w:after="0" w:afterAutospacing="0"/>
        <w:rPr>
          <w:rFonts w:ascii="Arial" w:hAnsi="Arial" w:cs="Arial"/>
          <w:color w:val="222222"/>
        </w:rPr>
      </w:pPr>
      <w:r>
        <w:rPr>
          <w:rFonts w:ascii="Calibri" w:hAnsi="Calibri" w:cs="Calibri"/>
          <w:color w:val="000000"/>
          <w:sz w:val="22"/>
          <w:szCs w:val="22"/>
        </w:rPr>
        <w:t> </w:t>
      </w:r>
    </w:p>
    <w:p w14:paraId="6EBA70FD" w14:textId="77777777" w:rsidR="00F31FB7" w:rsidRDefault="00F31FB7"/>
    <w:p w14:paraId="7C47B711" w14:textId="6340C16D" w:rsidR="00CD47BE" w:rsidRDefault="002B44A7" w:rsidP="00AD6859">
      <w:pPr>
        <w:pStyle w:val="ListParagraph"/>
        <w:numPr>
          <w:ilvl w:val="0"/>
          <w:numId w:val="2"/>
        </w:numPr>
        <w:ind w:left="360" w:hanging="360"/>
      </w:pPr>
      <w:r>
        <w:t>Notes on each recommendation</w:t>
      </w:r>
    </w:p>
    <w:p w14:paraId="0A6D8992" w14:textId="77777777" w:rsidR="002B44A7" w:rsidRDefault="002B44A7"/>
    <w:p w14:paraId="5D4C9471" w14:textId="5AD8AD55" w:rsidR="002B44A7" w:rsidRDefault="002B44A7">
      <w:r>
        <w:t xml:space="preserve">Rec 1: Rationale says, “The pilot has proven useful as a stopgap…”. It should say, “The pilot has proven somewhat useful…”  Some requestors have stopped using it, and some registrars have withdrawn.  These are not positive signs, and this rationale should </w:t>
      </w:r>
      <w:r w:rsidR="00531E04" w:rsidRPr="00531E04">
        <w:rPr>
          <w:color w:val="EE0000"/>
        </w:rPr>
        <w:t>not</w:t>
      </w:r>
      <w:r w:rsidR="00531E04">
        <w:t xml:space="preserve"> </w:t>
      </w:r>
      <w:r>
        <w:t xml:space="preserve">present a picture that is rosier than the facts support. </w:t>
      </w:r>
    </w:p>
    <w:p w14:paraId="240E3302" w14:textId="77777777" w:rsidR="002B44A7" w:rsidRDefault="002B44A7"/>
    <w:p w14:paraId="363E54AF" w14:textId="631977FB" w:rsidR="002B44A7" w:rsidRDefault="002B44A7">
      <w:r>
        <w:t>Rec 5:</w:t>
      </w:r>
    </w:p>
    <w:p w14:paraId="63A64B25" w14:textId="77777777" w:rsidR="002B44A7" w:rsidRDefault="002B44A7"/>
    <w:p w14:paraId="26DBEB7D" w14:textId="7F30FF4B" w:rsidR="002B44A7" w:rsidRDefault="002B44A7" w:rsidP="00AD6859">
      <w:pPr>
        <w:pStyle w:val="ListParagraph"/>
        <w:numPr>
          <w:ilvl w:val="0"/>
          <w:numId w:val="3"/>
        </w:numPr>
      </w:pPr>
      <w:r>
        <w:t>The wording in the first paragraph is confusing:</w:t>
      </w:r>
      <w:r w:rsidR="00943178">
        <w:br/>
      </w:r>
    </w:p>
    <w:p w14:paraId="43E574D5" w14:textId="72D1587A" w:rsidR="002B44A7" w:rsidRDefault="002B44A7" w:rsidP="00DC387C">
      <w:pPr>
        <w:pStyle w:val="ListParagraph"/>
        <w:numPr>
          <w:ilvl w:val="0"/>
          <w:numId w:val="1"/>
        </w:numPr>
      </w:pPr>
      <w:r>
        <w:t xml:space="preserve">“The SC recognizes the emphasis the EPDP Phase </w:t>
      </w:r>
      <w:r w:rsidR="00943178">
        <w:t>2 Team placed on the recommendations being consider by both the GNSO Council and ICANN Board as a single, interdependent package.”</w:t>
      </w:r>
      <w:r w:rsidR="00943178">
        <w:br/>
      </w:r>
    </w:p>
    <w:p w14:paraId="75A9B041" w14:textId="2BA6576A" w:rsidR="00943178" w:rsidRDefault="00943178" w:rsidP="00DC387C">
      <w:pPr>
        <w:pStyle w:val="ListParagraph"/>
        <w:numPr>
          <w:ilvl w:val="0"/>
          <w:numId w:val="1"/>
        </w:numPr>
      </w:pPr>
      <w:r>
        <w:t>Accordingly, the SC recommends that the Board should consider the 18 recommendations together as one package.</w:t>
      </w:r>
      <w:r>
        <w:br/>
      </w:r>
    </w:p>
    <w:p w14:paraId="20E4DD1C" w14:textId="31CCC2F9" w:rsidR="00943178" w:rsidRDefault="00943178" w:rsidP="00DC387C">
      <w:pPr>
        <w:pStyle w:val="ListParagraph"/>
        <w:numPr>
          <w:ilvl w:val="0"/>
          <w:numId w:val="1"/>
        </w:numPr>
      </w:pPr>
      <w:r>
        <w:t>The SC further recommends that when the GNSO Council and ICANN Board engage in a dialogue, the Council should recommend that the ICANN board reject the SSAD recommendations (as a package) and send them back to the GNSO Council for further action and Supplemental Recommendations.</w:t>
      </w:r>
      <w:r>
        <w:br/>
      </w:r>
    </w:p>
    <w:p w14:paraId="6EA06AE7" w14:textId="66F2B869" w:rsidR="00943178" w:rsidRDefault="00943178" w:rsidP="000727EE">
      <w:pPr>
        <w:ind w:left="360"/>
      </w:pPr>
      <w:r>
        <w:t>I think what you’re trying to say is the third sentence, i.e., send the entire package back to the GNSO Council.  This would also be consistent with the last sentence in the next paragraph.</w:t>
      </w:r>
      <w:r>
        <w:br/>
      </w:r>
      <w:r>
        <w:br/>
        <w:t>All the rest seems to be justifying why we’re not making a separate recommendation for each of the 18 EPDP Phase 2 recommendations.  Except</w:t>
      </w:r>
      <w:r w:rsidR="00DC387C">
        <w:t xml:space="preserve"> we’re doing exactly that in the</w:t>
      </w:r>
      <w:r w:rsidR="00531E04">
        <w:t xml:space="preserve"> </w:t>
      </w:r>
      <w:r w:rsidR="00531E04" w:rsidRPr="00531E04">
        <w:rPr>
          <w:color w:val="EE0000"/>
        </w:rPr>
        <w:t>next</w:t>
      </w:r>
      <w:r w:rsidR="00DC387C">
        <w:t xml:space="preserve"> </w:t>
      </w:r>
      <w:r>
        <w:t>18-1/2 pages</w:t>
      </w:r>
      <w:r w:rsidR="00DC387C">
        <w:t>.</w:t>
      </w:r>
      <w:r w:rsidR="00DC387C">
        <w:br/>
      </w:r>
    </w:p>
    <w:p w14:paraId="2F394F0D" w14:textId="71E32495" w:rsidR="000727EE" w:rsidRDefault="000727EE" w:rsidP="00AD6859">
      <w:pPr>
        <w:pStyle w:val="ListParagraph"/>
        <w:numPr>
          <w:ilvl w:val="0"/>
          <w:numId w:val="3"/>
        </w:numPr>
      </w:pPr>
      <w:r>
        <w:t>General comment about Recommendation 5</w:t>
      </w:r>
    </w:p>
    <w:p w14:paraId="763947B0" w14:textId="77777777" w:rsidR="000727EE" w:rsidRDefault="000727EE" w:rsidP="00DC387C"/>
    <w:p w14:paraId="4FE3BFFA" w14:textId="0226DB0D" w:rsidR="00DC387C" w:rsidRDefault="000727EE" w:rsidP="000727EE">
      <w:pPr>
        <w:ind w:left="720"/>
      </w:pPr>
      <w:r>
        <w:t>T</w:t>
      </w:r>
      <w:r w:rsidR="00DC387C">
        <w:t>he 18 EPDP Phase 2 recommendations</w:t>
      </w:r>
      <w:r>
        <w:t xml:space="preserve"> have</w:t>
      </w:r>
      <w:r w:rsidR="00DC387C">
        <w:t xml:space="preserve"> a very strong implied assumption that ICANN should design, build, deploy and operate a centralized request and response </w:t>
      </w:r>
      <w:r w:rsidR="00DC387C">
        <w:lastRenderedPageBreak/>
        <w:t>system.  I think this is a fundamental mistake.  There is no need for a centralized system.  What’s needed is a distributed system that serves the entire Internet community, i.e., the numbers community, the ccTLD community, and the gTLD community.  ICANN, via the GNSO, should be responsible for the policies that apply to the gTLD community. It should cooperate with the rest of the community to develop a system that serves all segments, with a very clean and clear distinction between mechanism and policy.  Further, even for the gTLD community, ICANN should not operate a centralized system.  Doing so creates a bottleneck and an unnecessary ongoing expense.</w:t>
      </w:r>
    </w:p>
    <w:p w14:paraId="2CEB88C2" w14:textId="77777777" w:rsidR="000727EE" w:rsidRDefault="000727EE" w:rsidP="000727EE">
      <w:pPr>
        <w:ind w:left="720"/>
      </w:pPr>
    </w:p>
    <w:p w14:paraId="5291DA85" w14:textId="0EF8E7F2" w:rsidR="000727EE" w:rsidRDefault="000727EE" w:rsidP="00AD6859">
      <w:pPr>
        <w:pStyle w:val="ListParagraph"/>
        <w:numPr>
          <w:ilvl w:val="0"/>
          <w:numId w:val="2"/>
        </w:numPr>
        <w:ind w:left="360" w:hanging="360"/>
      </w:pPr>
      <w:r>
        <w:t>Comments on selected EPDP Phase 2 Recommendations</w:t>
      </w:r>
    </w:p>
    <w:p w14:paraId="2C8BBB23" w14:textId="77777777" w:rsidR="000727EE" w:rsidRDefault="000727EE" w:rsidP="000727EE"/>
    <w:p w14:paraId="453B0497" w14:textId="304C69DC" w:rsidR="000727EE" w:rsidRDefault="000727EE" w:rsidP="000727EE">
      <w:pPr>
        <w:ind w:left="720"/>
      </w:pPr>
      <w:r>
        <w:t>Rec 4:</w:t>
      </w:r>
      <w:r w:rsidR="0086735A">
        <w:t xml:space="preserve"> Acknowledgment of receipt and relay of the disclosure request</w:t>
      </w:r>
      <w:r w:rsidR="0086735A">
        <w:br/>
      </w:r>
      <w:r w:rsidR="0086735A">
        <w:br/>
      </w:r>
      <w:r>
        <w:t>Why are the registries involved?  Some registries are thin; others are thick.  There’s no point in notifying a thin registry.</w:t>
      </w:r>
      <w:r>
        <w:br/>
      </w:r>
    </w:p>
    <w:p w14:paraId="74D59962" w14:textId="79A4548C" w:rsidR="000727EE" w:rsidRDefault="000727EE" w:rsidP="000727EE">
      <w:pPr>
        <w:ind w:left="720"/>
      </w:pPr>
      <w:r>
        <w:t xml:space="preserve">Rec 5: </w:t>
      </w:r>
      <w:r w:rsidR="0086735A">
        <w:t>Response Requirements</w:t>
      </w:r>
      <w:r w:rsidR="0086735A">
        <w:br/>
      </w:r>
      <w:r w:rsidR="0086735A">
        <w:br/>
      </w:r>
      <w:r>
        <w:t>The Rationale refers to the Central Gateway Manager.  There’s no need for a Central Gateway Manager.  The putative motivation for a central manager is uniformity in submitting requests, but that sort of uniformity is best accomplished with proper documentation and standards.  We have fifty years of positive experience and billions of users using millions of separate computers, all without central gateways.</w:t>
      </w:r>
      <w:r>
        <w:br/>
      </w:r>
    </w:p>
    <w:p w14:paraId="705A19FE" w14:textId="670DFE5E" w:rsidR="000727EE" w:rsidRDefault="000727EE" w:rsidP="000727EE">
      <w:pPr>
        <w:ind w:left="720"/>
      </w:pPr>
      <w:r>
        <w:t xml:space="preserve">Rec 6: </w:t>
      </w:r>
      <w:r w:rsidR="0086735A">
        <w:t>Priority Levels</w:t>
      </w:r>
      <w:r w:rsidR="0086735A">
        <w:br/>
      </w:r>
      <w:r w:rsidR="0086735A">
        <w:br/>
      </w:r>
      <w:r>
        <w:t>Th</w:t>
      </w:r>
      <w:r w:rsidR="0086735A">
        <w:t>is</w:t>
      </w:r>
      <w:r>
        <w:t xml:space="preserve"> treatment of priority levels conflates two distinct issues.  Normally, the use of the word “priority” addresses which of several things to do when </w:t>
      </w:r>
      <w:r w:rsidR="00D1223B">
        <w:t>the system is overloaded.  However, Expedited and Urgent Requests are also mentioned.  Although not stated clearly, there is an implication that these request</w:t>
      </w:r>
      <w:r w:rsidR="00531E04" w:rsidRPr="00531E04">
        <w:rPr>
          <w:color w:val="EE0000"/>
        </w:rPr>
        <w:t>s</w:t>
      </w:r>
      <w:r w:rsidR="00D1223B">
        <w:t xml:space="preserve"> will be handled more quickly than normal requests, </w:t>
      </w:r>
      <w:r w:rsidR="00D1223B" w:rsidRPr="00D1223B">
        <w:rPr>
          <w:u w:val="single"/>
        </w:rPr>
        <w:t>even when the system is not overloaded</w:t>
      </w:r>
      <w:r w:rsidR="00D1223B">
        <w:rPr>
          <w:u w:val="single"/>
        </w:rPr>
        <w:t>.</w:t>
      </w:r>
      <w:r w:rsidR="00D1223B">
        <w:t xml:space="preserve">  To provide that sort of service, simply prioritizing which request to attend to before others is not enough.  There</w:t>
      </w:r>
      <w:r w:rsidR="00531E04">
        <w:t xml:space="preserve"> </w:t>
      </w:r>
      <w:r w:rsidR="00531E04" w:rsidRPr="00531E04">
        <w:rPr>
          <w:color w:val="EE0000"/>
        </w:rPr>
        <w:t>would</w:t>
      </w:r>
      <w:r w:rsidR="00D1223B" w:rsidRPr="00531E04">
        <w:rPr>
          <w:color w:val="EE0000"/>
        </w:rPr>
        <w:t xml:space="preserve"> need</w:t>
      </w:r>
      <w:r w:rsidR="00D1223B">
        <w:t xml:space="preserve"> to be special mechanisms and processes in addition to the regular processing.</w:t>
      </w:r>
      <w:r w:rsidR="00D1223B">
        <w:br/>
      </w:r>
    </w:p>
    <w:p w14:paraId="6B98B3AD" w14:textId="77777777" w:rsidR="0086735A" w:rsidRDefault="00D1223B" w:rsidP="000727EE">
      <w:pPr>
        <w:ind w:left="720"/>
      </w:pPr>
      <w:r>
        <w:t xml:space="preserve">Rec 7: </w:t>
      </w:r>
      <w:r w:rsidR="0086735A">
        <w:t>Requestor Purpose</w:t>
      </w:r>
    </w:p>
    <w:p w14:paraId="7EC93DF4" w14:textId="77777777" w:rsidR="0086735A" w:rsidRDefault="0086735A" w:rsidP="000727EE">
      <w:pPr>
        <w:ind w:left="720"/>
      </w:pPr>
    </w:p>
    <w:p w14:paraId="13C01976" w14:textId="5C31D51A" w:rsidR="00D1223B" w:rsidRDefault="00D1223B" w:rsidP="000727EE">
      <w:pPr>
        <w:ind w:left="720"/>
      </w:pPr>
      <w:r>
        <w:t>Agreed.</w:t>
      </w:r>
    </w:p>
    <w:p w14:paraId="3503776C" w14:textId="77777777" w:rsidR="00D1223B" w:rsidRDefault="00D1223B" w:rsidP="000727EE">
      <w:pPr>
        <w:ind w:left="720"/>
      </w:pPr>
    </w:p>
    <w:p w14:paraId="6332E701" w14:textId="5A6ECA09" w:rsidR="0086735A" w:rsidRDefault="00D1223B" w:rsidP="000727EE">
      <w:pPr>
        <w:ind w:left="720"/>
      </w:pPr>
      <w:r>
        <w:t xml:space="preserve">Rec 8: </w:t>
      </w:r>
      <w:r w:rsidR="0086735A">
        <w:t>Contracted Party Authorization</w:t>
      </w:r>
    </w:p>
    <w:p w14:paraId="2F6F431F" w14:textId="77777777" w:rsidR="0086735A" w:rsidRDefault="0086735A" w:rsidP="000727EE">
      <w:pPr>
        <w:ind w:left="720"/>
      </w:pPr>
    </w:p>
    <w:p w14:paraId="3ABF0780" w14:textId="32D4F95D" w:rsidR="00D1223B" w:rsidRDefault="00D1223B" w:rsidP="000727EE">
      <w:pPr>
        <w:ind w:left="720"/>
      </w:pPr>
      <w:r>
        <w:t xml:space="preserve">“Registrars are expected to review request individually…”. This requirement has been interpreted to mean a human must take time to read and approve or </w:t>
      </w:r>
      <w:r>
        <w:lastRenderedPageBreak/>
        <w:t>disapprove each request.  Such a requirement imposes enormous inefficiency in the entire system.  “Same day – more likely week in this case -- in a nanosecond world”</w:t>
      </w:r>
      <w:r>
        <w:br/>
      </w:r>
    </w:p>
    <w:p w14:paraId="4007C0B9" w14:textId="1BB1F373" w:rsidR="0086735A" w:rsidRDefault="00D1223B" w:rsidP="000727EE">
      <w:pPr>
        <w:ind w:left="720"/>
      </w:pPr>
      <w:r>
        <w:t xml:space="preserve">Rec 9: </w:t>
      </w:r>
      <w:r w:rsidR="0086735A">
        <w:t>Automation of SSAD Processing</w:t>
      </w:r>
    </w:p>
    <w:p w14:paraId="3B969A80" w14:textId="77777777" w:rsidR="0086735A" w:rsidRDefault="0086735A" w:rsidP="000727EE">
      <w:pPr>
        <w:ind w:left="720"/>
      </w:pPr>
    </w:p>
    <w:p w14:paraId="1271ADFA" w14:textId="0479469D" w:rsidR="00D1223B" w:rsidRDefault="00D1223B" w:rsidP="000727EE">
      <w:pPr>
        <w:ind w:left="720"/>
      </w:pPr>
      <w:r>
        <w:t>“The pilot indicated that human review is still needed for each review</w:t>
      </w:r>
      <w:r w:rsidR="0086735A">
        <w:t xml:space="preserve">, and that introducing automation would add significant cost and complexity.”  I think both halves of this sentence </w:t>
      </w:r>
      <w:proofErr w:type="gramStart"/>
      <w:r w:rsidR="0086735A">
        <w:t>are</w:t>
      </w:r>
      <w:proofErr w:type="gramEnd"/>
      <w:r w:rsidR="0086735A">
        <w:t xml:space="preserve"> FALSE.</w:t>
      </w:r>
    </w:p>
    <w:p w14:paraId="1FF1B3C1" w14:textId="77777777" w:rsidR="0086735A" w:rsidRDefault="0086735A" w:rsidP="0086735A"/>
    <w:p w14:paraId="3BE52837" w14:textId="06CC2FFD" w:rsidR="0086735A" w:rsidRDefault="0086735A" w:rsidP="000727EE">
      <w:pPr>
        <w:ind w:left="720"/>
      </w:pPr>
      <w:r>
        <w:t>Rec 15: Logging:</w:t>
      </w:r>
    </w:p>
    <w:p w14:paraId="223D5EE9" w14:textId="77777777" w:rsidR="0086735A" w:rsidRDefault="0086735A" w:rsidP="000727EE">
      <w:pPr>
        <w:ind w:left="720"/>
      </w:pPr>
    </w:p>
    <w:p w14:paraId="60695F4B" w14:textId="45979115" w:rsidR="0086735A" w:rsidRDefault="0086735A" w:rsidP="000727EE">
      <w:pPr>
        <w:ind w:left="720"/>
      </w:pPr>
      <w:r>
        <w:t xml:space="preserve">Logs support multiple purposes, e.g. debugging operational problems, auditing conformance with performance metrics, verifying specific requests and responses, and providing data for studying usage and utility.  </w:t>
      </w:r>
      <w:r w:rsidR="00AD6859">
        <w:t>These distinctions are pointed out in the Rationale and need to be considered.  Each has its own implications regarding storage requirements, tools for analysis, privacy protection, retention rules, and adherence to a variety of laws and regulations.</w:t>
      </w:r>
    </w:p>
    <w:p w14:paraId="066F24F2" w14:textId="77777777" w:rsidR="00AD6859" w:rsidRDefault="00AD6859" w:rsidP="000727EE">
      <w:pPr>
        <w:ind w:left="720"/>
      </w:pPr>
    </w:p>
    <w:p w14:paraId="37444E8E" w14:textId="25BCFAFF" w:rsidR="00AD6859" w:rsidRDefault="00AD6859" w:rsidP="000727EE">
      <w:pPr>
        <w:ind w:left="720"/>
      </w:pPr>
      <w:r>
        <w:t>Rec 16: Audits</w:t>
      </w:r>
    </w:p>
    <w:p w14:paraId="365AD906" w14:textId="77777777" w:rsidR="00AD6859" w:rsidRDefault="00AD6859" w:rsidP="000727EE">
      <w:pPr>
        <w:ind w:left="720"/>
      </w:pPr>
    </w:p>
    <w:p w14:paraId="1E8BE435" w14:textId="1E8D1720" w:rsidR="00AD6859" w:rsidRPr="00D1223B" w:rsidRDefault="00AD6859" w:rsidP="000727EE">
      <w:pPr>
        <w:ind w:left="720"/>
      </w:pPr>
      <w:r>
        <w:t>Yes.  Audit all aspects.</w:t>
      </w:r>
    </w:p>
    <w:sectPr w:rsidR="00AD6859" w:rsidRPr="00D1223B" w:rsidSect="003D78C3">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BF458" w14:textId="77777777" w:rsidR="00563E3A" w:rsidRDefault="00563E3A" w:rsidP="00AD6859">
      <w:r>
        <w:separator/>
      </w:r>
    </w:p>
  </w:endnote>
  <w:endnote w:type="continuationSeparator" w:id="0">
    <w:p w14:paraId="4E043D02" w14:textId="77777777" w:rsidR="00563E3A" w:rsidRDefault="00563E3A" w:rsidP="00AD6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5949815"/>
      <w:docPartObj>
        <w:docPartGallery w:val="Page Numbers (Bottom of Page)"/>
        <w:docPartUnique/>
      </w:docPartObj>
    </w:sdtPr>
    <w:sdtContent>
      <w:p w14:paraId="23914F36" w14:textId="2FFBAFEE" w:rsidR="00AD6859" w:rsidRDefault="00AD6859" w:rsidP="00217D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4AF4907" w14:textId="77777777" w:rsidR="00AD6859" w:rsidRDefault="00AD68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1967983"/>
      <w:docPartObj>
        <w:docPartGallery w:val="Page Numbers (Bottom of Page)"/>
        <w:docPartUnique/>
      </w:docPartObj>
    </w:sdtPr>
    <w:sdtContent>
      <w:p w14:paraId="48FB3F5C" w14:textId="20ECCF75" w:rsidR="00AD6859" w:rsidRDefault="00AD6859" w:rsidP="00217D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67B5EABD" w14:textId="77777777" w:rsidR="00AD6859" w:rsidRDefault="00AD6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64A8F" w14:textId="77777777" w:rsidR="00563E3A" w:rsidRDefault="00563E3A" w:rsidP="00AD6859">
      <w:r>
        <w:separator/>
      </w:r>
    </w:p>
  </w:footnote>
  <w:footnote w:type="continuationSeparator" w:id="0">
    <w:p w14:paraId="70E97844" w14:textId="77777777" w:rsidR="00563E3A" w:rsidRDefault="00563E3A" w:rsidP="00AD6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916B6"/>
    <w:multiLevelType w:val="hybridMultilevel"/>
    <w:tmpl w:val="AAE823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F2596C"/>
    <w:multiLevelType w:val="hybridMultilevel"/>
    <w:tmpl w:val="BF02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836210"/>
    <w:multiLevelType w:val="hybridMultilevel"/>
    <w:tmpl w:val="35A686B2"/>
    <w:lvl w:ilvl="0" w:tplc="4276FB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5311543">
    <w:abstractNumId w:val="1"/>
  </w:num>
  <w:num w:numId="2" w16cid:durableId="1954549901">
    <w:abstractNumId w:val="2"/>
  </w:num>
  <w:num w:numId="3" w16cid:durableId="1066300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B7"/>
    <w:rsid w:val="000727EE"/>
    <w:rsid w:val="002341B8"/>
    <w:rsid w:val="002B44A7"/>
    <w:rsid w:val="002C41D1"/>
    <w:rsid w:val="003D78C3"/>
    <w:rsid w:val="00496829"/>
    <w:rsid w:val="004973C0"/>
    <w:rsid w:val="004B5518"/>
    <w:rsid w:val="00531E04"/>
    <w:rsid w:val="00563E3A"/>
    <w:rsid w:val="006A3585"/>
    <w:rsid w:val="006C0025"/>
    <w:rsid w:val="0086735A"/>
    <w:rsid w:val="00942A5B"/>
    <w:rsid w:val="00943178"/>
    <w:rsid w:val="00A74134"/>
    <w:rsid w:val="00AD6859"/>
    <w:rsid w:val="00B917D7"/>
    <w:rsid w:val="00CD47BE"/>
    <w:rsid w:val="00D1223B"/>
    <w:rsid w:val="00DC387C"/>
    <w:rsid w:val="00DC53E2"/>
    <w:rsid w:val="00F31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1345E9"/>
  <w14:defaultImageDpi w14:val="32767"/>
  <w15:chartTrackingRefBased/>
  <w15:docId w15:val="{1065D850-FDFD-1045-9B96-A177EC615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F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1F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1F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1F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1F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1F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1F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F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F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ckerComment">
    <w:name w:val="Crocker Comment"/>
    <w:basedOn w:val="Normal"/>
    <w:qFormat/>
    <w:rsid w:val="00496829"/>
    <w:rPr>
      <w:rFonts w:eastAsiaTheme="minorEastAsia"/>
      <w:color w:val="FF0000"/>
    </w:rPr>
  </w:style>
  <w:style w:type="character" w:customStyle="1" w:styleId="Heading1Char">
    <w:name w:val="Heading 1 Char"/>
    <w:basedOn w:val="DefaultParagraphFont"/>
    <w:link w:val="Heading1"/>
    <w:uiPriority w:val="9"/>
    <w:rsid w:val="00F31F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1F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1F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1F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1F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1F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F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F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FB7"/>
    <w:rPr>
      <w:rFonts w:eastAsiaTheme="majorEastAsia" w:cstheme="majorBidi"/>
      <w:color w:val="272727" w:themeColor="text1" w:themeTint="D8"/>
    </w:rPr>
  </w:style>
  <w:style w:type="paragraph" w:styleId="Title">
    <w:name w:val="Title"/>
    <w:basedOn w:val="Normal"/>
    <w:next w:val="Normal"/>
    <w:link w:val="TitleChar"/>
    <w:uiPriority w:val="10"/>
    <w:qFormat/>
    <w:rsid w:val="00F31F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F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FB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F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FB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1FB7"/>
    <w:rPr>
      <w:i/>
      <w:iCs/>
      <w:color w:val="404040" w:themeColor="text1" w:themeTint="BF"/>
    </w:rPr>
  </w:style>
  <w:style w:type="paragraph" w:styleId="ListParagraph">
    <w:name w:val="List Paragraph"/>
    <w:basedOn w:val="Normal"/>
    <w:uiPriority w:val="34"/>
    <w:qFormat/>
    <w:rsid w:val="00F31FB7"/>
    <w:pPr>
      <w:ind w:left="720"/>
      <w:contextualSpacing/>
    </w:pPr>
  </w:style>
  <w:style w:type="character" w:styleId="IntenseEmphasis">
    <w:name w:val="Intense Emphasis"/>
    <w:basedOn w:val="DefaultParagraphFont"/>
    <w:uiPriority w:val="21"/>
    <w:qFormat/>
    <w:rsid w:val="00F31FB7"/>
    <w:rPr>
      <w:i/>
      <w:iCs/>
      <w:color w:val="0F4761" w:themeColor="accent1" w:themeShade="BF"/>
    </w:rPr>
  </w:style>
  <w:style w:type="paragraph" w:styleId="IntenseQuote">
    <w:name w:val="Intense Quote"/>
    <w:basedOn w:val="Normal"/>
    <w:next w:val="Normal"/>
    <w:link w:val="IntenseQuoteChar"/>
    <w:uiPriority w:val="30"/>
    <w:qFormat/>
    <w:rsid w:val="00F31F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1FB7"/>
    <w:rPr>
      <w:i/>
      <w:iCs/>
      <w:color w:val="0F4761" w:themeColor="accent1" w:themeShade="BF"/>
    </w:rPr>
  </w:style>
  <w:style w:type="character" w:styleId="IntenseReference">
    <w:name w:val="Intense Reference"/>
    <w:basedOn w:val="DefaultParagraphFont"/>
    <w:uiPriority w:val="32"/>
    <w:qFormat/>
    <w:rsid w:val="00F31FB7"/>
    <w:rPr>
      <w:b/>
      <w:bCs/>
      <w:smallCaps/>
      <w:color w:val="0F4761" w:themeColor="accent1" w:themeShade="BF"/>
      <w:spacing w:val="5"/>
    </w:rPr>
  </w:style>
  <w:style w:type="paragraph" w:styleId="NormalWeb">
    <w:name w:val="Normal (Web)"/>
    <w:basedOn w:val="Normal"/>
    <w:uiPriority w:val="99"/>
    <w:semiHidden/>
    <w:unhideWhenUsed/>
    <w:rsid w:val="00F31FB7"/>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F31FB7"/>
    <w:rPr>
      <w:color w:val="0000FF"/>
      <w:u w:val="single"/>
    </w:rPr>
  </w:style>
  <w:style w:type="table" w:styleId="TableGrid">
    <w:name w:val="Table Grid"/>
    <w:basedOn w:val="TableNormal"/>
    <w:uiPriority w:val="39"/>
    <w:rsid w:val="00F31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D6859"/>
    <w:pPr>
      <w:tabs>
        <w:tab w:val="center" w:pos="4680"/>
        <w:tab w:val="right" w:pos="9360"/>
      </w:tabs>
    </w:pPr>
  </w:style>
  <w:style w:type="character" w:customStyle="1" w:styleId="FooterChar">
    <w:name w:val="Footer Char"/>
    <w:basedOn w:val="DefaultParagraphFont"/>
    <w:link w:val="Footer"/>
    <w:uiPriority w:val="99"/>
    <w:rsid w:val="00AD6859"/>
  </w:style>
  <w:style w:type="character" w:styleId="PageNumber">
    <w:name w:val="page number"/>
    <w:basedOn w:val="DefaultParagraphFont"/>
    <w:uiPriority w:val="99"/>
    <w:semiHidden/>
    <w:unhideWhenUsed/>
    <w:rsid w:val="00AD6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13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rldefense.com/v3/__https:/gnso.icann.org/sites/default/files/file/field-file-attach/annex-1-gnso-wg-guidelines-15mar23-en.pdf__;!!PtGJab4!7TZRDe61kFXvVwl3EMbVeWXeMLmd9RP6ajeQ0Ou4A5-nlU0ZAUIycNq74fCD5pZlGUZx4k-FjCFuWdRmGfvl0zwm1NZ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Crocker</dc:creator>
  <cp:keywords/>
  <dc:description/>
  <cp:lastModifiedBy>Steve Crocker</cp:lastModifiedBy>
  <cp:revision>2</cp:revision>
  <dcterms:created xsi:type="dcterms:W3CDTF">2025-08-16T13:19:00Z</dcterms:created>
  <dcterms:modified xsi:type="dcterms:W3CDTF">2025-08-16T13:19:00Z</dcterms:modified>
</cp:coreProperties>
</file>