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41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353"/>
        <w:gridCol w:w="2353"/>
        <w:gridCol w:w="2354"/>
        <w:gridCol w:w="2354"/>
      </w:tblGrid>
      <w:tr>
        <w:tblPrEx>
          <w:shd w:val="clear" w:color="auto" w:fill="cdd4e9"/>
        </w:tblPrEx>
        <w:trPr>
          <w:trHeight w:val="57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Possible uses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Tasks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Users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Data</w:t>
            </w:r>
          </w:p>
        </w:tc>
      </w:tr>
      <w:tr>
        <w:tblPrEx>
          <w:shd w:val="clear" w:color="auto" w:fill="cdd4e9"/>
        </w:tblPrEx>
        <w:trPr>
          <w:trHeight w:val="141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Registration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 xml:space="preserve">Account Creation 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Create registrant id; create domain name; add DNS data for domain name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registrant, registrar, registry, ISP &amp; other operational contacts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domain name, human or organizational identities, name server data, &amp;c.</w:t>
            </w:r>
          </w:p>
        </w:tc>
      </w:tr>
      <w:tr>
        <w:tblPrEx>
          <w:shd w:val="clear" w:color="auto" w:fill="cdd4e9"/>
        </w:tblPrEx>
        <w:trPr>
          <w:trHeight w:val="141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Data Modification Monitoring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watch domain name registration record for changes &amp; correlate with activities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domain name operational contacts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all domain name data</w:t>
            </w:r>
          </w:p>
        </w:tc>
      </w:tr>
      <w:tr>
        <w:tblPrEx>
          <w:shd w:val="clear" w:color="auto" w:fill="cdd4e9"/>
        </w:tblPrEx>
        <w:trPr>
          <w:trHeight w:val="16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keepLines w:val="1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Portfolio Management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commentReference w:id="0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manage set of domain names to keep them under the same administrative control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domain name operational contacts, registrar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domain name(s), contact info.</w:t>
            </w:r>
          </w:p>
        </w:tc>
      </w:tr>
      <w:tr>
        <w:tblPrEx>
          <w:shd w:val="clear" w:color="auto" w:fill="cdd4e9"/>
        </w:tblPrEx>
        <w:trPr>
          <w:trHeight w:val="85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Transfer Initiation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 don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 think this needs the RDS at all.  Why?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7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Deletions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Check registration database for status/existence of name when DNS does not work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anyone attempting to interact with domain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existence of domain name in registration database, status (e.g. pendingDelete, Hold)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>Domain Name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DNS Updates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Renewals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“</w:t>
            </w:r>
          </w:p>
        </w:tc>
      </w:tr>
      <w:tr>
        <w:tblPrEx>
          <w:shd w:val="clear" w:color="auto" w:fill="cdd4e9"/>
        </w:tblPrEx>
        <w:trPr>
          <w:trHeight w:val="113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 xml:space="preserve">Domain Name </w:t>
            </w:r>
            <w:r>
              <w:rPr>
                <w:sz w:val="20"/>
                <w:szCs w:val="20"/>
                <w:lang w:val="en-US"/>
              </w:rPr>
              <w:br w:type="textWrapping"/>
            </w:r>
            <w:r>
              <w:rPr>
                <w:sz w:val="20"/>
                <w:szCs w:val="20"/>
                <w:rtl w:val="0"/>
                <w:lang w:val="en-US"/>
              </w:rPr>
              <w:t>Contact Validation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Check contact information for ICANN policy conformance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registrar &amp; ICANN compliance staff (?anyone else?)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All contact data associated with a domain.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1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>Real World Contact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(are these offset from the others for a special reason?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Contact the operator of a domain name in order to address technical operations issues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Anyone operating infrastructure on the Internet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Some contact info for at least technical contact: email, probably phone.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rtl w:val="0"/>
                <w:lang w:val="en-US"/>
              </w:rPr>
              <w:t>Consumer Protection</w:t>
            </w:r>
          </w:p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 clue.</w:t>
            </w:r>
          </w:p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center"/>
      </w:pPr>
      <w:r>
        <w:rPr>
          <w:rtl w:val="0"/>
          <w:lang w:val="de-DE"/>
        </w:rPr>
        <w:t>Domain Name Control</w:t>
      </w:r>
    </w:p>
    <w:p>
      <w:pPr>
        <w:pStyle w:val="Body"/>
        <w:jc w:val="center"/>
      </w:pPr>
      <w:r>
        <w:rPr>
          <w:rtl w:val="0"/>
          <w:lang w:val="en-US"/>
        </w:rPr>
        <w:t>Individual Internet User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andrew sullivan" w:date="2017-10-23T17:22:08Z">
    <w:p w14:paraId="1111FFFF">
      <w:pPr>
        <w:pStyle w:val="Default"/>
        <w:bidi w:val="0"/>
      </w:pPr>
    </w:p>
    <w:p w14:paraId="11120000">
      <w:pPr>
        <w:pStyle w:val="Default"/>
        <w:bidi w:val="0"/>
      </w:pPr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m not sure why this isn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 xml:space="preserve">t an SRS problem.  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