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B2A5D" w14:textId="6F6D6E8C" w:rsidR="00A65294" w:rsidRDefault="00595C25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B36">
        <w:rPr>
          <w:rFonts w:ascii="Times New Roman" w:eastAsia="Times New Roman" w:hAnsi="Times New Roman" w:cs="Times New Roman"/>
          <w:b/>
          <w:bCs/>
          <w:sz w:val="24"/>
          <w:szCs w:val="24"/>
        </w:rPr>
        <w:t>ACTION ITEM: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Drafting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 team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r w:rsidR="005818A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 to engage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call(s) and 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email discussion over the next 2-3 weeks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flesh out </w:t>
      </w:r>
      <w:r w:rsidR="002216E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proposed definition for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eastAsia="Times New Roman" w:hAnsi="Times New Roman" w:cs="Times New Roman"/>
          <w:sz w:val="24"/>
          <w:szCs w:val="24"/>
        </w:rPr>
        <w:t>RDS purpose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26E5AD" w14:textId="0741D7DD" w:rsidR="005818AC" w:rsidRDefault="005818AC" w:rsidP="005818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Strong"/>
        </w:rPr>
        <w:t>Business Domain Name Purchase/Sale</w:t>
      </w:r>
    </w:p>
    <w:p w14:paraId="614B0D61" w14:textId="2545F12B" w:rsidR="00595C25" w:rsidRDefault="00595C25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AC8">
        <w:rPr>
          <w:rFonts w:ascii="Times New Roman" w:eastAsia="Times New Roman" w:hAnsi="Times New Roman" w:cs="Times New Roman"/>
          <w:b/>
          <w:sz w:val="24"/>
          <w:szCs w:val="24"/>
        </w:rPr>
        <w:t xml:space="preserve">OUTPUT: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To enable better understanding of existing purpose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for WHOIS data, 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rafting team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04369B" w:rsidRPr="00435F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max </w:t>
      </w:r>
      <w:r w:rsidR="00B4171E" w:rsidRPr="00435F71">
        <w:rPr>
          <w:rFonts w:ascii="Times New Roman" w:eastAsia="Times New Roman" w:hAnsi="Times New Roman" w:cs="Times New Roman"/>
          <w:sz w:val="24"/>
          <w:szCs w:val="24"/>
          <w:u w:val="single"/>
        </w:rPr>
        <w:t>7 people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Pr="00435F71">
        <w:rPr>
          <w:rFonts w:ascii="Times New Roman" w:eastAsia="Times New Roman" w:hAnsi="Times New Roman" w:cs="Times New Roman"/>
          <w:sz w:val="24"/>
          <w:szCs w:val="24"/>
          <w:u w:val="single"/>
        </w:rPr>
        <w:t>diverse points of view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chosen to define each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 xml:space="preserve">identified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purpose.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Each drafting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team should discuss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tasks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supported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purpose, the parties involved in the purpose, and the data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often 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fulfill that purpose.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Ideally, this information should be captured in a ~2 page definition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purpose</w:t>
      </w:r>
      <w:r w:rsidR="0004369B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69B">
        <w:rPr>
          <w:rFonts w:ascii="Times New Roman" w:eastAsia="Times New Roman" w:hAnsi="Times New Roman" w:cs="Times New Roman"/>
          <w:sz w:val="24"/>
          <w:szCs w:val="24"/>
        </w:rPr>
        <w:t>fleshing out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the template given below.</w:t>
      </w:r>
    </w:p>
    <w:p w14:paraId="174D3029" w14:textId="77777777" w:rsidR="00595C25" w:rsidRPr="00126B36" w:rsidRDefault="00B4171E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04369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assumption</w:t>
      </w:r>
      <w:r w:rsidR="00595C25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drafting team members</w:t>
      </w:r>
      <w:r w:rsidR="00595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believe the purpose should or should not be legitimate. Rather, the team should focus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helping the full WG understand what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assigned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purpose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, the role that gTLD registration data plays in that purpose,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that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request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WHOIS data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 xml:space="preserve">today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for that purpose. It is hoped that fleshing out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definition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this manner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foster communication and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help the WG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informed discussion about </w:t>
      </w:r>
      <w:r>
        <w:rPr>
          <w:rFonts w:ascii="Times New Roman" w:eastAsia="Times New Roman" w:hAnsi="Times New Roman" w:cs="Times New Roman"/>
          <w:sz w:val="24"/>
          <w:szCs w:val="24"/>
        </w:rPr>
        <w:t>all identified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purpose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before trying to forge further agreements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legitimacy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, collection &amp; access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3D5A48" w14:textId="77777777" w:rsidR="008175A9" w:rsidRDefault="008175A9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INPUTS: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75A9">
        <w:rPr>
          <w:rFonts w:ascii="Times New Roman" w:eastAsia="Times New Roman" w:hAnsi="Times New Roman" w:cs="Times New Roman"/>
          <w:sz w:val="24"/>
          <w:szCs w:val="24"/>
        </w:rPr>
        <w:t xml:space="preserve">eams are asked to consider the following </w:t>
      </w:r>
      <w:r>
        <w:rPr>
          <w:rFonts w:ascii="Times New Roman" w:eastAsia="Times New Roman" w:hAnsi="Times New Roman" w:cs="Times New Roman"/>
          <w:sz w:val="24"/>
          <w:szCs w:val="24"/>
        </w:rPr>
        <w:t>(at minimum)</w:t>
      </w:r>
      <w:r w:rsidRPr="00817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input to definitions</w:t>
      </w:r>
      <w:r w:rsidRPr="008175A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BD3746" w14:textId="77D7532D" w:rsidR="008175A9" w:rsidRPr="00A610C7" w:rsidRDefault="008175A9" w:rsidP="008175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28">
        <w:rPr>
          <w:rFonts w:ascii="Times New Roman" w:eastAsia="Times New Roman" w:hAnsi="Times New Roman" w:cs="Times New Roman"/>
          <w:sz w:val="24"/>
          <w:szCs w:val="24"/>
        </w:rPr>
        <w:t xml:space="preserve">RDS PDP WG agreements in </w:t>
      </w:r>
      <w:hyperlink r:id="rId8" w:history="1">
        <w:r w:rsidRPr="00D17428">
          <w:rPr>
            <w:rStyle w:val="Hyperlink"/>
            <w:rFonts w:ascii="Times New Roman" w:hAnsi="Times New Roman" w:cs="Times New Roman"/>
            <w:color w:val="3B73AF"/>
            <w:sz w:val="24"/>
            <w:szCs w:val="24"/>
            <w:shd w:val="clear" w:color="auto" w:fill="FFFFFF"/>
          </w:rPr>
          <w:t>KeyConceptsDeliberation-WorkingDraft.</w:t>
        </w:r>
        <w:r w:rsidR="00A610C7">
          <w:rPr>
            <w:rStyle w:val="Hyperlink"/>
            <w:rFonts w:ascii="Times New Roman" w:hAnsi="Times New Roman" w:cs="Times New Roman"/>
            <w:color w:val="3B73AF"/>
            <w:sz w:val="24"/>
            <w:szCs w:val="24"/>
            <w:shd w:val="clear" w:color="auto" w:fill="FFFFFF"/>
          </w:rPr>
          <w:t>PDF</w:t>
        </w:r>
      </w:hyperlink>
      <w:r w:rsidRPr="00D174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and </w:t>
      </w:r>
      <w:hyperlink r:id="rId9" w:history="1">
        <w:r w:rsidRPr="00D17428">
          <w:rPr>
            <w:rStyle w:val="Hyperlink"/>
            <w:rFonts w:ascii="Times New Roman" w:hAnsi="Times New Roman" w:cs="Times New Roman"/>
            <w:color w:val="3B73AF"/>
            <w:sz w:val="24"/>
            <w:szCs w:val="24"/>
            <w:shd w:val="clear" w:color="auto" w:fill="FFFFFF"/>
          </w:rPr>
          <w:t>DOC</w:t>
        </w:r>
      </w:hyperlink>
      <w:r w:rsidR="009D41B8">
        <w:rPr>
          <w:rStyle w:val="Hyperlink"/>
          <w:rFonts w:ascii="Times New Roman" w:hAnsi="Times New Roman" w:cs="Times New Roman"/>
          <w:color w:val="3B73AF"/>
          <w:sz w:val="24"/>
          <w:szCs w:val="24"/>
          <w:shd w:val="clear" w:color="auto" w:fill="FFFFFF"/>
        </w:rPr>
        <w:br/>
      </w:r>
      <w:r w:rsidR="009D41B8" w:rsidRPr="00A610C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(also listed in summary form here: </w:t>
      </w:r>
      <w:hyperlink r:id="rId10" w:history="1">
        <w:r w:rsidR="009D41B8" w:rsidRPr="00A610C7">
          <w:rPr>
            <w:rStyle w:val="Hyperlink"/>
            <w:rFonts w:ascii="Times New Roman" w:hAnsi="Times New Roman" w:cs="Times New Roman"/>
            <w:color w:val="3B73AF"/>
            <w:sz w:val="24"/>
            <w:szCs w:val="24"/>
            <w:u w:val="none"/>
            <w:shd w:val="clear" w:color="auto" w:fill="FFFFFF"/>
          </w:rPr>
          <w:t>List of WG Agreements to Date</w:t>
        </w:r>
      </w:hyperlink>
      <w:r w:rsidR="009D41B8" w:rsidRPr="00A610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D41B8" w:rsidRPr="00A610C7">
        <w:rPr>
          <w:rFonts w:ascii="Times New Roman" w:eastAsia="Times New Roman" w:hAnsi="Times New Roman" w:cs="Times New Roman"/>
          <w:sz w:val="24"/>
          <w:szCs w:val="24"/>
        </w:rPr>
        <w:t>as of 3 October 2017</w:t>
      </w:r>
      <w:r w:rsidR="009D41B8" w:rsidRPr="00A610C7">
        <w:rPr>
          <w:rFonts w:eastAsia="Times New Roman"/>
        </w:rPr>
        <w:t>)</w:t>
      </w:r>
    </w:p>
    <w:p w14:paraId="10FE5E56" w14:textId="77777777" w:rsidR="008175A9" w:rsidRPr="00D17428" w:rsidRDefault="008175A9" w:rsidP="008175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28">
        <w:rPr>
          <w:rFonts w:ascii="Times New Roman" w:eastAsia="Times New Roman" w:hAnsi="Times New Roman" w:cs="Times New Roman"/>
          <w:sz w:val="24"/>
          <w:szCs w:val="24"/>
        </w:rPr>
        <w:t xml:space="preserve">Section 3 and Annex C of </w:t>
      </w:r>
      <w:hyperlink r:id="rId11" w:history="1">
        <w:r w:rsidRPr="00D17428">
          <w:rPr>
            <w:rStyle w:val="Hyperlink"/>
            <w:rFonts w:ascii="Times New Roman" w:hAnsi="Times New Roman" w:cs="Times New Roman"/>
            <w:color w:val="3B73AF"/>
            <w:sz w:val="24"/>
            <w:szCs w:val="24"/>
            <w:shd w:val="clear" w:color="auto" w:fill="FFFFFF"/>
          </w:rPr>
          <w:t>EWG Recommendations for a Next-Generation RDS</w:t>
        </w:r>
      </w:hyperlink>
    </w:p>
    <w:p w14:paraId="0975BDEC" w14:textId="77396273" w:rsidR="008175A9" w:rsidRPr="00A65294" w:rsidRDefault="008175A9" w:rsidP="00D174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2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The </w:t>
      </w:r>
      <w:hyperlink r:id="rId12" w:history="1">
        <w:r w:rsidRPr="00D17428">
          <w:rPr>
            <w:rStyle w:val="Hyperlink"/>
            <w:rFonts w:ascii="Times New Roman" w:hAnsi="Times New Roman" w:cs="Times New Roman"/>
            <w:bCs/>
            <w:color w:val="3B73AF"/>
            <w:sz w:val="24"/>
            <w:szCs w:val="24"/>
            <w:shd w:val="clear" w:color="auto" w:fill="FFFFFF"/>
          </w:rPr>
          <w:t>representative set of example use cases</w:t>
        </w:r>
      </w:hyperlink>
      <w:r w:rsidRPr="00D174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developed by the RDS PDP WG</w:t>
      </w:r>
    </w:p>
    <w:p w14:paraId="4E8A7F75" w14:textId="7CCC431E" w:rsidR="00A65294" w:rsidRPr="00A65294" w:rsidRDefault="00A65294" w:rsidP="00D174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529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Note: For easy reference, several excerpts relevant to your 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team’s</w:t>
      </w:r>
      <w:r w:rsidRPr="00A6529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purposes are attached</w:t>
      </w:r>
    </w:p>
    <w:p w14:paraId="0503AE73" w14:textId="506DDD8A" w:rsidR="00B4171E" w:rsidRDefault="00595C25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B36">
        <w:rPr>
          <w:rFonts w:ascii="Times New Roman" w:eastAsia="Times New Roman" w:hAnsi="Times New Roman" w:cs="Times New Roman"/>
          <w:b/>
          <w:sz w:val="24"/>
          <w:szCs w:val="24"/>
        </w:rPr>
        <w:t>TIMELINE:</w:t>
      </w:r>
      <w:r w:rsidRPr="00B4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71E" w:rsidRPr="00B4171E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WG members interested in participating in a drafting team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were asked to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respon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d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poll by COB Wednesday 11 October. Volunteers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assigned to teams on Thursday 12 October, allowing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to start on Friday 13 October. Drafting teams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asked to discuss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ir assigned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purpose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phone and </w:t>
      </w: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the weeks of 16 and 23 October in lieu of regularly scheduled WG calls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Draft purpose definitions are to be submitted to the full WG mailing list </w:t>
      </w:r>
      <w:r w:rsidR="00B4171E" w:rsidRPr="00B4171E">
        <w:rPr>
          <w:rFonts w:ascii="Times New Roman" w:eastAsia="Times New Roman" w:hAnsi="Times New Roman" w:cs="Times New Roman"/>
          <w:sz w:val="24"/>
          <w:szCs w:val="24"/>
          <w:u w:val="single"/>
        </w:rPr>
        <w:t>no later than 26 October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for discussion during the WG’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s F2F meetings at ICANN60.</w:t>
      </w:r>
    </w:p>
    <w:p w14:paraId="52118A34" w14:textId="77777777" w:rsidR="00AD54D2" w:rsidRPr="00AD54D2" w:rsidRDefault="00AD54D2" w:rsidP="00AD54D2">
      <w:pPr>
        <w:pStyle w:val="NoSpacing"/>
        <w:rPr>
          <w:rFonts w:ascii="Times New Roman" w:hAnsi="Times New Roman" w:cs="Times New Roman"/>
        </w:rPr>
      </w:pPr>
      <w:r w:rsidRPr="00AD54D2">
        <w:rPr>
          <w:rFonts w:ascii="Times New Roman" w:hAnsi="Times New Roman" w:cs="Times New Roman"/>
        </w:rPr>
        <w:t>Mailing list address: </w:t>
      </w:r>
      <w:hyperlink r:id="rId13" w:history="1">
        <w:r w:rsidRPr="00AD54D2">
          <w:rPr>
            <w:rStyle w:val="Hyperlink"/>
            <w:rFonts w:ascii="Times New Roman" w:hAnsi="Times New Roman" w:cs="Times New Roman"/>
          </w:rPr>
          <w:t>gnso-rds-pdp-4@icann.org</w:t>
        </w:r>
      </w:hyperlink>
      <w:r w:rsidRPr="00AD54D2">
        <w:rPr>
          <w:rFonts w:ascii="Times New Roman" w:hAnsi="Times New Roman" w:cs="Times New Roman"/>
        </w:rPr>
        <w:t> </w:t>
      </w:r>
    </w:p>
    <w:p w14:paraId="05EFD01A" w14:textId="2E8827CE" w:rsidR="00AD54D2" w:rsidRPr="00AD54D2" w:rsidRDefault="00AD54D2" w:rsidP="00AD54D2">
      <w:pPr>
        <w:pStyle w:val="NoSpacing"/>
        <w:rPr>
          <w:rFonts w:ascii="Times New Roman" w:hAnsi="Times New Roman" w:cs="Times New Roman"/>
        </w:rPr>
      </w:pPr>
      <w:r w:rsidRPr="00AD54D2">
        <w:rPr>
          <w:rFonts w:ascii="Times New Roman" w:hAnsi="Times New Roman" w:cs="Times New Roman"/>
        </w:rPr>
        <w:t>Mailing list archive: </w:t>
      </w:r>
      <w:r w:rsidR="0025386B">
        <w:fldChar w:fldCharType="begin"/>
      </w:r>
      <w:r w:rsidR="00C30271">
        <w:instrText>HYPERLINK "http://mm.icann.org/pipermail/gnso-rds-pdp-4/"</w:instrText>
      </w:r>
      <w:r w:rsidR="0025386B">
        <w:fldChar w:fldCharType="separate"/>
      </w:r>
      <w:r w:rsidRPr="00AD54D2">
        <w:rPr>
          <w:rStyle w:val="Hyperlink"/>
          <w:rFonts w:ascii="Times New Roman" w:hAnsi="Times New Roman" w:cs="Times New Roman"/>
        </w:rPr>
        <w:t>http://mm.icann.org/pipermail/gnso-rds-pdp-4/</w:t>
      </w:r>
      <w:r w:rsidR="0025386B">
        <w:rPr>
          <w:rStyle w:val="Hyperlink"/>
          <w:rFonts w:ascii="Times New Roman" w:hAnsi="Times New Roman" w:cs="Times New Roman"/>
        </w:rPr>
        <w:fldChar w:fldCharType="end"/>
      </w:r>
      <w:bookmarkStart w:id="0" w:name="_GoBack"/>
      <w:bookmarkEnd w:id="0"/>
    </w:p>
    <w:p w14:paraId="5C0F20E7" w14:textId="77777777" w:rsidR="00AD54D2" w:rsidRDefault="00AD54D2" w:rsidP="00AD54D2">
      <w:pPr>
        <w:pStyle w:val="NoSpacing"/>
        <w:rPr>
          <w:rFonts w:ascii="Times New Roman" w:hAnsi="Times New Roman" w:cs="Times New Roman"/>
        </w:rPr>
      </w:pPr>
      <w:r w:rsidRPr="00AD54D2">
        <w:rPr>
          <w:rFonts w:ascii="Times New Roman" w:hAnsi="Times New Roman" w:cs="Times New Roman"/>
        </w:rPr>
        <w:t>Coordinated by: Lisa Phifer</w:t>
      </w:r>
    </w:p>
    <w:p w14:paraId="7B4D4156" w14:textId="02D26B12" w:rsidR="004E3368" w:rsidRPr="00AD54D2" w:rsidRDefault="004E3368" w:rsidP="00AD54D2">
      <w:pPr>
        <w:pStyle w:val="NoSpacing"/>
        <w:rPr>
          <w:rFonts w:ascii="Times New Roman" w:hAnsi="Times New Roman" w:cs="Times New Roman"/>
        </w:rPr>
      </w:pPr>
      <w:proofErr w:type="spellStart"/>
      <w:r w:rsidRPr="004E3368">
        <w:rPr>
          <w:rFonts w:ascii="Times New Roman" w:hAnsi="Times New Roman" w:cs="Times New Roman"/>
        </w:rPr>
        <w:t>Members</w:t>
      </w:r>
      <w:proofErr w:type="gramStart"/>
      <w:r w:rsidRPr="004E3368">
        <w:rPr>
          <w:rFonts w:ascii="Times New Roman" w:hAnsi="Times New Roman" w:cs="Times New Roman"/>
        </w:rPr>
        <w:t>:Rob</w:t>
      </w:r>
      <w:proofErr w:type="spellEnd"/>
      <w:proofErr w:type="gramEnd"/>
      <w:r w:rsidRPr="004E3368">
        <w:rPr>
          <w:rFonts w:ascii="Times New Roman" w:hAnsi="Times New Roman" w:cs="Times New Roman"/>
        </w:rPr>
        <w:t xml:space="preserve"> Golding, </w:t>
      </w:r>
      <w:proofErr w:type="spellStart"/>
      <w:r w:rsidRPr="004E3368">
        <w:rPr>
          <w:rFonts w:ascii="Times New Roman" w:hAnsi="Times New Roman" w:cs="Times New Roman"/>
        </w:rPr>
        <w:t>Fabricio</w:t>
      </w:r>
      <w:proofErr w:type="spellEnd"/>
      <w:r w:rsidRPr="004E3368">
        <w:rPr>
          <w:rFonts w:ascii="Times New Roman" w:hAnsi="Times New Roman" w:cs="Times New Roman"/>
        </w:rPr>
        <w:t xml:space="preserve"> </w:t>
      </w:r>
      <w:proofErr w:type="spellStart"/>
      <w:r w:rsidRPr="004E3368">
        <w:rPr>
          <w:rFonts w:ascii="Times New Roman" w:hAnsi="Times New Roman" w:cs="Times New Roman"/>
        </w:rPr>
        <w:t>Vayra</w:t>
      </w:r>
      <w:proofErr w:type="spellEnd"/>
      <w:r w:rsidRPr="004E3368">
        <w:rPr>
          <w:rFonts w:ascii="Times New Roman" w:hAnsi="Times New Roman" w:cs="Times New Roman"/>
        </w:rPr>
        <w:t xml:space="preserve">, Sam </w:t>
      </w:r>
      <w:proofErr w:type="spellStart"/>
      <w:r w:rsidRPr="004E3368">
        <w:rPr>
          <w:rFonts w:ascii="Times New Roman" w:hAnsi="Times New Roman" w:cs="Times New Roman"/>
        </w:rPr>
        <w:t>Lanfranco</w:t>
      </w:r>
      <w:proofErr w:type="spellEnd"/>
      <w:r w:rsidRPr="004E3368">
        <w:rPr>
          <w:rFonts w:ascii="Times New Roman" w:hAnsi="Times New Roman" w:cs="Times New Roman"/>
        </w:rPr>
        <w:t xml:space="preserve">, Brian </w:t>
      </w:r>
      <w:proofErr w:type="spellStart"/>
      <w:r w:rsidRPr="004E3368">
        <w:rPr>
          <w:rFonts w:ascii="Times New Roman" w:hAnsi="Times New Roman" w:cs="Times New Roman"/>
        </w:rPr>
        <w:t>Scarpelli</w:t>
      </w:r>
      <w:proofErr w:type="spellEnd"/>
      <w:r w:rsidRPr="004E3368">
        <w:rPr>
          <w:rFonts w:ascii="Times New Roman" w:hAnsi="Times New Roman" w:cs="Times New Roman"/>
        </w:rPr>
        <w:t xml:space="preserve">, Benjamin </w:t>
      </w:r>
      <w:proofErr w:type="spellStart"/>
      <w:r w:rsidRPr="004E3368">
        <w:rPr>
          <w:rFonts w:ascii="Times New Roman" w:hAnsi="Times New Roman" w:cs="Times New Roman"/>
        </w:rPr>
        <w:t>Akinmoyeje</w:t>
      </w:r>
      <w:proofErr w:type="spellEnd"/>
      <w:r w:rsidRPr="004E3368">
        <w:rPr>
          <w:rFonts w:ascii="Times New Roman" w:hAnsi="Times New Roman" w:cs="Times New Roman"/>
        </w:rPr>
        <w:t xml:space="preserve">, Erica </w:t>
      </w:r>
      <w:proofErr w:type="spellStart"/>
      <w:r w:rsidRPr="004E3368">
        <w:rPr>
          <w:rFonts w:ascii="Times New Roman" w:hAnsi="Times New Roman" w:cs="Times New Roman"/>
        </w:rPr>
        <w:t>Varlese</w:t>
      </w:r>
      <w:proofErr w:type="spellEnd"/>
    </w:p>
    <w:p w14:paraId="6D0D2A8E" w14:textId="77777777" w:rsidR="00AD54D2" w:rsidRDefault="00AD54D2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27B3E" w14:textId="77777777" w:rsidR="00A65294" w:rsidRDefault="00A6529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9482F97" w14:textId="21D8DE3C" w:rsidR="00A17691" w:rsidRPr="00D17428" w:rsidRDefault="008175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4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TEMPLATE:</w:t>
      </w:r>
    </w:p>
    <w:p w14:paraId="6156AE70" w14:textId="4DD23746" w:rsidR="00D17428" w:rsidRDefault="00D17428">
      <w:pPr>
        <w:rPr>
          <w:rFonts w:ascii="Times New Roman" w:eastAsia="Times New Roman" w:hAnsi="Times New Roman" w:cs="Times New Roman"/>
          <w:sz w:val="24"/>
          <w:szCs w:val="24"/>
        </w:rPr>
      </w:pPr>
      <w:r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Purpose 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18AC">
        <w:rPr>
          <w:rStyle w:val="Strong"/>
        </w:rPr>
        <w:t>Business Domain Name Purchase/Sale</w:t>
      </w:r>
    </w:p>
    <w:p w14:paraId="556EDED2" w14:textId="77777777" w:rsidR="00DB333F" w:rsidRDefault="00D17428">
      <w:pPr>
        <w:rPr>
          <w:rFonts w:ascii="Times New Roman" w:eastAsia="Times New Roman" w:hAnsi="Times New Roman" w:cs="Times New Roman"/>
          <w:sz w:val="24"/>
          <w:szCs w:val="24"/>
        </w:rPr>
      </w:pPr>
      <w:r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Definition: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Describe the purpose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 xml:space="preserve">succinctly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one paragraph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>, identifying who, what, and why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 xml:space="preserve"> (e.g.,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>this purpose makes it possible for X to contact Y to resolve problems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 xml:space="preserve"> associated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with Z.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38D80D" w14:textId="4BF0EF63" w:rsidR="00A65294" w:rsidRPr="00B46676" w:rsidRDefault="00A65294" w:rsidP="00B46676">
      <w:pPr>
        <w:jc w:val="center"/>
        <w:rPr>
          <w:rFonts w:eastAsia="Times New Roman" w:cs="Times New Roman"/>
          <w:sz w:val="20"/>
          <w:szCs w:val="20"/>
        </w:rPr>
      </w:pPr>
      <w:r w:rsidRPr="00B46676">
        <w:rPr>
          <w:rFonts w:eastAsia="Times New Roman" w:cs="Times New Roman"/>
          <w:color w:val="C00000"/>
          <w:sz w:val="20"/>
          <w:szCs w:val="20"/>
        </w:rPr>
        <w:t>For easy reference, below is an excerpt from the EWG Final Report: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602"/>
        <w:gridCol w:w="2214"/>
        <w:gridCol w:w="3943"/>
      </w:tblGrid>
      <w:tr w:rsidR="00A65294" w:rsidRPr="00F3309B" w14:paraId="48D03454" w14:textId="77777777" w:rsidTr="00B46676">
        <w:trPr>
          <w:cantSplit/>
          <w:tblHeader/>
        </w:trPr>
        <w:tc>
          <w:tcPr>
            <w:tcW w:w="1439" w:type="dxa"/>
            <w:tcBorders>
              <w:bottom w:val="single" w:sz="4" w:space="0" w:color="auto"/>
            </w:tcBorders>
            <w:shd w:val="clear" w:color="auto" w:fill="C0504D"/>
          </w:tcPr>
          <w:p w14:paraId="5C7ECF77" w14:textId="77777777" w:rsidR="00A65294" w:rsidRPr="00F3309B" w:rsidRDefault="00A65294" w:rsidP="005D4BC8">
            <w:pPr>
              <w:keepNext/>
              <w:spacing w:line="240" w:lineRule="auto"/>
              <w:rPr>
                <w:rFonts w:cs="Arial"/>
                <w:b/>
                <w:color w:val="FFFFFF"/>
                <w:sz w:val="20"/>
              </w:rPr>
            </w:pPr>
            <w:r w:rsidRPr="00F3309B">
              <w:rPr>
                <w:rFonts w:cs="Arial"/>
                <w:b/>
                <w:color w:val="FFFFFF"/>
                <w:sz w:val="20"/>
              </w:rPr>
              <w:t>User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C0504D"/>
          </w:tcPr>
          <w:p w14:paraId="07E9E179" w14:textId="77777777" w:rsidR="00A65294" w:rsidRPr="00F3309B" w:rsidRDefault="00A65294" w:rsidP="005D4BC8">
            <w:pPr>
              <w:spacing w:line="240" w:lineRule="auto"/>
              <w:rPr>
                <w:rFonts w:cs="Arial"/>
                <w:b/>
                <w:color w:val="FFFFFF"/>
                <w:sz w:val="20"/>
              </w:rPr>
            </w:pPr>
            <w:r w:rsidRPr="00F3309B">
              <w:rPr>
                <w:rFonts w:cs="Arial"/>
                <w:b/>
                <w:color w:val="FFFFFF"/>
                <w:sz w:val="20"/>
              </w:rPr>
              <w:t>Purpose</w:t>
            </w:r>
          </w:p>
        </w:tc>
        <w:tc>
          <w:tcPr>
            <w:tcW w:w="2214" w:type="dxa"/>
            <w:shd w:val="clear" w:color="auto" w:fill="C0504D"/>
          </w:tcPr>
          <w:p w14:paraId="327B9F3F" w14:textId="77777777" w:rsidR="00A65294" w:rsidRPr="00F3309B" w:rsidRDefault="00A65294" w:rsidP="005D4BC8">
            <w:pPr>
              <w:spacing w:line="240" w:lineRule="auto"/>
              <w:rPr>
                <w:rFonts w:cs="Arial"/>
                <w:b/>
                <w:color w:val="FFFFFF"/>
                <w:sz w:val="20"/>
              </w:rPr>
            </w:pPr>
            <w:r w:rsidRPr="00F3309B">
              <w:rPr>
                <w:rFonts w:cs="Arial"/>
                <w:b/>
                <w:color w:val="FFFFFF"/>
                <w:sz w:val="20"/>
              </w:rPr>
              <w:t>Example Use Cases</w:t>
            </w:r>
          </w:p>
        </w:tc>
        <w:tc>
          <w:tcPr>
            <w:tcW w:w="3943" w:type="dxa"/>
            <w:shd w:val="clear" w:color="auto" w:fill="C0504D"/>
          </w:tcPr>
          <w:p w14:paraId="4B9907E2" w14:textId="77777777" w:rsidR="00A65294" w:rsidRPr="00F3309B" w:rsidRDefault="00A65294" w:rsidP="005D4BC8">
            <w:pPr>
              <w:spacing w:line="240" w:lineRule="auto"/>
              <w:rPr>
                <w:rFonts w:cs="Arial"/>
                <w:b/>
                <w:color w:val="FFFFFF"/>
                <w:sz w:val="20"/>
              </w:rPr>
            </w:pPr>
            <w:r w:rsidRPr="00F3309B">
              <w:rPr>
                <w:rFonts w:cs="Arial"/>
                <w:b/>
                <w:color w:val="FFFFFF"/>
                <w:sz w:val="20"/>
              </w:rPr>
              <w:t>Rationale for registration data access</w:t>
            </w:r>
          </w:p>
        </w:tc>
      </w:tr>
      <w:tr w:rsidR="005818AC" w:rsidRPr="00F3309B" w14:paraId="44DE96F2" w14:textId="77777777" w:rsidTr="005818AC">
        <w:trPr>
          <w:trHeight w:val="284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24B7075" w14:textId="77777777" w:rsidR="005818AC" w:rsidRPr="00F3309B" w:rsidRDefault="005818AC" w:rsidP="005D4BC8">
            <w:pPr>
              <w:spacing w:line="240" w:lineRule="auto"/>
              <w:rPr>
                <w:b/>
                <w:sz w:val="20"/>
              </w:rPr>
            </w:pPr>
            <w:r w:rsidRPr="00F3309B">
              <w:rPr>
                <w:b/>
                <w:sz w:val="20"/>
              </w:rPr>
              <w:t xml:space="preserve">Business Internet </w:t>
            </w:r>
            <w:r w:rsidRPr="00F3309B">
              <w:rPr>
                <w:b/>
                <w:sz w:val="20"/>
              </w:rPr>
              <w:br/>
              <w:t>Users</w:t>
            </w:r>
          </w:p>
          <w:p w14:paraId="2325E1A4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 xml:space="preserve">(e.g., brand holders, brokers, agents) 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F4E1FB4" w14:textId="77777777" w:rsidR="005818AC" w:rsidRPr="00F3309B" w:rsidRDefault="005818AC" w:rsidP="005D4BC8">
            <w:pPr>
              <w:spacing w:line="240" w:lineRule="auto"/>
              <w:rPr>
                <w:rFonts w:cs="Arial"/>
                <w:sz w:val="20"/>
              </w:rPr>
            </w:pPr>
            <w:r w:rsidRPr="00F3309B">
              <w:rPr>
                <w:rFonts w:cs="Arial"/>
                <w:sz w:val="20"/>
              </w:rPr>
              <w:t xml:space="preserve">Business </w:t>
            </w:r>
            <w:r w:rsidRPr="00F3309B">
              <w:rPr>
                <w:rFonts w:cs="Arial"/>
                <w:sz w:val="20"/>
              </w:rPr>
              <w:br/>
              <w:t>Domain Name Purchase or Sale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73232609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 xml:space="preserve">Domain Name </w:t>
            </w:r>
            <w:r w:rsidRPr="00F3309B">
              <w:rPr>
                <w:sz w:val="20"/>
              </w:rPr>
              <w:br/>
              <w:t>Brokered Sale</w:t>
            </w:r>
          </w:p>
        </w:tc>
        <w:tc>
          <w:tcPr>
            <w:tcW w:w="3943" w:type="dxa"/>
            <w:tcBorders>
              <w:top w:val="single" w:sz="4" w:space="0" w:color="auto"/>
            </w:tcBorders>
            <w:shd w:val="clear" w:color="auto" w:fill="F2F2F2"/>
          </w:tcPr>
          <w:p w14:paraId="26772BF8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>Enable due diligence in connection with purchasing a domain name</w:t>
            </w:r>
          </w:p>
        </w:tc>
      </w:tr>
      <w:tr w:rsidR="005818AC" w:rsidRPr="00F3309B" w14:paraId="772608DF" w14:textId="77777777" w:rsidTr="005818AC"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A519131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63BBF06" w14:textId="77777777" w:rsidR="005818AC" w:rsidRPr="00F3309B" w:rsidRDefault="005818AC" w:rsidP="005D4BC8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0D1C01D4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>Domain Name Trademark Clearance</w:t>
            </w:r>
          </w:p>
          <w:p w14:paraId="067EE1C9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</w:tcBorders>
            <w:shd w:val="clear" w:color="auto" w:fill="F2F2F2"/>
          </w:tcPr>
          <w:p w14:paraId="4CA87F3C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 xml:space="preserve">Enable identification of domain name </w:t>
            </w:r>
            <w:r>
              <w:rPr>
                <w:sz w:val="20"/>
              </w:rPr>
              <w:t>Registrant</w:t>
            </w:r>
            <w:r w:rsidRPr="00F3309B">
              <w:rPr>
                <w:sz w:val="20"/>
              </w:rPr>
              <w:t>s to support trademark clearance (risk analysis) when establishing new</w:t>
            </w:r>
            <w:r>
              <w:rPr>
                <w:sz w:val="20"/>
              </w:rPr>
              <w:t xml:space="preserve"> </w:t>
            </w:r>
            <w:r w:rsidRPr="00F3309B">
              <w:rPr>
                <w:sz w:val="20"/>
              </w:rPr>
              <w:t>brands</w:t>
            </w:r>
          </w:p>
        </w:tc>
      </w:tr>
      <w:tr w:rsidR="005818AC" w:rsidRPr="00F3309B" w14:paraId="094A19E0" w14:textId="77777777" w:rsidTr="005818AC"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92F3852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3904514" w14:textId="77777777" w:rsidR="005818AC" w:rsidRPr="00F3309B" w:rsidRDefault="005818AC" w:rsidP="005D4BC8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00B6FF50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>Domain Name Acquisition</w:t>
            </w:r>
          </w:p>
        </w:tc>
        <w:tc>
          <w:tcPr>
            <w:tcW w:w="3943" w:type="dxa"/>
            <w:tcBorders>
              <w:top w:val="single" w:sz="4" w:space="0" w:color="auto"/>
            </w:tcBorders>
            <w:shd w:val="clear" w:color="auto" w:fill="F2F2F2"/>
          </w:tcPr>
          <w:p w14:paraId="076D5B09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 xml:space="preserve">Facilitate acquisition of a domain name that was previously registered by enabling contact with </w:t>
            </w:r>
            <w:r>
              <w:rPr>
                <w:sz w:val="20"/>
              </w:rPr>
              <w:t>Registrant</w:t>
            </w:r>
          </w:p>
        </w:tc>
      </w:tr>
      <w:tr w:rsidR="005818AC" w:rsidRPr="00F3309B" w14:paraId="5CC1CF3F" w14:textId="77777777" w:rsidTr="005818AC"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ACF6ECA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2DA3DBA" w14:textId="77777777" w:rsidR="005818AC" w:rsidRPr="00F3309B" w:rsidRDefault="005818AC" w:rsidP="005D4BC8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097EA785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 xml:space="preserve">Domain Name </w:t>
            </w:r>
            <w:r w:rsidRPr="00F3309B">
              <w:rPr>
                <w:sz w:val="20"/>
              </w:rPr>
              <w:br/>
              <w:t>Purchase Inquiry</w:t>
            </w:r>
          </w:p>
        </w:tc>
        <w:tc>
          <w:tcPr>
            <w:tcW w:w="3943" w:type="dxa"/>
            <w:tcBorders>
              <w:top w:val="single" w:sz="4" w:space="0" w:color="auto"/>
            </w:tcBorders>
            <w:shd w:val="clear" w:color="auto" w:fill="F2F2F2"/>
          </w:tcPr>
          <w:p w14:paraId="5AED4D78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 xml:space="preserve">Enable determination of domain name availability and current </w:t>
            </w:r>
            <w:r>
              <w:rPr>
                <w:sz w:val="20"/>
              </w:rPr>
              <w:t>Registrant</w:t>
            </w:r>
            <w:r w:rsidRPr="00F3309B">
              <w:rPr>
                <w:sz w:val="20"/>
              </w:rPr>
              <w:t xml:space="preserve"> and Admin </w:t>
            </w:r>
            <w:r>
              <w:rPr>
                <w:sz w:val="20"/>
              </w:rPr>
              <w:t>C</w:t>
            </w:r>
            <w:r w:rsidRPr="00F3309B">
              <w:rPr>
                <w:sz w:val="20"/>
              </w:rPr>
              <w:t>ontact (if any)</w:t>
            </w:r>
          </w:p>
        </w:tc>
      </w:tr>
      <w:tr w:rsidR="005818AC" w:rsidRPr="00F3309B" w14:paraId="5FAF5C9C" w14:textId="77777777" w:rsidTr="005818AC"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2388C91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E7540A3" w14:textId="77777777" w:rsidR="005818AC" w:rsidRPr="00F3309B" w:rsidRDefault="005818AC" w:rsidP="005D4BC8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33D7C44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>Domain Name Registration History</w:t>
            </w: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8D50862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 xml:space="preserve">Provide domain name registration history to identify past </w:t>
            </w:r>
            <w:r>
              <w:rPr>
                <w:sz w:val="20"/>
              </w:rPr>
              <w:t>Registrant</w:t>
            </w:r>
            <w:r w:rsidRPr="00F3309B">
              <w:rPr>
                <w:sz w:val="20"/>
              </w:rPr>
              <w:t>s and dates using WhoWas</w:t>
            </w:r>
          </w:p>
        </w:tc>
      </w:tr>
      <w:tr w:rsidR="005818AC" w:rsidRPr="00F3309B" w14:paraId="76D84EB3" w14:textId="77777777" w:rsidTr="005818AC">
        <w:trPr>
          <w:cantSplit/>
        </w:trPr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80B1AC" w14:textId="77777777" w:rsidR="005818AC" w:rsidRPr="00F3309B" w:rsidRDefault="005818AC" w:rsidP="005D4BC8">
            <w:pPr>
              <w:spacing w:line="240" w:lineRule="auto"/>
              <w:rPr>
                <w:sz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2D0DFF" w14:textId="77777777" w:rsidR="005818AC" w:rsidRPr="00F3309B" w:rsidRDefault="005818AC" w:rsidP="005D4BC8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7C7EA26F" w14:textId="77777777" w:rsidR="005818AC" w:rsidRPr="00F3309B" w:rsidRDefault="005818AC" w:rsidP="005D4BC8">
            <w:pPr>
              <w:keepNext/>
              <w:keepLines/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>Domain Names for Specified Registrant</w:t>
            </w: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12A8260" w14:textId="77777777" w:rsidR="005818AC" w:rsidRPr="00F3309B" w:rsidRDefault="005818AC" w:rsidP="005D4BC8">
            <w:pPr>
              <w:keepNext/>
              <w:keepLines/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>Enable determination of all domain names registered by a specified entity (Reverse Query) as part of merger/spinoff asset verification</w:t>
            </w:r>
          </w:p>
        </w:tc>
      </w:tr>
    </w:tbl>
    <w:p w14:paraId="1966F9DB" w14:textId="58C20A3B" w:rsidR="00D17428" w:rsidRPr="002216E6" w:rsidRDefault="00EB617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DB333F"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Tasks: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List and briefly describe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tasks commonly involved in carrying out this purpose. Hint: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pecific use cases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purpose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 xml:space="preserve"> may be helpful as a starting point for enumerating tasks.</w:t>
      </w:r>
    </w:p>
    <w:p w14:paraId="3BF45AB6" w14:textId="570A30AF" w:rsidR="00A65294" w:rsidRPr="00B46676" w:rsidRDefault="00A65294" w:rsidP="00B46676">
      <w:pPr>
        <w:jc w:val="center"/>
        <w:rPr>
          <w:rFonts w:eastAsia="Times New Roman" w:cs="Times New Roman"/>
          <w:color w:val="C00000"/>
          <w:sz w:val="20"/>
          <w:szCs w:val="20"/>
        </w:rPr>
      </w:pPr>
      <w:r w:rsidRPr="00B46676">
        <w:rPr>
          <w:rFonts w:eastAsia="Times New Roman" w:cs="Times New Roman"/>
          <w:color w:val="C00000"/>
          <w:sz w:val="20"/>
          <w:szCs w:val="20"/>
        </w:rPr>
        <w:t>For easy reference, below is an excerpt from the EWG Final Report: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728"/>
        <w:gridCol w:w="7470"/>
      </w:tblGrid>
      <w:tr w:rsidR="00A65294" w:rsidRPr="00B541AB" w14:paraId="57186F0B" w14:textId="77777777" w:rsidTr="00B46676">
        <w:tc>
          <w:tcPr>
            <w:tcW w:w="1728" w:type="dxa"/>
            <w:shd w:val="clear" w:color="auto" w:fill="D3DFEE"/>
          </w:tcPr>
          <w:p w14:paraId="3F013E26" w14:textId="5A98E998" w:rsidR="00A65294" w:rsidRPr="00A65294" w:rsidRDefault="005818AC" w:rsidP="005D4BC8">
            <w:pPr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5818AC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Business Domain Name Purchase/Sale</w:t>
            </w:r>
          </w:p>
        </w:tc>
        <w:tc>
          <w:tcPr>
            <w:tcW w:w="7470" w:type="dxa"/>
            <w:shd w:val="clear" w:color="auto" w:fill="D3DFEE"/>
          </w:tcPr>
          <w:p w14:paraId="2DBA1731" w14:textId="7729E552" w:rsidR="00A65294" w:rsidRPr="00A65294" w:rsidRDefault="005818AC" w:rsidP="002216E6">
            <w:pPr>
              <w:tabs>
                <w:tab w:val="left" w:pos="973"/>
              </w:tabs>
              <w:rPr>
                <w:rFonts w:eastAsia="MS Mincho"/>
                <w:color w:val="000000"/>
                <w:sz w:val="20"/>
                <w:szCs w:val="20"/>
              </w:rPr>
            </w:pPr>
            <w:r w:rsidRPr="009D2D6F">
              <w:rPr>
                <w:color w:val="000000"/>
                <w:sz w:val="20"/>
              </w:rPr>
              <w:t xml:space="preserve">Tasks within the scope of this purpose include making purchase queries about a </w:t>
            </w:r>
            <w:proofErr w:type="spellStart"/>
            <w:r w:rsidRPr="009D2D6F">
              <w:rPr>
                <w:color w:val="000000"/>
                <w:sz w:val="20"/>
              </w:rPr>
              <w:t>DN</w:t>
            </w:r>
            <w:proofErr w:type="spellEnd"/>
            <w:r w:rsidRPr="009D2D6F">
              <w:rPr>
                <w:color w:val="000000"/>
                <w:sz w:val="20"/>
              </w:rPr>
              <w:t xml:space="preserve">, acquiring a </w:t>
            </w:r>
            <w:proofErr w:type="spellStart"/>
            <w:r w:rsidRPr="009D2D6F">
              <w:rPr>
                <w:color w:val="000000"/>
                <w:sz w:val="20"/>
              </w:rPr>
              <w:t>DN</w:t>
            </w:r>
            <w:proofErr w:type="spellEnd"/>
            <w:r w:rsidRPr="009D2D6F">
              <w:rPr>
                <w:color w:val="000000"/>
                <w:sz w:val="20"/>
              </w:rPr>
              <w:t xml:space="preserve"> from another Registrant, and enabling due diligence research. To accomplish these tasks, the user needs access to the Registrant’s Organization and email address, and in some cases additional gated data – for example, to perform a Reverse Query on the name of a Registrant or contact to determine other domain names with which they are associated.</w:t>
            </w:r>
          </w:p>
        </w:tc>
      </w:tr>
    </w:tbl>
    <w:p w14:paraId="1E8BF8B0" w14:textId="3CFA7F4B" w:rsidR="00D17428" w:rsidRDefault="00B466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D17428"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Users:</w:t>
      </w:r>
      <w:r w:rsidR="00D17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Describe t</w:t>
      </w:r>
      <w:r w:rsidR="00D17428">
        <w:rPr>
          <w:rFonts w:ascii="Times New Roman" w:eastAsia="Times New Roman" w:hAnsi="Times New Roman" w:cs="Times New Roman"/>
          <w:sz w:val="24"/>
          <w:szCs w:val="24"/>
        </w:rPr>
        <w:t xml:space="preserve">he parties who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often </w:t>
      </w:r>
      <w:r w:rsidR="00D17428">
        <w:rPr>
          <w:rFonts w:ascii="Times New Roman" w:eastAsia="Times New Roman" w:hAnsi="Times New Roman" w:cs="Times New Roman"/>
          <w:sz w:val="24"/>
          <w:szCs w:val="24"/>
        </w:rPr>
        <w:t>access gTLD registration data in pursuit of this purpose.</w:t>
      </w:r>
    </w:p>
    <w:p w14:paraId="7AD03F44" w14:textId="2E0DAF47" w:rsidR="008175A9" w:rsidRDefault="00D17428">
      <w:pPr>
        <w:rPr>
          <w:rFonts w:ascii="Times New Roman" w:eastAsia="Times New Roman" w:hAnsi="Times New Roman" w:cs="Times New Roman"/>
          <w:sz w:val="24"/>
          <w:szCs w:val="24"/>
        </w:rPr>
      </w:pPr>
      <w:r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Data: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List of gTLD registration data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often </w:t>
      </w:r>
      <w:r>
        <w:rPr>
          <w:rFonts w:ascii="Times New Roman" w:eastAsia="Times New Roman" w:hAnsi="Times New Roman" w:cs="Times New Roman"/>
          <w:sz w:val="24"/>
          <w:szCs w:val="24"/>
        </w:rPr>
        <w:t>involved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in this purpose – for contact data,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>identify the data subject (e.g., registrant, tech contact, registrar, etc</w:t>
      </w:r>
      <w:r w:rsidR="00A610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48AE">
        <w:rPr>
          <w:rFonts w:ascii="Times New Roman" w:eastAsia="Times New Roman" w:hAnsi="Times New Roman" w:cs="Times New Roman"/>
          <w:sz w:val="24"/>
          <w:szCs w:val="24"/>
        </w:rPr>
        <w:t xml:space="preserve"> and data element(s) as applicable.</w:t>
      </w:r>
    </w:p>
    <w:p w14:paraId="73FE8410" w14:textId="4378E177" w:rsidR="00B46676" w:rsidRPr="00A65294" w:rsidRDefault="00B46676" w:rsidP="00B46676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46676">
        <w:rPr>
          <w:rFonts w:eastAsia="Times New Roman" w:cs="Times New Roman"/>
          <w:color w:val="C00000"/>
          <w:sz w:val="20"/>
          <w:szCs w:val="20"/>
        </w:rPr>
        <w:t>Refer to the EWG Final Report Annex D for purposes associated with each data element</w:t>
      </w:r>
      <w:r>
        <w:rPr>
          <w:rFonts w:eastAsia="Times New Roman" w:cs="Times New Roman"/>
          <w:color w:val="C00000"/>
          <w:sz w:val="20"/>
          <w:szCs w:val="20"/>
        </w:rPr>
        <w:t>.</w:t>
      </w:r>
    </w:p>
    <w:p w14:paraId="7D489635" w14:textId="77777777" w:rsidR="00B46676" w:rsidRDefault="00B4667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sectPr w:rsidR="00B46676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8E32F" w14:textId="77777777" w:rsidR="0025386B" w:rsidRDefault="0025386B" w:rsidP="00B27DC4">
      <w:pPr>
        <w:spacing w:after="0" w:line="240" w:lineRule="auto"/>
      </w:pPr>
      <w:r>
        <w:separator/>
      </w:r>
    </w:p>
  </w:endnote>
  <w:endnote w:type="continuationSeparator" w:id="0">
    <w:p w14:paraId="6935088D" w14:textId="77777777" w:rsidR="0025386B" w:rsidRDefault="0025386B" w:rsidP="00B2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E6A00" w14:textId="77777777" w:rsidR="0025386B" w:rsidRDefault="0025386B" w:rsidP="00B27DC4">
      <w:pPr>
        <w:spacing w:after="0" w:line="240" w:lineRule="auto"/>
      </w:pPr>
      <w:r>
        <w:separator/>
      </w:r>
    </w:p>
  </w:footnote>
  <w:footnote w:type="continuationSeparator" w:id="0">
    <w:p w14:paraId="3313FECD" w14:textId="77777777" w:rsidR="0025386B" w:rsidRDefault="0025386B" w:rsidP="00B2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6FA67" w14:textId="2977C951" w:rsidR="00B27DC4" w:rsidRDefault="00B27DC4" w:rsidP="00B27DC4">
    <w:pPr>
      <w:pStyle w:val="Header"/>
      <w:jc w:val="center"/>
    </w:pPr>
    <w:r>
      <w:t>Template for defining an RDS Purpose</w:t>
    </w:r>
    <w:proofErr w:type="gramStart"/>
    <w:r w:rsidR="00A65294">
      <w:t>:</w:t>
    </w:r>
    <w:proofErr w:type="gramEnd"/>
    <w:r w:rsidR="00A65294">
      <w:br/>
    </w:r>
    <w:r w:rsidR="005818AC">
      <w:rPr>
        <w:rStyle w:val="Strong"/>
      </w:rPr>
      <w:t>Business Domain Name Purchase/Sale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4217"/>
    <w:multiLevelType w:val="hybridMultilevel"/>
    <w:tmpl w:val="735E4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C4"/>
    <w:rsid w:val="0001001D"/>
    <w:rsid w:val="00016B34"/>
    <w:rsid w:val="000324BD"/>
    <w:rsid w:val="0004125D"/>
    <w:rsid w:val="0004369B"/>
    <w:rsid w:val="00050ADF"/>
    <w:rsid w:val="0005512D"/>
    <w:rsid w:val="000577D0"/>
    <w:rsid w:val="000660D4"/>
    <w:rsid w:val="00090C06"/>
    <w:rsid w:val="000A5D61"/>
    <w:rsid w:val="000E2B48"/>
    <w:rsid w:val="000E3265"/>
    <w:rsid w:val="000F0F55"/>
    <w:rsid w:val="00105D86"/>
    <w:rsid w:val="0011403F"/>
    <w:rsid w:val="00146696"/>
    <w:rsid w:val="00151268"/>
    <w:rsid w:val="00152083"/>
    <w:rsid w:val="00165385"/>
    <w:rsid w:val="001720C8"/>
    <w:rsid w:val="00197057"/>
    <w:rsid w:val="00197E01"/>
    <w:rsid w:val="001A74BB"/>
    <w:rsid w:val="001B6D26"/>
    <w:rsid w:val="001D1C5F"/>
    <w:rsid w:val="001D3DAD"/>
    <w:rsid w:val="001D71A2"/>
    <w:rsid w:val="001E5286"/>
    <w:rsid w:val="001F5580"/>
    <w:rsid w:val="002216E6"/>
    <w:rsid w:val="0025386B"/>
    <w:rsid w:val="00257ABC"/>
    <w:rsid w:val="00276A96"/>
    <w:rsid w:val="002849E6"/>
    <w:rsid w:val="00292B57"/>
    <w:rsid w:val="002D687D"/>
    <w:rsid w:val="002E051D"/>
    <w:rsid w:val="002F2F19"/>
    <w:rsid w:val="003048B1"/>
    <w:rsid w:val="00305F75"/>
    <w:rsid w:val="00307223"/>
    <w:rsid w:val="00321B5F"/>
    <w:rsid w:val="003357E1"/>
    <w:rsid w:val="00356790"/>
    <w:rsid w:val="003572AF"/>
    <w:rsid w:val="00360873"/>
    <w:rsid w:val="00364DE1"/>
    <w:rsid w:val="0039608D"/>
    <w:rsid w:val="003A25D1"/>
    <w:rsid w:val="003A52E1"/>
    <w:rsid w:val="003B4A26"/>
    <w:rsid w:val="003C0C4E"/>
    <w:rsid w:val="003D4B16"/>
    <w:rsid w:val="003E6FC6"/>
    <w:rsid w:val="004024CA"/>
    <w:rsid w:val="004054F4"/>
    <w:rsid w:val="00425A4D"/>
    <w:rsid w:val="004359FE"/>
    <w:rsid w:val="00435F71"/>
    <w:rsid w:val="00447800"/>
    <w:rsid w:val="00457C08"/>
    <w:rsid w:val="00476CF9"/>
    <w:rsid w:val="0048413D"/>
    <w:rsid w:val="00496FAE"/>
    <w:rsid w:val="004A64B4"/>
    <w:rsid w:val="004C4066"/>
    <w:rsid w:val="004C67F4"/>
    <w:rsid w:val="004D578C"/>
    <w:rsid w:val="004E3368"/>
    <w:rsid w:val="004E6588"/>
    <w:rsid w:val="004E6D19"/>
    <w:rsid w:val="004F2D64"/>
    <w:rsid w:val="004F7C48"/>
    <w:rsid w:val="00513155"/>
    <w:rsid w:val="00513AE8"/>
    <w:rsid w:val="00524709"/>
    <w:rsid w:val="00534403"/>
    <w:rsid w:val="00546848"/>
    <w:rsid w:val="00546BC9"/>
    <w:rsid w:val="005615F2"/>
    <w:rsid w:val="00561BC9"/>
    <w:rsid w:val="0056491C"/>
    <w:rsid w:val="005818AC"/>
    <w:rsid w:val="0059021F"/>
    <w:rsid w:val="00595C25"/>
    <w:rsid w:val="005A5F19"/>
    <w:rsid w:val="005B594C"/>
    <w:rsid w:val="005C72D3"/>
    <w:rsid w:val="005E4DC4"/>
    <w:rsid w:val="005F453C"/>
    <w:rsid w:val="005F5C04"/>
    <w:rsid w:val="0061589A"/>
    <w:rsid w:val="006314F9"/>
    <w:rsid w:val="006315A5"/>
    <w:rsid w:val="0063328D"/>
    <w:rsid w:val="00640206"/>
    <w:rsid w:val="0064206B"/>
    <w:rsid w:val="006479A4"/>
    <w:rsid w:val="006521B2"/>
    <w:rsid w:val="00661140"/>
    <w:rsid w:val="00685BAB"/>
    <w:rsid w:val="00685D7F"/>
    <w:rsid w:val="0068651D"/>
    <w:rsid w:val="006A7DBE"/>
    <w:rsid w:val="006B621B"/>
    <w:rsid w:val="006C0467"/>
    <w:rsid w:val="006E4662"/>
    <w:rsid w:val="0070417E"/>
    <w:rsid w:val="00704EFB"/>
    <w:rsid w:val="007246AC"/>
    <w:rsid w:val="007256DC"/>
    <w:rsid w:val="007564F6"/>
    <w:rsid w:val="007B1C80"/>
    <w:rsid w:val="007C5C0A"/>
    <w:rsid w:val="007D14A8"/>
    <w:rsid w:val="007D7805"/>
    <w:rsid w:val="007F588C"/>
    <w:rsid w:val="00800250"/>
    <w:rsid w:val="008175A9"/>
    <w:rsid w:val="0083239F"/>
    <w:rsid w:val="00832430"/>
    <w:rsid w:val="00833EBE"/>
    <w:rsid w:val="00834F64"/>
    <w:rsid w:val="008550B2"/>
    <w:rsid w:val="00894A88"/>
    <w:rsid w:val="008A583E"/>
    <w:rsid w:val="008C083E"/>
    <w:rsid w:val="008C2B75"/>
    <w:rsid w:val="008C541B"/>
    <w:rsid w:val="00940376"/>
    <w:rsid w:val="0094351C"/>
    <w:rsid w:val="00952A40"/>
    <w:rsid w:val="00965747"/>
    <w:rsid w:val="009678CA"/>
    <w:rsid w:val="009954B4"/>
    <w:rsid w:val="009B0B38"/>
    <w:rsid w:val="009D41B8"/>
    <w:rsid w:val="009E5A0C"/>
    <w:rsid w:val="009E7678"/>
    <w:rsid w:val="009F224C"/>
    <w:rsid w:val="009F702A"/>
    <w:rsid w:val="00A17691"/>
    <w:rsid w:val="00A204BC"/>
    <w:rsid w:val="00A20C95"/>
    <w:rsid w:val="00A20DD2"/>
    <w:rsid w:val="00A2106B"/>
    <w:rsid w:val="00A462E5"/>
    <w:rsid w:val="00A547F4"/>
    <w:rsid w:val="00A56654"/>
    <w:rsid w:val="00A569FB"/>
    <w:rsid w:val="00A57D19"/>
    <w:rsid w:val="00A610C7"/>
    <w:rsid w:val="00A65294"/>
    <w:rsid w:val="00A808B6"/>
    <w:rsid w:val="00A81452"/>
    <w:rsid w:val="00A8527E"/>
    <w:rsid w:val="00A9714F"/>
    <w:rsid w:val="00AA2157"/>
    <w:rsid w:val="00AA428E"/>
    <w:rsid w:val="00AD54D2"/>
    <w:rsid w:val="00AD56F4"/>
    <w:rsid w:val="00AD5908"/>
    <w:rsid w:val="00AE0348"/>
    <w:rsid w:val="00B00EA7"/>
    <w:rsid w:val="00B27DC4"/>
    <w:rsid w:val="00B35196"/>
    <w:rsid w:val="00B4171E"/>
    <w:rsid w:val="00B42570"/>
    <w:rsid w:val="00B429C8"/>
    <w:rsid w:val="00B4413F"/>
    <w:rsid w:val="00B46676"/>
    <w:rsid w:val="00B61502"/>
    <w:rsid w:val="00B63F6F"/>
    <w:rsid w:val="00B94F83"/>
    <w:rsid w:val="00BA5AEA"/>
    <w:rsid w:val="00BA7DDC"/>
    <w:rsid w:val="00BB6EBD"/>
    <w:rsid w:val="00BE6605"/>
    <w:rsid w:val="00BF0A63"/>
    <w:rsid w:val="00C11A15"/>
    <w:rsid w:val="00C234B5"/>
    <w:rsid w:val="00C30271"/>
    <w:rsid w:val="00C31A50"/>
    <w:rsid w:val="00C659A1"/>
    <w:rsid w:val="00C87B91"/>
    <w:rsid w:val="00CA5C3A"/>
    <w:rsid w:val="00CA6EF9"/>
    <w:rsid w:val="00CC0F83"/>
    <w:rsid w:val="00CC2386"/>
    <w:rsid w:val="00CC31B0"/>
    <w:rsid w:val="00CC3699"/>
    <w:rsid w:val="00CE3C52"/>
    <w:rsid w:val="00CE3EC7"/>
    <w:rsid w:val="00CF3046"/>
    <w:rsid w:val="00CF7598"/>
    <w:rsid w:val="00D0367A"/>
    <w:rsid w:val="00D0556A"/>
    <w:rsid w:val="00D17428"/>
    <w:rsid w:val="00D367AD"/>
    <w:rsid w:val="00D41B0D"/>
    <w:rsid w:val="00D4435D"/>
    <w:rsid w:val="00D66951"/>
    <w:rsid w:val="00D676BA"/>
    <w:rsid w:val="00D7009B"/>
    <w:rsid w:val="00D76BDF"/>
    <w:rsid w:val="00D804F3"/>
    <w:rsid w:val="00DA10DC"/>
    <w:rsid w:val="00DA5D92"/>
    <w:rsid w:val="00DB333F"/>
    <w:rsid w:val="00DB6E72"/>
    <w:rsid w:val="00DC46BE"/>
    <w:rsid w:val="00DD48AE"/>
    <w:rsid w:val="00DF37A2"/>
    <w:rsid w:val="00E0171D"/>
    <w:rsid w:val="00E04B66"/>
    <w:rsid w:val="00E05EEB"/>
    <w:rsid w:val="00E30CF7"/>
    <w:rsid w:val="00E37E30"/>
    <w:rsid w:val="00E45DE0"/>
    <w:rsid w:val="00E47D62"/>
    <w:rsid w:val="00E57825"/>
    <w:rsid w:val="00E634CF"/>
    <w:rsid w:val="00E859AE"/>
    <w:rsid w:val="00E91A53"/>
    <w:rsid w:val="00E9286C"/>
    <w:rsid w:val="00EB617B"/>
    <w:rsid w:val="00EB7300"/>
    <w:rsid w:val="00ED7F2A"/>
    <w:rsid w:val="00EE358A"/>
    <w:rsid w:val="00EE3CCB"/>
    <w:rsid w:val="00EE5FDB"/>
    <w:rsid w:val="00EE6612"/>
    <w:rsid w:val="00F03105"/>
    <w:rsid w:val="00F11712"/>
    <w:rsid w:val="00F15DC1"/>
    <w:rsid w:val="00F2066B"/>
    <w:rsid w:val="00F2234E"/>
    <w:rsid w:val="00F26850"/>
    <w:rsid w:val="00F45764"/>
    <w:rsid w:val="00F47F15"/>
    <w:rsid w:val="00F6436D"/>
    <w:rsid w:val="00F649B1"/>
    <w:rsid w:val="00F83377"/>
    <w:rsid w:val="00F84EC7"/>
    <w:rsid w:val="00F87567"/>
    <w:rsid w:val="00F92266"/>
    <w:rsid w:val="00F97561"/>
    <w:rsid w:val="00FB06D2"/>
    <w:rsid w:val="00FC44BC"/>
    <w:rsid w:val="00FC5BB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B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DC4"/>
  </w:style>
  <w:style w:type="paragraph" w:styleId="Footer">
    <w:name w:val="footer"/>
    <w:basedOn w:val="Normal"/>
    <w:link w:val="FooterChar"/>
    <w:uiPriority w:val="99"/>
    <w:unhideWhenUsed/>
    <w:rsid w:val="00B2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DC4"/>
  </w:style>
  <w:style w:type="paragraph" w:styleId="ListParagraph">
    <w:name w:val="List Paragraph"/>
    <w:basedOn w:val="Normal"/>
    <w:uiPriority w:val="34"/>
    <w:qFormat/>
    <w:rsid w:val="00817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5A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75A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402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2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D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D54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DC4"/>
  </w:style>
  <w:style w:type="paragraph" w:styleId="Footer">
    <w:name w:val="footer"/>
    <w:basedOn w:val="Normal"/>
    <w:link w:val="FooterChar"/>
    <w:uiPriority w:val="99"/>
    <w:unhideWhenUsed/>
    <w:rsid w:val="00B2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DC4"/>
  </w:style>
  <w:style w:type="paragraph" w:styleId="ListParagraph">
    <w:name w:val="List Paragraph"/>
    <w:basedOn w:val="Normal"/>
    <w:uiPriority w:val="34"/>
    <w:qFormat/>
    <w:rsid w:val="00817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5A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75A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402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2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D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D5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ownload/attachments/56986791/KeyConceptsDeliberation-WorkingDraft-3Oct2017.pdf?version=1&amp;modificationDate=1507059783000&amp;api=v2" TargetMode="External"/><Relationship Id="rId13" Type="http://schemas.openxmlformats.org/officeDocument/2006/relationships/hyperlink" Target="mailto:gnso-rds-pdp-4@ican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ommunity.icann.org/display/NGRDSTRWMO/RDS+PDP+WG+Example+Use+Cas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cann.org/en/system/files/files/final-report-06jun14-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mmunity.icann.org/download/attachments/56986791/ListOfWGAgreements-3October.pdf?version=1&amp;modificationDate=1507059823000&amp;api=v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icann.org/download/attachments/56986791/KeyConceptsDeliberation-WorkingDraft-3Oct2017.docx?version=1&amp;modificationDate=1507059805000&amp;api=v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Phifer</dc:creator>
  <cp:lastModifiedBy>LP</cp:lastModifiedBy>
  <cp:revision>6</cp:revision>
  <dcterms:created xsi:type="dcterms:W3CDTF">2017-10-13T03:23:00Z</dcterms:created>
  <dcterms:modified xsi:type="dcterms:W3CDTF">2017-10-13T04:30:00Z</dcterms:modified>
</cp:coreProperties>
</file>